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78" w:lineRule="exact"/>
        <w:jc w:val="center"/>
        <w:textAlignment w:val="auto"/>
        <w:rPr>
          <w:rFonts w:hint="eastAsia" w:eastAsia="方正小标宋简体" w:cs="方正小标宋简体"/>
          <w:bCs/>
          <w:color w:val="000000"/>
          <w:sz w:val="44"/>
          <w:szCs w:val="44"/>
        </w:rPr>
      </w:pPr>
      <w:r>
        <w:rPr>
          <w:rFonts w:hint="eastAsia" w:eastAsia="方正小标宋简体" w:cs="方正小标宋简体"/>
          <w:bCs/>
          <w:color w:val="000000"/>
          <w:sz w:val="44"/>
          <w:szCs w:val="44"/>
        </w:rPr>
        <w:t>珠海市便携式电子产品用锂离子电池产品</w:t>
      </w:r>
    </w:p>
    <w:p>
      <w:pPr>
        <w:keepNext w:val="0"/>
        <w:keepLines w:val="0"/>
        <w:pageBreakBefore w:val="0"/>
        <w:widowControl/>
        <w:kinsoku/>
        <w:wordWrap/>
        <w:overflowPunct/>
        <w:topLinePunct w:val="0"/>
        <w:autoSpaceDE/>
        <w:autoSpaceDN/>
        <w:bidi w:val="0"/>
        <w:adjustRightInd/>
        <w:snapToGrid/>
        <w:spacing w:line="578" w:lineRule="exact"/>
        <w:jc w:val="center"/>
        <w:textAlignment w:val="auto"/>
        <w:rPr>
          <w:rFonts w:eastAsia="方正小标宋简体" w:cs="方正小标宋简体"/>
          <w:bCs/>
          <w:color w:val="000000"/>
          <w:sz w:val="44"/>
          <w:szCs w:val="44"/>
        </w:rPr>
      </w:pPr>
      <w:r>
        <w:rPr>
          <w:rFonts w:hint="eastAsia" w:eastAsia="方正小标宋简体" w:cs="方正小标宋简体"/>
          <w:bCs/>
          <w:color w:val="000000"/>
          <w:sz w:val="44"/>
          <w:szCs w:val="44"/>
        </w:rPr>
        <w:t>质量监督抽查实施细则</w:t>
      </w:r>
    </w:p>
    <w:p>
      <w:pPr>
        <w:keepNext w:val="0"/>
        <w:keepLines w:val="0"/>
        <w:pageBreakBefore w:val="0"/>
        <w:kinsoku/>
        <w:wordWrap/>
        <w:overflowPunct/>
        <w:topLinePunct w:val="0"/>
        <w:autoSpaceDE/>
        <w:autoSpaceDN/>
        <w:bidi w:val="0"/>
        <w:adjustRightInd/>
        <w:snapToGrid/>
        <w:spacing w:line="578" w:lineRule="exact"/>
        <w:ind w:firstLine="880" w:firstLineChars="200"/>
        <w:jc w:val="left"/>
        <w:textAlignment w:val="auto"/>
        <w:rPr>
          <w:rFonts w:eastAsia="方正小标宋简体" w:cs="方正小标宋简体"/>
          <w:color w:val="000000"/>
          <w:sz w:val="44"/>
          <w:szCs w:val="44"/>
        </w:rPr>
      </w:pPr>
    </w:p>
    <w:p>
      <w:pPr>
        <w:keepNext w:val="0"/>
        <w:keepLines w:val="0"/>
        <w:pageBreakBefore w:val="0"/>
        <w:kinsoku/>
        <w:wordWrap/>
        <w:overflowPunct/>
        <w:topLinePunct w:val="0"/>
        <w:autoSpaceDE/>
        <w:autoSpaceDN/>
        <w:bidi w:val="0"/>
        <w:adjustRightInd/>
        <w:snapToGrid/>
        <w:spacing w:line="578" w:lineRule="exact"/>
        <w:ind w:firstLine="640" w:firstLineChars="200"/>
        <w:jc w:val="left"/>
        <w:textAlignment w:val="auto"/>
        <w:rPr>
          <w:rFonts w:ascii="黑体" w:hAnsi="黑体" w:eastAsia="黑体" w:cs="黑体"/>
          <w:color w:val="000000"/>
          <w:szCs w:val="32"/>
        </w:rPr>
      </w:pPr>
      <w:r>
        <w:rPr>
          <w:rFonts w:hint="eastAsia" w:ascii="黑体" w:hAnsi="黑体" w:eastAsia="黑体" w:cs="黑体"/>
          <w:color w:val="000000"/>
          <w:szCs w:val="32"/>
        </w:rPr>
        <w:t>一、抽样方法</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keepNext w:val="0"/>
        <w:keepLines w:val="0"/>
        <w:pageBreakBefore w:val="0"/>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抽查数量：每款产品抽取2组样本，第1组用于检验，第2组用于备样。其中第1组抽取样品12</w:t>
      </w:r>
      <w:r>
        <w:rPr>
          <w:rFonts w:hint="eastAsia" w:ascii="仿宋" w:hAnsi="仿宋" w:eastAsia="仿宋" w:cs="仿宋"/>
          <w:color w:val="000000"/>
          <w:kern w:val="0"/>
          <w:szCs w:val="32"/>
        </w:rPr>
        <w:t>个</w:t>
      </w:r>
      <w:r>
        <w:rPr>
          <w:rFonts w:hint="eastAsia" w:ascii="仿宋" w:hAnsi="仿宋" w:eastAsia="仿宋" w:cs="仿宋"/>
          <w:color w:val="000000"/>
          <w:szCs w:val="32"/>
        </w:rPr>
        <w:t>，第2组抽取样品12</w:t>
      </w:r>
      <w:r>
        <w:rPr>
          <w:rFonts w:hint="eastAsia" w:ascii="仿宋" w:hAnsi="仿宋" w:eastAsia="仿宋" w:cs="仿宋"/>
          <w:color w:val="000000"/>
          <w:kern w:val="0"/>
          <w:szCs w:val="32"/>
        </w:rPr>
        <w:t>个</w:t>
      </w:r>
      <w:r>
        <w:rPr>
          <w:rFonts w:hint="eastAsia" w:ascii="仿宋" w:hAnsi="仿宋" w:eastAsia="仿宋" w:cs="仿宋"/>
          <w:color w:val="000000"/>
          <w:szCs w:val="32"/>
        </w:rPr>
        <w:t>。</w:t>
      </w:r>
    </w:p>
    <w:p>
      <w:pPr>
        <w:keepNext w:val="0"/>
        <w:keepLines w:val="0"/>
        <w:pageBreakBefore w:val="0"/>
        <w:kinsoku/>
        <w:wordWrap/>
        <w:overflowPunct/>
        <w:topLinePunct w:val="0"/>
        <w:autoSpaceDE/>
        <w:autoSpaceDN/>
        <w:bidi w:val="0"/>
        <w:adjustRightInd/>
        <w:snapToGrid/>
        <w:spacing w:line="578" w:lineRule="exact"/>
        <w:ind w:firstLine="640" w:firstLineChars="200"/>
        <w:jc w:val="left"/>
        <w:textAlignment w:val="auto"/>
        <w:rPr>
          <w:rFonts w:ascii="黑体" w:hAnsi="黑体" w:eastAsia="黑体" w:cs="黑体"/>
          <w:color w:val="000000"/>
          <w:szCs w:val="32"/>
        </w:rPr>
      </w:pPr>
      <w:r>
        <w:rPr>
          <w:rFonts w:hint="eastAsia" w:eastAsia="黑体" w:cs="黑体"/>
          <w:color w:val="000000"/>
          <w:szCs w:val="32"/>
        </w:rPr>
        <w:t>二、主要检验项目及检验项目属性划分</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78"/>
        <w:gridCol w:w="1861"/>
        <w:gridCol w:w="3079"/>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i w:val="0"/>
                <w:iCs w:val="0"/>
                <w:color w:val="000000" w:themeColor="text1"/>
                <w:sz w:val="24"/>
                <w:szCs w:val="24"/>
                <w14:textFill>
                  <w14:solidFill>
                    <w14:schemeClr w14:val="tx1"/>
                  </w14:solidFill>
                </w14:textFill>
              </w:rPr>
            </w:pPr>
            <w:r>
              <w:rPr>
                <w:rFonts w:hint="eastAsia" w:ascii="黑体" w:hAnsi="黑体" w:eastAsia="黑体" w:cs="黑体"/>
                <w:i w:val="0"/>
                <w:iCs w:val="0"/>
                <w:color w:val="000000" w:themeColor="text1"/>
                <w:sz w:val="24"/>
                <w:szCs w:val="24"/>
                <w14:textFill>
                  <w14:solidFill>
                    <w14:schemeClr w14:val="tx1"/>
                  </w14:solidFill>
                </w14:textFill>
              </w:rPr>
              <w:t>序号</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i w:val="0"/>
                <w:iCs w:val="0"/>
                <w:color w:val="000000" w:themeColor="text1"/>
                <w:sz w:val="24"/>
                <w:szCs w:val="24"/>
                <w14:textFill>
                  <w14:solidFill>
                    <w14:schemeClr w14:val="tx1"/>
                  </w14:solidFill>
                </w14:textFill>
              </w:rPr>
            </w:pPr>
            <w:r>
              <w:rPr>
                <w:rFonts w:hint="eastAsia" w:ascii="黑体" w:hAnsi="黑体" w:eastAsia="黑体" w:cs="黑体"/>
                <w:i w:val="0"/>
                <w:iCs w:val="0"/>
                <w:color w:val="000000" w:themeColor="text1"/>
                <w:sz w:val="24"/>
                <w:szCs w:val="24"/>
                <w14:textFill>
                  <w14:solidFill>
                    <w14:schemeClr w14:val="tx1"/>
                  </w14:solidFill>
                </w14:textFill>
              </w:rPr>
              <w:t>检验项目</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i w:val="0"/>
                <w:iCs w:val="0"/>
                <w:color w:val="000000" w:themeColor="text1"/>
                <w:sz w:val="24"/>
                <w:szCs w:val="24"/>
                <w14:textFill>
                  <w14:solidFill>
                    <w14:schemeClr w14:val="tx1"/>
                  </w14:solidFill>
                </w14:textFill>
              </w:rPr>
            </w:pPr>
            <w:r>
              <w:rPr>
                <w:rFonts w:hint="eastAsia" w:ascii="黑体" w:hAnsi="黑体" w:eastAsia="黑体" w:cs="黑体"/>
                <w:i w:val="0"/>
                <w:iCs w:val="0"/>
                <w:color w:val="000000" w:themeColor="text1"/>
                <w:sz w:val="24"/>
                <w:szCs w:val="24"/>
                <w14:textFill>
                  <w14:solidFill>
                    <w14:schemeClr w14:val="tx1"/>
                  </w14:solidFill>
                </w14:textFill>
              </w:rPr>
              <w:t>依据法律法规或标准</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i w:val="0"/>
                <w:iCs w:val="0"/>
                <w:color w:val="000000" w:themeColor="text1"/>
                <w:sz w:val="24"/>
                <w:szCs w:val="24"/>
                <w14:textFill>
                  <w14:solidFill>
                    <w14:schemeClr w14:val="tx1"/>
                  </w14:solidFill>
                </w14:textFill>
              </w:rPr>
            </w:pPr>
            <w:r>
              <w:rPr>
                <w:rFonts w:hint="eastAsia" w:ascii="黑体" w:hAnsi="黑体" w:eastAsia="黑体" w:cs="黑体"/>
                <w:i w:val="0"/>
                <w:iCs w:val="0"/>
                <w:color w:val="000000" w:themeColor="text1"/>
                <w:sz w:val="24"/>
                <w:szCs w:val="24"/>
                <w14:textFill>
                  <w14:solidFill>
                    <w14:schemeClr w14:val="tx1"/>
                  </w14:solidFill>
                </w14:textFill>
              </w:rPr>
              <w:t>强制性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i w:val="0"/>
                <w:iCs w:val="0"/>
                <w:color w:val="000000" w:themeColor="text1"/>
                <w:sz w:val="24"/>
                <w:szCs w:val="24"/>
                <w14:textFill>
                  <w14:solidFill>
                    <w14:schemeClr w14:val="tx1"/>
                  </w14:solidFill>
                </w14:textFill>
              </w:rPr>
            </w:pPr>
            <w:r>
              <w:rPr>
                <w:rFonts w:hint="eastAsia" w:ascii="黑体" w:hAnsi="黑体" w:eastAsia="黑体" w:cs="黑体"/>
                <w:i w:val="0"/>
                <w:iCs w:val="0"/>
                <w:color w:val="000000" w:themeColor="text1"/>
                <w:sz w:val="24"/>
                <w:szCs w:val="24"/>
                <w14:textFill>
                  <w14:solidFill>
                    <w14:schemeClr w14:val="tx1"/>
                  </w14:solidFill>
                </w14:textFill>
              </w:rPr>
              <w:t>非强制性</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i w:val="0"/>
                <w:iCs w:val="0"/>
                <w:color w:val="000000" w:themeColor="text1"/>
                <w:sz w:val="24"/>
                <w:szCs w:val="24"/>
                <w14:textFill>
                  <w14:solidFill>
                    <w14:schemeClr w14:val="tx1"/>
                  </w14:solidFill>
                </w14:textFill>
              </w:rPr>
            </w:pPr>
            <w:r>
              <w:rPr>
                <w:rFonts w:hint="eastAsia" w:ascii="黑体" w:hAnsi="黑体" w:eastAsia="黑体" w:cs="黑体"/>
                <w:i w:val="0"/>
                <w:iCs w:val="0"/>
                <w:color w:val="000000" w:themeColor="text1"/>
                <w:sz w:val="24"/>
                <w:szCs w:val="24"/>
                <w14:textFill>
                  <w14:solidFill>
                    <w14:schemeClr w14:val="tx1"/>
                  </w14:solidFill>
                </w14:textFill>
              </w:rPr>
              <w:t>重要项</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i w:val="0"/>
                <w:iCs w:val="0"/>
                <w:color w:val="000000" w:themeColor="text1"/>
                <w:sz w:val="24"/>
                <w:szCs w:val="24"/>
                <w14:textFill>
                  <w14:solidFill>
                    <w14:schemeClr w14:val="tx1"/>
                  </w14:solidFill>
                </w14:textFill>
              </w:rPr>
            </w:pPr>
            <w:r>
              <w:rPr>
                <w:rFonts w:hint="eastAsia" w:ascii="黑体" w:hAnsi="黑体" w:eastAsia="黑体" w:cs="黑体"/>
                <w:i w:val="0"/>
                <w:iCs w:val="0"/>
                <w:color w:val="000000" w:themeColor="text1"/>
                <w:sz w:val="24"/>
                <w:szCs w:val="24"/>
                <w14:textFill>
                  <w14:solidFill>
                    <w14:schemeClr w14:val="tx1"/>
                  </w14:solidFill>
                </w14:textFill>
              </w:rPr>
              <w:t>较重要项</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i w:val="0"/>
                <w:iCs w:val="0"/>
                <w:color w:val="000000" w:themeColor="text1"/>
                <w:sz w:val="24"/>
                <w:szCs w:val="24"/>
                <w14:textFill>
                  <w14:solidFill>
                    <w14:schemeClr w14:val="tx1"/>
                  </w14:solidFill>
                </w14:textFill>
              </w:rPr>
            </w:pPr>
            <w:r>
              <w:rPr>
                <w:rFonts w:hint="eastAsia" w:ascii="黑体" w:hAnsi="黑体" w:eastAsia="黑体" w:cs="黑体"/>
                <w:i w:val="0"/>
                <w:iCs w:val="0"/>
                <w:color w:val="000000" w:themeColor="text1"/>
                <w:sz w:val="24"/>
                <w:szCs w:val="24"/>
                <w14:textFill>
                  <w14:solidFill>
                    <w14:schemeClr w14:val="tx1"/>
                  </w14:solidFill>
                </w14:textFill>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1</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0.2ItA放电/额定容量、倍率放电/大电流放电</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GB/T 18287-2013条款4.2.1、4.2.2</w:t>
            </w:r>
          </w:p>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QB/T 2502-2000条款4.2、4.3</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2</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高温性能</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GB/T 18287-2013条款4.2.3</w:t>
            </w:r>
          </w:p>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QB/T 2502-2000条款4.5</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3</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低温性能</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GB/T 18287-2013条款4.2.4</w:t>
            </w:r>
          </w:p>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QB/T 2502-2000条款4.4</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4</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高温外部短路（适用于电池）</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 31241-2014条款6.2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5</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过充电（适用于电池）</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 31241-2014条款6.3</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6</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强制放电（适用于电池）</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 31241-2014条款6.4</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7</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过压充电（适用于电池组）</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 31241-2014条款9.2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8</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欠压放电（适用于电池组）</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 31241-2014条款9.4</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320" w:lineRule="exact"/>
              <w:jc w:val="center"/>
              <w:rPr>
                <w:rFonts w:hint="eastAsia" w:ascii="仿宋" w:hAnsi="仿宋" w:eastAsia="仿宋" w:cs="仿宋"/>
                <w:i w:val="0"/>
                <w:iCs w:val="0"/>
                <w:color w:val="FF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320" w:lineRule="exact"/>
              <w:jc w:val="center"/>
              <w:rPr>
                <w:rFonts w:hint="eastAsia" w:ascii="仿宋" w:hAnsi="仿宋" w:eastAsia="仿宋" w:cs="仿宋"/>
                <w:i w:val="0"/>
                <w:iCs w:val="0"/>
                <w:color w:val="FF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320" w:lineRule="exact"/>
              <w:jc w:val="center"/>
              <w:rPr>
                <w:rFonts w:hint="eastAsia" w:ascii="仿宋" w:hAnsi="仿宋" w:eastAsia="仿宋" w:cs="仿宋"/>
                <w:i w:val="0"/>
                <w:iCs w:val="0"/>
                <w:color w:val="FF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320" w:lineRule="exact"/>
              <w:jc w:val="center"/>
              <w:rPr>
                <w:rFonts w:hint="eastAsia" w:ascii="仿宋" w:hAnsi="仿宋" w:eastAsia="仿宋" w:cs="仿宋"/>
                <w:i w:val="0"/>
                <w:iCs w:val="0"/>
                <w:color w:val="FF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9</w:t>
            </w:r>
          </w:p>
        </w:tc>
        <w:tc>
          <w:tcPr>
            <w:tcW w:w="1027"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外部短路（适用于电池组）</w:t>
            </w:r>
          </w:p>
        </w:tc>
        <w:tc>
          <w:tcPr>
            <w:tcW w:w="169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GB 31241-2014条款9.6</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r>
              <w:rPr>
                <w:rFonts w:hint="eastAsia" w:ascii="仿宋" w:hAnsi="仿宋" w:eastAsia="仿宋" w:cs="仿宋"/>
                <w:i w:val="0"/>
                <w:iCs w:val="0"/>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i w:val="0"/>
                <w:iCs w:val="0"/>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i w:val="0"/>
                <w:iCs w:val="0"/>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bookmarkStart w:id="0" w:name="_GoBack"/>
      <w:r>
        <w:rPr>
          <w:rFonts w:hint="eastAsia" w:ascii="仿宋" w:hAnsi="仿宋" w:eastAsia="仿宋" w:cs="仿宋"/>
          <w:color w:val="000000"/>
          <w:sz w:val="30"/>
          <w:szCs w:val="30"/>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CESI仿宋-GB2312" w:hAnsi="CESI仿宋-GB2312" w:eastAsia="CESI仿宋-GB2312" w:cs="CESI仿宋-GB2312"/>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bookmarkEnd w:id="0"/>
    <w:p>
      <w:pPr>
        <w:keepNext w:val="0"/>
        <w:keepLines w:val="0"/>
        <w:pageBreakBefore w:val="0"/>
        <w:kinsoku/>
        <w:wordWrap/>
        <w:overflowPunct/>
        <w:topLinePunct w:val="0"/>
        <w:autoSpaceDE/>
        <w:bidi w:val="0"/>
        <w:adjustRightInd/>
        <w:snapToGrid/>
        <w:spacing w:line="578" w:lineRule="exact"/>
        <w:ind w:firstLine="640" w:firstLineChars="200"/>
        <w:jc w:val="left"/>
        <w:textAlignment w:val="auto"/>
        <w:rPr>
          <w:rFonts w:eastAsia="黑体" w:cs="黑体"/>
          <w:szCs w:val="32"/>
        </w:rPr>
      </w:pPr>
      <w:r>
        <w:rPr>
          <w:rFonts w:hint="eastAsia" w:eastAsia="黑体" w:cs="黑体"/>
          <w:szCs w:val="32"/>
        </w:rPr>
        <w:t>三、判定规则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（一）依据标准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1.强制性标准: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31241-2014《便携式电子产品用锂离子电池和电池组安全要求》</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2.推荐性标准: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GB/T 18287-2013《移动电话用锂离子蓄电池及蓄电池组总规范》</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QB/T 2502-2000 《锂离子蓄电池总规范》</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楷体_GB2312" w:hAnsi="楷体_GB2312" w:eastAsia="楷体_GB2312" w:cs="楷体_GB2312"/>
          <w:kern w:val="0"/>
          <w:szCs w:val="32"/>
        </w:rPr>
        <w:t>（二）判定原则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当被检样品明示的质量要求劣于或不包含监督抽查实施细则中依据的强制性标准要求时，应按照强制性标准要求判定；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044B"/>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75B8A"/>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3F7CC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D53A8"/>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D5D"/>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217"/>
    <w:rsid w:val="00D83757"/>
    <w:rsid w:val="00D84E74"/>
    <w:rsid w:val="00D90990"/>
    <w:rsid w:val="00DA01D3"/>
    <w:rsid w:val="00DA5D53"/>
    <w:rsid w:val="00DA6BBC"/>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2DC8"/>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6542"/>
    <w:rsid w:val="00FA3326"/>
    <w:rsid w:val="00FA4329"/>
    <w:rsid w:val="00FA5D05"/>
    <w:rsid w:val="00FB2698"/>
    <w:rsid w:val="00FB466B"/>
    <w:rsid w:val="00FC0BE1"/>
    <w:rsid w:val="00FC4942"/>
    <w:rsid w:val="00FD0367"/>
    <w:rsid w:val="00FD6C34"/>
    <w:rsid w:val="00FE3526"/>
    <w:rsid w:val="00FF317F"/>
    <w:rsid w:val="00FF59F8"/>
    <w:rsid w:val="2D7954D8"/>
    <w:rsid w:val="3B7FFB31"/>
    <w:rsid w:val="4D9066B2"/>
    <w:rsid w:val="54FF6DAB"/>
    <w:rsid w:val="6DFFC3C4"/>
    <w:rsid w:val="7AFFC91A"/>
    <w:rsid w:val="7EDB5859"/>
    <w:rsid w:val="9DFBE715"/>
    <w:rsid w:val="A7FF1D60"/>
    <w:rsid w:val="EB9BF284"/>
    <w:rsid w:val="EDFFEF24"/>
    <w:rsid w:val="F7F92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0"/>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215</Words>
  <Characters>1232</Characters>
  <Lines>10</Lines>
  <Paragraphs>2</Paragraphs>
  <TotalTime>19</TotalTime>
  <ScaleCrop>false</ScaleCrop>
  <LinksUpToDate>false</LinksUpToDate>
  <CharactersWithSpaces>1445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2022-03-02T03:35:00Z</dcterms:created>
  <dc:creator>微软用户</dc:creator>
  <cp:lastModifiedBy>刘赞</cp:lastModifiedBy>
  <dcterms:modified xsi:type="dcterms:W3CDTF">2023-05-10T08:48:04Z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A3ABCB6572EE447CA932ABC6BC77A5D4</vt:lpwstr>
  </property>
</Properties>
</file>