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珠海市有源音箱产品质量监督抽查实施细则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spacing w:line="590"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抽查数量：每款产品抽取2组样本，第1组用于检验，第2组用于备样。其中第1组抽取样品2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，第2组抽取样品1</w:t>
      </w:r>
      <w:r>
        <w:rPr>
          <w:rFonts w:hint="eastAsia" w:ascii="仿宋" w:hAnsi="仿宋" w:eastAsia="仿宋" w:cs="仿宋"/>
          <w:color w:val="000000"/>
          <w:kern w:val="0"/>
          <w:szCs w:val="32"/>
        </w:rPr>
        <w:t>台</w:t>
      </w:r>
      <w:r>
        <w:rPr>
          <w:rFonts w:hint="eastAsia" w:ascii="仿宋" w:hAnsi="仿宋" w:eastAsia="仿宋" w:cs="仿宋"/>
          <w:color w:val="000000"/>
          <w:szCs w:val="32"/>
        </w:rPr>
        <w:t>。</w:t>
      </w:r>
    </w:p>
    <w:p>
      <w:pPr>
        <w:spacing w:line="590" w:lineRule="exact"/>
        <w:ind w:firstLine="640" w:firstLineChars="200"/>
        <w:jc w:val="left"/>
        <w:rPr>
          <w:rFonts w:eastAsia="黑体" w:cs="黑体"/>
          <w:color w:val="000000"/>
          <w:szCs w:val="32"/>
        </w:rPr>
      </w:pPr>
      <w:r>
        <w:rPr>
          <w:rFonts w:hint="eastAsia" w:eastAsia="黑体" w:cs="黑体"/>
          <w:color w:val="000000"/>
          <w:szCs w:val="32"/>
        </w:rPr>
        <w:t>二、主要检验项目及检验项目属性划分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lang w:eastAsia="zh-CN"/>
        </w:rPr>
        <w:t>（一）</w:t>
      </w:r>
      <w:r>
        <w:rPr>
          <w:rFonts w:hint="eastAsia" w:ascii="楷体_GB2312" w:hAnsi="楷体_GB2312" w:eastAsia="楷体_GB2312" w:cs="楷体_GB2312"/>
          <w:color w:val="000000"/>
          <w:szCs w:val="32"/>
        </w:rPr>
        <w:t>执行GB 8898-2011</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908"/>
        <w:gridCol w:w="3248"/>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310"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w:t>
            </w:r>
          </w:p>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号</w:t>
            </w:r>
          </w:p>
        </w:tc>
        <w:tc>
          <w:tcPr>
            <w:tcW w:w="1053"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792"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依据法律法规或标准</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强制性</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非强制性</w:t>
            </w:r>
          </w:p>
        </w:tc>
        <w:tc>
          <w:tcPr>
            <w:tcW w:w="36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重要项</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较重要项</w:t>
            </w:r>
          </w:p>
        </w:tc>
        <w:tc>
          <w:tcPr>
            <w:tcW w:w="369" w:type="pct"/>
            <w:tcBorders>
              <w:top w:val="single" w:color="auto" w:sz="4" w:space="0"/>
              <w:left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标记和说明书</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8898-2011条款5</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2</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正常工作条件下的发热</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8898-2011条款7</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3</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防电击保护的结构要求</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8898-2011条款8</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tabs>
                <w:tab w:val="left" w:pos="492"/>
              </w:tabs>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4</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正常工作条件下的电击危险</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8898-2011条款9</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5</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绝缘要求</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8898-2011条款10</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6</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电气间隙与爬电距离</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8898-2011条款13</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7</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机械强度</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8898-2011条款12</w:t>
            </w:r>
          </w:p>
        </w:tc>
        <w:tc>
          <w:tcPr>
            <w:tcW w:w="368" w:type="pct"/>
            <w:vAlign w:val="center"/>
          </w:tcPr>
          <w:p>
            <w:pPr>
              <w:widowControl/>
              <w:snapToGrid w:val="0"/>
              <w:spacing w:before="43" w:beforeLines="10" w:after="43" w:afterLines="10"/>
              <w:jc w:val="center"/>
              <w:rPr>
                <w:rFonts w:hint="eastAsia" w:ascii="仿宋" w:hAnsi="仿宋" w:eastAsia="仿宋" w:cs="仿宋"/>
                <w:color w:val="FF0000"/>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color w:val="FF0000"/>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8</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稳定性和机械危险</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8898-2011条款19</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9</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元器件</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8898-2011条款14</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10</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端子</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8898-2011条款15</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11</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外接软线</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8898-2011条款16</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12</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电气连接和机械固定</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8898-2011条款17</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13</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交流电源端口的传导发射</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GB/T 9254.1-2021</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14</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1GHz以下辐射发射</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GB/T 9254.1-2021</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15</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谐波电流</w:t>
            </w:r>
          </w:p>
        </w:tc>
        <w:tc>
          <w:tcPr>
            <w:tcW w:w="1792" w:type="pct"/>
            <w:vAlign w:val="center"/>
          </w:tcPr>
          <w:p>
            <w:pPr>
              <w:snapToGrid w:val="0"/>
              <w:jc w:val="center"/>
              <w:rPr>
                <w:rFonts w:hint="eastAsia" w:ascii="仿宋" w:hAnsi="仿宋" w:eastAsia="仿宋" w:cs="仿宋"/>
                <w:sz w:val="24"/>
              </w:rPr>
            </w:pPr>
            <w:r>
              <w:rPr>
                <w:rFonts w:hint="eastAsia" w:ascii="仿宋" w:hAnsi="仿宋" w:eastAsia="仿宋" w:cs="仿宋"/>
                <w:sz w:val="24"/>
              </w:rPr>
              <w:t>GB 17625.1-2012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bl>
    <w:p>
      <w:pPr>
        <w:widowControl/>
        <w:spacing w:line="600" w:lineRule="exact"/>
        <w:ind w:firstLine="640" w:firstLineChars="200"/>
        <w:jc w:val="left"/>
        <w:rPr>
          <w:rFonts w:hint="eastAsia" w:ascii="楷体_GB2312" w:hAnsi="楷体_GB2312" w:eastAsia="楷体_GB2312" w:cs="楷体_GB2312"/>
          <w:color w:val="333333"/>
          <w:kern w:val="0"/>
          <w:szCs w:val="32"/>
        </w:rPr>
      </w:pPr>
      <w:r>
        <w:rPr>
          <w:rFonts w:hint="eastAsia" w:ascii="楷体_GB2312" w:hAnsi="楷体_GB2312" w:eastAsia="楷体_GB2312" w:cs="楷体_GB2312"/>
          <w:color w:val="333333"/>
          <w:kern w:val="0"/>
          <w:szCs w:val="32"/>
          <w:lang w:eastAsia="zh-CN"/>
        </w:rPr>
        <w:t>（二）</w:t>
      </w:r>
      <w:r>
        <w:rPr>
          <w:rFonts w:hint="eastAsia" w:ascii="楷体_GB2312" w:hAnsi="楷体_GB2312" w:eastAsia="楷体_GB2312" w:cs="楷体_GB2312"/>
          <w:color w:val="333333"/>
          <w:kern w:val="0"/>
          <w:szCs w:val="32"/>
        </w:rPr>
        <w:t>执行GB 8898-2011</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909"/>
        <w:gridCol w:w="3247"/>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310"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w:t>
            </w:r>
          </w:p>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号</w:t>
            </w:r>
          </w:p>
        </w:tc>
        <w:tc>
          <w:tcPr>
            <w:tcW w:w="1053"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791"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依据法律法规或标准</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强制性</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非强制性</w:t>
            </w:r>
          </w:p>
        </w:tc>
        <w:tc>
          <w:tcPr>
            <w:tcW w:w="36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重要项</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较重要项</w:t>
            </w:r>
          </w:p>
        </w:tc>
        <w:tc>
          <w:tcPr>
            <w:tcW w:w="369" w:type="pct"/>
            <w:tcBorders>
              <w:top w:val="single" w:color="auto" w:sz="4" w:space="0"/>
              <w:left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标记和说明</w:t>
            </w:r>
          </w:p>
        </w:tc>
        <w:tc>
          <w:tcPr>
            <w:tcW w:w="1791" w:type="pct"/>
            <w:vAlign w:val="center"/>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2</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bookmarkStart w:id="0" w:name="OLE_LINK32"/>
            <w:r>
              <w:rPr>
                <w:rFonts w:hint="eastAsia" w:ascii="仿宋" w:hAnsi="仿宋" w:eastAsia="仿宋" w:cs="仿宋"/>
                <w:sz w:val="24"/>
              </w:rPr>
              <w:t>导体的固定</w:t>
            </w:r>
            <w:bookmarkEnd w:id="0"/>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3</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电气间隙</w:t>
            </w:r>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tabs>
                <w:tab w:val="left" w:pos="492"/>
              </w:tabs>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4</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爬电距离</w:t>
            </w:r>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5</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天线端子绝缘</w:t>
            </w:r>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6</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抗电强度试验</w:t>
            </w:r>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7</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断开连接器后电容器的放电</w:t>
            </w:r>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8</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bookmarkStart w:id="1" w:name="OLE_LINK26"/>
            <w:r>
              <w:rPr>
                <w:rFonts w:hint="eastAsia" w:ascii="仿宋" w:hAnsi="仿宋" w:eastAsia="仿宋" w:cs="仿宋"/>
                <w:sz w:val="24"/>
              </w:rPr>
              <w:t>保护导体</w:t>
            </w:r>
            <w:bookmarkEnd w:id="1"/>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9</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预期的接触电压、接触电流和保护导体电流</w:t>
            </w:r>
          </w:p>
        </w:tc>
        <w:tc>
          <w:tcPr>
            <w:tcW w:w="1791" w:type="pct"/>
            <w:vAlign w:val="center"/>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10</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bookmarkStart w:id="2" w:name="OLE_LINK25"/>
            <w:r>
              <w:rPr>
                <w:rFonts w:hint="eastAsia" w:ascii="仿宋" w:hAnsi="仿宋" w:eastAsia="仿宋" w:cs="仿宋"/>
                <w:sz w:val="24"/>
              </w:rPr>
              <w:t>设备稳定性</w:t>
            </w:r>
            <w:bookmarkEnd w:id="2"/>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11</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热灼伤</w:t>
            </w:r>
          </w:p>
        </w:tc>
        <w:tc>
          <w:tcPr>
            <w:tcW w:w="1791" w:type="pct"/>
          </w:tcPr>
          <w:p>
            <w:pPr>
              <w:widowControl/>
              <w:spacing w:before="43" w:beforeLines="10" w:after="43" w:afterLines="10"/>
              <w:jc w:val="center"/>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widowControl/>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12</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交流电源端口的传导发射</w:t>
            </w:r>
          </w:p>
        </w:tc>
        <w:tc>
          <w:tcPr>
            <w:tcW w:w="1791" w:type="pct"/>
            <w:vAlign w:val="center"/>
          </w:tcPr>
          <w:p>
            <w:pPr>
              <w:snapToGrid w:val="0"/>
              <w:jc w:val="center"/>
              <w:rPr>
                <w:rFonts w:hint="eastAsia" w:ascii="仿宋" w:hAnsi="仿宋" w:eastAsia="仿宋" w:cs="仿宋"/>
                <w:sz w:val="24"/>
              </w:rPr>
            </w:pPr>
            <w:r>
              <w:rPr>
                <w:rFonts w:hint="eastAsia" w:ascii="仿宋" w:hAnsi="仿宋" w:eastAsia="仿宋" w:cs="仿宋"/>
                <w:sz w:val="24"/>
              </w:rPr>
              <w:t>GB/T 9254.1-2021</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13</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1GHz以下辐射发射</w:t>
            </w:r>
          </w:p>
        </w:tc>
        <w:tc>
          <w:tcPr>
            <w:tcW w:w="1791" w:type="pct"/>
            <w:vAlign w:val="center"/>
          </w:tcPr>
          <w:p>
            <w:pPr>
              <w:snapToGrid w:val="0"/>
              <w:jc w:val="center"/>
              <w:rPr>
                <w:rFonts w:hint="eastAsia" w:ascii="仿宋" w:hAnsi="仿宋" w:eastAsia="仿宋" w:cs="仿宋"/>
                <w:sz w:val="24"/>
              </w:rPr>
            </w:pPr>
            <w:r>
              <w:rPr>
                <w:rFonts w:hint="eastAsia" w:ascii="仿宋" w:hAnsi="仿宋" w:eastAsia="仿宋" w:cs="仿宋"/>
                <w:sz w:val="24"/>
              </w:rPr>
              <w:t>GB/T 9254.1-2021</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14</w:t>
            </w:r>
          </w:p>
        </w:tc>
        <w:tc>
          <w:tcPr>
            <w:tcW w:w="1053"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谐波电流</w:t>
            </w:r>
          </w:p>
        </w:tc>
        <w:tc>
          <w:tcPr>
            <w:tcW w:w="1791" w:type="pct"/>
            <w:vAlign w:val="center"/>
          </w:tcPr>
          <w:p>
            <w:pPr>
              <w:snapToGrid w:val="0"/>
              <w:jc w:val="center"/>
              <w:rPr>
                <w:rFonts w:hint="eastAsia" w:ascii="仿宋" w:hAnsi="仿宋" w:eastAsia="仿宋" w:cs="仿宋"/>
                <w:sz w:val="24"/>
              </w:rPr>
            </w:pPr>
            <w:r>
              <w:rPr>
                <w:rFonts w:hint="eastAsia" w:ascii="仿宋" w:hAnsi="仿宋" w:eastAsia="仿宋" w:cs="仿宋"/>
                <w:sz w:val="24"/>
              </w:rPr>
              <w:t>GB 17625.1-2012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注：由于执行标准GB 4943.1—2022于2022年07月19日发布，2023年08月01日实施，故生产日期在2023年08月01日以前的用GB 8898—2011标准；在2023年08月01日以后的用GB 4943.1—2022标准。（2022年07月19日～2023年08月01日之间的如果使用说明书、证书明示的标准版本为GB 4943.1—2022的，按GB 4943.1—2022进行检验。）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widowControl/>
        <w:spacing w:line="600" w:lineRule="exact"/>
        <w:ind w:firstLine="640" w:firstLineChars="200"/>
        <w:jc w:val="left"/>
        <w:rPr>
          <w:rFonts w:hint="eastAsia" w:ascii="楷体_GB2312" w:hAnsi="楷体_GB2312" w:eastAsia="楷体_GB2312" w:cs="楷体_GB2312"/>
          <w:color w:val="333333"/>
          <w:kern w:val="0"/>
          <w:szCs w:val="32"/>
        </w:rPr>
      </w:pPr>
      <w:r>
        <w:rPr>
          <w:rFonts w:hint="eastAsia" w:ascii="楷体_GB2312" w:hAnsi="楷体_GB2312" w:eastAsia="楷体_GB2312" w:cs="楷体_GB2312"/>
          <w:color w:val="333333"/>
          <w:kern w:val="0"/>
          <w:szCs w:val="32"/>
        </w:rPr>
        <w:t>（一）依据标准</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1. 强制性标准:</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GB 8898-2011《音频、视频及类似电子设备 安全要求》</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GB 4943.1-2022 《音视频、信息技术和通信技术设备 第1部分：安全要求</w:t>
      </w:r>
      <w:bookmarkStart w:id="3" w:name="_GoBack"/>
      <w:bookmarkEnd w:id="3"/>
      <w:r>
        <w:rPr>
          <w:rFonts w:hint="eastAsia" w:ascii="仿宋" w:hAnsi="仿宋" w:eastAsia="仿宋" w:cs="仿宋"/>
          <w:color w:val="333333"/>
          <w:kern w:val="0"/>
          <w:szCs w:val="32"/>
        </w:rPr>
        <w:t>》</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GB 17625.1-2012《电磁兼容 限值 谐波电流发射限值(设备每相输入电流≤16A)》</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2. 推荐性标准：</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GB/T 9254.1-2021《信息技术设备、多媒体设备和接收机 电磁兼容 第1部分：发射要求》</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现行有效的企业标准、团体标准、地方标准及产品明示质量要求。</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楷体_GB2312" w:hAnsi="楷体_GB2312" w:eastAsia="楷体_GB2312" w:cs="楷体_GB2312"/>
          <w:color w:val="333333"/>
          <w:kern w:val="0"/>
          <w:szCs w:val="32"/>
        </w:rPr>
        <w:t>（二）判定原则</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经检验，检验项目全部合格，判定为抽取的样本所检项目未检出不合格；检验项目中任一项或一项以上不合格，判定为被抽查产品不合格。</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当被检样品明示的质量要求优于监督抽查实施细则中依据的标准要求时，应按被检样品明示的质量要求判定；</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当被检样品明示的质量要求劣于或不包含监督抽查实施细则中依据的强制性标准要求时，应按照强制性标准要求判定；</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当被检样品明示的质量要求不包含监督抽查实施细则中依据的推荐性标准要求时，该指标不参与判定，但应在检验报告中作出说明；</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当被检样品未能提供有效的企业标准时，按相关国家或行业标准进行判定；</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按照产品质量相关法律法规的规定判定。</w:t>
      </w:r>
    </w:p>
    <w:p>
      <w:pPr>
        <w:widowControl/>
        <w:spacing w:line="600" w:lineRule="exact"/>
        <w:ind w:firstLine="640" w:firstLineChars="200"/>
        <w:jc w:val="left"/>
        <w:rPr>
          <w:rFonts w:hint="eastAsia" w:ascii="仿宋" w:hAnsi="仿宋" w:eastAsia="仿宋" w:cs="仿宋"/>
          <w:color w:val="333333"/>
          <w:kern w:val="0"/>
          <w:szCs w:val="32"/>
        </w:rPr>
      </w:pPr>
      <w:r>
        <w:rPr>
          <w:rFonts w:hint="eastAsia" w:ascii="仿宋" w:hAnsi="仿宋" w:eastAsia="仿宋" w:cs="仿宋"/>
          <w:color w:val="333333"/>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MT Extra">
    <w:panose1 w:val="05050102010205020202"/>
    <w:charset w:val="00"/>
    <w:family w:val="auto"/>
    <w:pitch w:val="default"/>
    <w:sig w:usb0="8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4B7C"/>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274A2"/>
    <w:rsid w:val="00132F01"/>
    <w:rsid w:val="0013531B"/>
    <w:rsid w:val="00140E48"/>
    <w:rsid w:val="00142CE7"/>
    <w:rsid w:val="00154109"/>
    <w:rsid w:val="001625EA"/>
    <w:rsid w:val="00165386"/>
    <w:rsid w:val="00165F2E"/>
    <w:rsid w:val="00171EE0"/>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A84"/>
    <w:rsid w:val="002C6F5A"/>
    <w:rsid w:val="002D145E"/>
    <w:rsid w:val="002D2C93"/>
    <w:rsid w:val="002D3092"/>
    <w:rsid w:val="002D4A4A"/>
    <w:rsid w:val="002D797E"/>
    <w:rsid w:val="002F00EC"/>
    <w:rsid w:val="002F327D"/>
    <w:rsid w:val="002F5E35"/>
    <w:rsid w:val="00302710"/>
    <w:rsid w:val="003052D5"/>
    <w:rsid w:val="003056E2"/>
    <w:rsid w:val="003129BF"/>
    <w:rsid w:val="00317122"/>
    <w:rsid w:val="00324DC2"/>
    <w:rsid w:val="00324F9C"/>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07E6D"/>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616"/>
    <w:rsid w:val="00774C67"/>
    <w:rsid w:val="007812D2"/>
    <w:rsid w:val="00782023"/>
    <w:rsid w:val="007843C5"/>
    <w:rsid w:val="0079793F"/>
    <w:rsid w:val="007A6937"/>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3789"/>
    <w:rsid w:val="00896CD5"/>
    <w:rsid w:val="008A09FC"/>
    <w:rsid w:val="008A146E"/>
    <w:rsid w:val="008A6916"/>
    <w:rsid w:val="008A6E54"/>
    <w:rsid w:val="008A7590"/>
    <w:rsid w:val="008B6593"/>
    <w:rsid w:val="008D124E"/>
    <w:rsid w:val="008D4108"/>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4FD8"/>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A3349"/>
    <w:rsid w:val="00AA3658"/>
    <w:rsid w:val="00AB100C"/>
    <w:rsid w:val="00AB3B0B"/>
    <w:rsid w:val="00AB5E64"/>
    <w:rsid w:val="00AB7747"/>
    <w:rsid w:val="00AC5A64"/>
    <w:rsid w:val="00AC68FE"/>
    <w:rsid w:val="00AD38E2"/>
    <w:rsid w:val="00AE26C3"/>
    <w:rsid w:val="00AE3F23"/>
    <w:rsid w:val="00AF055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A6502"/>
    <w:rsid w:val="00BB4BF5"/>
    <w:rsid w:val="00BC333C"/>
    <w:rsid w:val="00BC351D"/>
    <w:rsid w:val="00BD0C33"/>
    <w:rsid w:val="00BD12B3"/>
    <w:rsid w:val="00BE3BFF"/>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87E4C"/>
    <w:rsid w:val="00C93ACF"/>
    <w:rsid w:val="00C950EE"/>
    <w:rsid w:val="00CA1718"/>
    <w:rsid w:val="00CA425B"/>
    <w:rsid w:val="00CA61B5"/>
    <w:rsid w:val="00CC5C02"/>
    <w:rsid w:val="00CC78CE"/>
    <w:rsid w:val="00CD6080"/>
    <w:rsid w:val="00CD6B1C"/>
    <w:rsid w:val="00CD7BCE"/>
    <w:rsid w:val="00CE2578"/>
    <w:rsid w:val="00CE319C"/>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499A"/>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4BD1"/>
    <w:rsid w:val="00F45D5F"/>
    <w:rsid w:val="00F55149"/>
    <w:rsid w:val="00F558CD"/>
    <w:rsid w:val="00F6345C"/>
    <w:rsid w:val="00F63535"/>
    <w:rsid w:val="00F63F44"/>
    <w:rsid w:val="00F67B96"/>
    <w:rsid w:val="00F775C9"/>
    <w:rsid w:val="00F823C1"/>
    <w:rsid w:val="00F827E5"/>
    <w:rsid w:val="00F87A27"/>
    <w:rsid w:val="00FA3326"/>
    <w:rsid w:val="00FA4329"/>
    <w:rsid w:val="00FA5D05"/>
    <w:rsid w:val="00FB2698"/>
    <w:rsid w:val="00FB466B"/>
    <w:rsid w:val="00FC0BE1"/>
    <w:rsid w:val="00FC4942"/>
    <w:rsid w:val="00FD6C34"/>
    <w:rsid w:val="00FE3526"/>
    <w:rsid w:val="00FF317F"/>
    <w:rsid w:val="10115142"/>
    <w:rsid w:val="76E2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0"/>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347</Words>
  <Characters>1982</Characters>
  <Lines>16</Lines>
  <Paragraphs>4</Paragraphs>
  <TotalTime>17</TotalTime>
  <ScaleCrop>false</ScaleCrop>
  <LinksUpToDate>false</LinksUpToDate>
  <CharactersWithSpaces>2325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2022-02-28T06:39:00Z</dcterms:created>
  <dc:creator>微软用户</dc:creator>
  <cp:lastModifiedBy>刘赞</cp:lastModifiedBy>
  <dcterms:modified xsi:type="dcterms:W3CDTF">2023-05-10T08:47:16Z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B3C206FD0775401DA549C94F43B5F494</vt:lpwstr>
  </property>
</Properties>
</file>