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珠海市声频功率放大器产品质量监督抽查</w:t>
      </w:r>
    </w:p>
    <w:p>
      <w:pPr>
        <w:widowControl/>
        <w:spacing w:line="660" w:lineRule="exact"/>
        <w:jc w:val="center"/>
        <w:rPr>
          <w:rFonts w:eastAsia="方正小标宋简体" w:cs="方正小标宋简体"/>
          <w:bCs/>
          <w:color w:val="000000"/>
          <w:sz w:val="44"/>
          <w:szCs w:val="44"/>
        </w:rPr>
      </w:pPr>
      <w:r>
        <w:rPr>
          <w:rFonts w:hint="eastAsia" w:eastAsia="方正小标宋简体" w:cs="方正小标宋简体"/>
          <w:bCs/>
          <w:color w:val="000000"/>
          <w:sz w:val="44"/>
          <w:szCs w:val="44"/>
        </w:rPr>
        <w:t>实施细则</w:t>
      </w:r>
    </w:p>
    <w:p>
      <w:pPr>
        <w:spacing w:line="520" w:lineRule="exact"/>
        <w:ind w:firstLine="880" w:firstLineChars="200"/>
        <w:rPr>
          <w:rFonts w:eastAsia="方正小标宋简体" w:cs="方正小标宋简体"/>
          <w:color w:val="000000"/>
          <w:sz w:val="44"/>
          <w:szCs w:val="44"/>
        </w:rPr>
      </w:pPr>
    </w:p>
    <w:p>
      <w:pPr>
        <w:spacing w:line="590" w:lineRule="exact"/>
        <w:ind w:firstLine="640" w:firstLineChars="200"/>
        <w:rPr>
          <w:rFonts w:ascii="黑体" w:hAnsi="黑体" w:eastAsia="黑体" w:cs="黑体"/>
          <w:color w:val="000000"/>
          <w:szCs w:val="32"/>
        </w:rPr>
      </w:pPr>
      <w:r>
        <w:rPr>
          <w:rFonts w:hint="eastAsia" w:ascii="黑体" w:hAnsi="黑体" w:eastAsia="黑体" w:cs="黑体"/>
          <w:color w:val="000000"/>
          <w:szCs w:val="32"/>
        </w:rPr>
        <w:t>一、抽样方法</w:t>
      </w:r>
    </w:p>
    <w:p>
      <w:pPr>
        <w:widowControl/>
        <w:spacing w:line="600" w:lineRule="exact"/>
        <w:ind w:firstLine="640" w:firstLineChars="200"/>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600" w:lineRule="exact"/>
        <w:ind w:firstLine="640" w:firstLineChars="200"/>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spacing w:line="590" w:lineRule="exact"/>
        <w:ind w:firstLine="640" w:firstLineChars="200"/>
        <w:rPr>
          <w:rFonts w:hint="eastAsia" w:ascii="仿宋" w:hAnsi="仿宋" w:eastAsia="仿宋" w:cs="仿宋"/>
          <w:color w:val="000000"/>
          <w:szCs w:val="32"/>
        </w:rPr>
      </w:pPr>
      <w:r>
        <w:rPr>
          <w:rFonts w:hint="eastAsia" w:ascii="仿宋" w:hAnsi="仿宋" w:eastAsia="仿宋" w:cs="仿宋"/>
          <w:color w:val="000000"/>
          <w:szCs w:val="32"/>
        </w:rPr>
        <w:t>抽查数量：每款产品抽取2组样本，第1组用于检验，第2组用于备样。其中第1组抽取样品2</w:t>
      </w:r>
      <w:r>
        <w:rPr>
          <w:rFonts w:hint="eastAsia" w:ascii="仿宋" w:hAnsi="仿宋" w:eastAsia="仿宋" w:cs="仿宋"/>
          <w:color w:val="000000"/>
          <w:kern w:val="0"/>
          <w:szCs w:val="32"/>
        </w:rPr>
        <w:t>台</w:t>
      </w:r>
      <w:r>
        <w:rPr>
          <w:rFonts w:hint="eastAsia" w:ascii="仿宋" w:hAnsi="仿宋" w:eastAsia="仿宋" w:cs="仿宋"/>
          <w:color w:val="000000"/>
          <w:szCs w:val="32"/>
        </w:rPr>
        <w:t>，第2组抽取样品1</w:t>
      </w:r>
      <w:r>
        <w:rPr>
          <w:rFonts w:hint="eastAsia" w:ascii="仿宋" w:hAnsi="仿宋" w:eastAsia="仿宋" w:cs="仿宋"/>
          <w:color w:val="000000"/>
          <w:kern w:val="0"/>
          <w:szCs w:val="32"/>
        </w:rPr>
        <w:t>台</w:t>
      </w:r>
      <w:r>
        <w:rPr>
          <w:rFonts w:hint="eastAsia" w:ascii="仿宋" w:hAnsi="仿宋" w:eastAsia="仿宋" w:cs="仿宋"/>
          <w:color w:val="000000"/>
          <w:szCs w:val="32"/>
        </w:rPr>
        <w:t>。</w:t>
      </w:r>
    </w:p>
    <w:p>
      <w:pPr>
        <w:spacing w:line="590" w:lineRule="exact"/>
        <w:ind w:firstLine="640" w:firstLineChars="200"/>
        <w:rPr>
          <w:rFonts w:eastAsia="黑体" w:cs="黑体"/>
          <w:color w:val="000000"/>
          <w:szCs w:val="32"/>
        </w:rPr>
      </w:pPr>
      <w:r>
        <w:rPr>
          <w:rFonts w:hint="eastAsia" w:eastAsia="黑体" w:cs="黑体"/>
          <w:color w:val="000000"/>
          <w:szCs w:val="32"/>
        </w:rPr>
        <w:t>二、主要检验项目及检验项目属性划分</w:t>
      </w:r>
    </w:p>
    <w:p>
      <w:pPr>
        <w:spacing w:line="590" w:lineRule="exact"/>
        <w:ind w:firstLine="640" w:firstLineChars="200"/>
        <w:rPr>
          <w:rFonts w:hint="eastAsia" w:ascii="楷体_GB2312" w:hAnsi="楷体_GB2312" w:eastAsia="楷体_GB2312" w:cs="楷体_GB2312"/>
          <w:color w:val="000000"/>
          <w:szCs w:val="32"/>
        </w:rPr>
      </w:pPr>
      <w:r>
        <w:rPr>
          <w:rFonts w:hint="eastAsia" w:ascii="楷体_GB2312" w:hAnsi="楷体_GB2312" w:eastAsia="楷体_GB2312" w:cs="楷体_GB2312"/>
          <w:color w:val="000000"/>
          <w:szCs w:val="32"/>
          <w:lang w:val="en-US" w:eastAsia="zh-CN"/>
        </w:rPr>
        <w:t>（一）</w:t>
      </w:r>
      <w:r>
        <w:rPr>
          <w:rFonts w:hint="eastAsia" w:ascii="楷体_GB2312" w:hAnsi="楷体_GB2312" w:eastAsia="楷体_GB2312" w:cs="楷体_GB2312"/>
          <w:color w:val="000000"/>
          <w:szCs w:val="32"/>
        </w:rPr>
        <w:t>执行GB 8898-2011</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908"/>
        <w:gridCol w:w="3248"/>
        <w:gridCol w:w="667"/>
        <w:gridCol w:w="667"/>
        <w:gridCol w:w="669"/>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310"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w:t>
            </w:r>
          </w:p>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号</w:t>
            </w:r>
          </w:p>
        </w:tc>
        <w:tc>
          <w:tcPr>
            <w:tcW w:w="1053"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792"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依据法律法规或标准</w:t>
            </w:r>
          </w:p>
        </w:tc>
        <w:tc>
          <w:tcPr>
            <w:tcW w:w="36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强制性</w:t>
            </w:r>
          </w:p>
        </w:tc>
        <w:tc>
          <w:tcPr>
            <w:tcW w:w="36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非强制性</w:t>
            </w:r>
          </w:p>
        </w:tc>
        <w:tc>
          <w:tcPr>
            <w:tcW w:w="369"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重要项</w:t>
            </w:r>
          </w:p>
        </w:tc>
        <w:tc>
          <w:tcPr>
            <w:tcW w:w="36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较重要项</w:t>
            </w:r>
          </w:p>
        </w:tc>
        <w:tc>
          <w:tcPr>
            <w:tcW w:w="369" w:type="pct"/>
            <w:tcBorders>
              <w:top w:val="single" w:color="auto" w:sz="4" w:space="0"/>
              <w:left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标记和说明书</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8898-2011条款5</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2</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正常工作条件下的发热</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8898-2011条款7</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3</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防电击保护的结构要求</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8898-2011条款8</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tabs>
                <w:tab w:val="left" w:pos="492"/>
              </w:tabs>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4</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正常工作条件下的电击危险</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8898-2011条款9</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5</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绝缘要求</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8898-2011条款10</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6</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电气间隙与爬电距离</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8898-2011条款13</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7</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机械强度</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8898-2011条款12</w:t>
            </w:r>
          </w:p>
        </w:tc>
        <w:tc>
          <w:tcPr>
            <w:tcW w:w="368" w:type="pct"/>
            <w:vAlign w:val="center"/>
          </w:tcPr>
          <w:p>
            <w:pPr>
              <w:widowControl/>
              <w:snapToGrid w:val="0"/>
              <w:spacing w:before="43" w:beforeLines="10" w:after="43" w:afterLines="10"/>
              <w:jc w:val="center"/>
              <w:rPr>
                <w:rFonts w:hint="eastAsia" w:ascii="仿宋" w:hAnsi="仿宋" w:eastAsia="仿宋" w:cs="仿宋"/>
                <w:color w:val="FF0000"/>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center"/>
              <w:rPr>
                <w:rFonts w:hint="eastAsia" w:ascii="仿宋" w:hAnsi="仿宋" w:eastAsia="仿宋" w:cs="仿宋"/>
                <w:color w:val="FF0000"/>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8</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稳定性和机械危险</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8898-2011条款19</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9</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元器件</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8898-2011条款14</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10</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端子</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8898-2011条款15</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11</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外接软线</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8898-2011条款16</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12</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电气连接和机械固定</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8898-2011条款17</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widowControl/>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snapToGrid w:val="0"/>
              <w:spacing w:before="43" w:beforeLines="10" w:after="43" w:afterLines="10"/>
              <w:jc w:val="center"/>
              <w:rPr>
                <w:rFonts w:hint="eastAsia" w:ascii="仿宋" w:hAnsi="仿宋" w:eastAsia="仿宋" w:cs="仿宋"/>
                <w:sz w:val="24"/>
              </w:rPr>
            </w:pP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tabs>
                <w:tab w:val="left" w:pos="2520"/>
              </w:tabs>
              <w:jc w:val="center"/>
              <w:rPr>
                <w:rFonts w:hint="eastAsia" w:ascii="仿宋" w:hAnsi="仿宋" w:eastAsia="仿宋" w:cs="仿宋"/>
                <w:sz w:val="24"/>
              </w:rPr>
            </w:pPr>
            <w:r>
              <w:rPr>
                <w:rFonts w:hint="eastAsia" w:ascii="仿宋" w:hAnsi="仿宋" w:eastAsia="仿宋" w:cs="仿宋"/>
                <w:sz w:val="24"/>
              </w:rPr>
              <w:t>13</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交流电源端口的传导发射</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GB/T 9254.1-2021</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tabs>
                <w:tab w:val="left" w:pos="2520"/>
              </w:tabs>
              <w:jc w:val="center"/>
              <w:rPr>
                <w:rFonts w:hint="eastAsia" w:ascii="仿宋" w:hAnsi="仿宋" w:eastAsia="仿宋" w:cs="仿宋"/>
                <w:sz w:val="24"/>
              </w:rPr>
            </w:pPr>
            <w:r>
              <w:rPr>
                <w:rFonts w:hint="eastAsia" w:ascii="仿宋" w:hAnsi="仿宋" w:eastAsia="仿宋" w:cs="仿宋"/>
                <w:sz w:val="24"/>
              </w:rPr>
              <w:t>14</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1GHz以下辐射发射</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GB/T 9254.1-2021</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tabs>
                <w:tab w:val="left" w:pos="2520"/>
              </w:tabs>
              <w:jc w:val="center"/>
              <w:rPr>
                <w:rFonts w:hint="eastAsia" w:ascii="仿宋" w:hAnsi="仿宋" w:eastAsia="仿宋" w:cs="仿宋"/>
                <w:sz w:val="24"/>
              </w:rPr>
            </w:pPr>
            <w:r>
              <w:rPr>
                <w:rFonts w:hint="eastAsia" w:ascii="仿宋" w:hAnsi="仿宋" w:eastAsia="仿宋" w:cs="仿宋"/>
                <w:sz w:val="24"/>
              </w:rPr>
              <w:t>15</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谐波电流</w:t>
            </w:r>
          </w:p>
        </w:tc>
        <w:tc>
          <w:tcPr>
            <w:tcW w:w="1792" w:type="pct"/>
            <w:vAlign w:val="center"/>
          </w:tcPr>
          <w:p>
            <w:pPr>
              <w:snapToGrid w:val="0"/>
              <w:jc w:val="left"/>
              <w:rPr>
                <w:rFonts w:hint="eastAsia" w:ascii="仿宋" w:hAnsi="仿宋" w:eastAsia="仿宋" w:cs="仿宋"/>
                <w:sz w:val="24"/>
              </w:rPr>
            </w:pPr>
            <w:r>
              <w:rPr>
                <w:rFonts w:hint="eastAsia" w:ascii="仿宋" w:hAnsi="仿宋" w:eastAsia="仿宋" w:cs="仿宋"/>
                <w:sz w:val="24"/>
              </w:rPr>
              <w:t>GB 17625.1-2012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bl>
    <w:p>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left"/>
        <w:textAlignment w:val="auto"/>
        <w:rPr>
          <w:rFonts w:hint="eastAsia" w:ascii="楷体_GB2312" w:hAnsi="楷体_GB2312" w:eastAsia="楷体_GB2312" w:cs="楷体_GB2312"/>
          <w:color w:val="000000"/>
          <w:szCs w:val="32"/>
        </w:rPr>
      </w:pPr>
      <w:r>
        <w:rPr>
          <w:rFonts w:hint="eastAsia" w:ascii="楷体_GB2312" w:hAnsi="楷体_GB2312" w:eastAsia="楷体_GB2312" w:cs="楷体_GB2312"/>
          <w:color w:val="000000"/>
          <w:szCs w:val="32"/>
          <w:lang w:eastAsia="zh-CN"/>
        </w:rPr>
        <w:t>（二）</w:t>
      </w:r>
      <w:r>
        <w:rPr>
          <w:rFonts w:hint="eastAsia" w:ascii="楷体_GB2312" w:hAnsi="楷体_GB2312" w:eastAsia="楷体_GB2312" w:cs="楷体_GB2312"/>
          <w:color w:val="000000"/>
          <w:szCs w:val="32"/>
        </w:rPr>
        <w:t>执行GB 8898-2011</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909"/>
        <w:gridCol w:w="3247"/>
        <w:gridCol w:w="667"/>
        <w:gridCol w:w="667"/>
        <w:gridCol w:w="669"/>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1" w:hRule="atLeast"/>
          <w:jc w:val="center"/>
        </w:trPr>
        <w:tc>
          <w:tcPr>
            <w:tcW w:w="310"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序</w:t>
            </w:r>
          </w:p>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号</w:t>
            </w:r>
          </w:p>
        </w:tc>
        <w:tc>
          <w:tcPr>
            <w:tcW w:w="1053"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检验项目</w:t>
            </w:r>
          </w:p>
        </w:tc>
        <w:tc>
          <w:tcPr>
            <w:tcW w:w="1791"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jc w:val="center"/>
              <w:rPr>
                <w:rFonts w:hint="eastAsia" w:ascii="黑体" w:hAnsi="黑体" w:eastAsia="黑体" w:cs="黑体"/>
                <w:sz w:val="24"/>
              </w:rPr>
            </w:pPr>
            <w:r>
              <w:rPr>
                <w:rFonts w:hint="eastAsia" w:ascii="黑体" w:hAnsi="黑体" w:eastAsia="黑体" w:cs="黑体"/>
                <w:sz w:val="24"/>
              </w:rPr>
              <w:t>依据法律法规或标准</w:t>
            </w:r>
          </w:p>
        </w:tc>
        <w:tc>
          <w:tcPr>
            <w:tcW w:w="36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强制性</w:t>
            </w:r>
          </w:p>
        </w:tc>
        <w:tc>
          <w:tcPr>
            <w:tcW w:w="36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非强制性</w:t>
            </w:r>
          </w:p>
        </w:tc>
        <w:tc>
          <w:tcPr>
            <w:tcW w:w="369"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重要项</w:t>
            </w:r>
          </w:p>
        </w:tc>
        <w:tc>
          <w:tcPr>
            <w:tcW w:w="368" w:type="pct"/>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较重要项</w:t>
            </w:r>
          </w:p>
        </w:tc>
        <w:tc>
          <w:tcPr>
            <w:tcW w:w="369" w:type="pct"/>
            <w:tcBorders>
              <w:top w:val="single" w:color="auto" w:sz="4" w:space="0"/>
              <w:left w:val="single" w:color="auto" w:sz="4" w:space="0"/>
              <w:right w:val="single" w:color="auto" w:sz="4" w:space="0"/>
            </w:tcBorders>
            <w:shd w:val="clear" w:color="auto" w:fill="D8D8D8" w:themeFill="background1" w:themeFillShade="D9"/>
            <w:vAlign w:val="center"/>
          </w:tcPr>
          <w:p>
            <w:pPr>
              <w:adjustRightInd w:val="0"/>
              <w:snapToGrid w:val="0"/>
              <w:spacing w:line="360" w:lineRule="exact"/>
              <w:ind w:left="-64" w:leftChars="-20" w:right="-64" w:rightChars="-20"/>
              <w:jc w:val="center"/>
              <w:rPr>
                <w:rFonts w:hint="eastAsia" w:ascii="黑体" w:hAnsi="黑体" w:eastAsia="黑体" w:cs="黑体"/>
                <w:sz w:val="24"/>
              </w:rPr>
            </w:pPr>
            <w:r>
              <w:rPr>
                <w:rFonts w:hint="eastAsia" w:ascii="黑体" w:hAnsi="黑体" w:eastAsia="黑体" w:cs="黑体"/>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标记和说明</w:t>
            </w:r>
          </w:p>
        </w:tc>
        <w:tc>
          <w:tcPr>
            <w:tcW w:w="1791" w:type="pct"/>
            <w:vAlign w:val="center"/>
          </w:tcPr>
          <w:p>
            <w:pPr>
              <w:widowControl/>
              <w:spacing w:before="43" w:beforeLines="10" w:after="43" w:afterLines="10"/>
              <w:jc w:val="left"/>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widowControl/>
              <w:snapToGrid w:val="0"/>
              <w:spacing w:before="43" w:beforeLines="10" w:after="43" w:afterLines="10"/>
              <w:jc w:val="lef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2</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bookmarkStart w:id="0" w:name="OLE_LINK32"/>
            <w:r>
              <w:rPr>
                <w:rFonts w:hint="eastAsia" w:ascii="仿宋" w:hAnsi="仿宋" w:eastAsia="仿宋" w:cs="仿宋"/>
                <w:sz w:val="24"/>
              </w:rPr>
              <w:t>导体的固定</w:t>
            </w:r>
            <w:bookmarkEnd w:id="0"/>
          </w:p>
        </w:tc>
        <w:tc>
          <w:tcPr>
            <w:tcW w:w="1791" w:type="pct"/>
          </w:tcPr>
          <w:p>
            <w:pPr>
              <w:widowControl/>
              <w:spacing w:before="43" w:beforeLines="10" w:after="43" w:afterLines="10"/>
              <w:jc w:val="left"/>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widowControl/>
              <w:snapToGrid w:val="0"/>
              <w:spacing w:before="43" w:beforeLines="10" w:after="43" w:afterLines="10"/>
              <w:jc w:val="lef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3</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电气间隙</w:t>
            </w:r>
          </w:p>
        </w:tc>
        <w:tc>
          <w:tcPr>
            <w:tcW w:w="1791" w:type="pct"/>
          </w:tcPr>
          <w:p>
            <w:pPr>
              <w:widowControl/>
              <w:spacing w:before="43" w:beforeLines="10" w:after="43" w:afterLines="10"/>
              <w:jc w:val="left"/>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left"/>
              <w:rPr>
                <w:rFonts w:hint="eastAsia" w:ascii="仿宋" w:hAnsi="仿宋" w:eastAsia="仿宋" w:cs="仿宋"/>
                <w:sz w:val="24"/>
              </w:rPr>
            </w:pPr>
          </w:p>
        </w:tc>
        <w:tc>
          <w:tcPr>
            <w:tcW w:w="369" w:type="pct"/>
            <w:vAlign w:val="center"/>
          </w:tcPr>
          <w:p>
            <w:pPr>
              <w:widowControl/>
              <w:snapToGrid w:val="0"/>
              <w:spacing w:before="43" w:beforeLines="10" w:after="43" w:afterLines="10"/>
              <w:jc w:val="lef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tabs>
                <w:tab w:val="left" w:pos="492"/>
              </w:tabs>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4</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爬电距离</w:t>
            </w:r>
          </w:p>
        </w:tc>
        <w:tc>
          <w:tcPr>
            <w:tcW w:w="1791" w:type="pct"/>
          </w:tcPr>
          <w:p>
            <w:pPr>
              <w:widowControl/>
              <w:spacing w:before="43" w:beforeLines="10" w:after="43" w:afterLines="10"/>
              <w:jc w:val="left"/>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left"/>
              <w:rPr>
                <w:rFonts w:hint="eastAsia" w:ascii="仿宋" w:hAnsi="仿宋" w:eastAsia="仿宋" w:cs="仿宋"/>
                <w:sz w:val="24"/>
              </w:rPr>
            </w:pPr>
          </w:p>
        </w:tc>
        <w:tc>
          <w:tcPr>
            <w:tcW w:w="369" w:type="pct"/>
            <w:vAlign w:val="center"/>
          </w:tcPr>
          <w:p>
            <w:pPr>
              <w:widowControl/>
              <w:snapToGrid w:val="0"/>
              <w:spacing w:before="43" w:beforeLines="10" w:after="43" w:afterLines="10"/>
              <w:jc w:val="lef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5</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天线端子绝缘</w:t>
            </w:r>
          </w:p>
        </w:tc>
        <w:tc>
          <w:tcPr>
            <w:tcW w:w="1791" w:type="pct"/>
          </w:tcPr>
          <w:p>
            <w:pPr>
              <w:widowControl/>
              <w:spacing w:before="43" w:beforeLines="10" w:after="43" w:afterLines="10"/>
              <w:jc w:val="left"/>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left"/>
              <w:rPr>
                <w:rFonts w:hint="eastAsia" w:ascii="仿宋" w:hAnsi="仿宋" w:eastAsia="仿宋" w:cs="仿宋"/>
                <w:sz w:val="24"/>
              </w:rPr>
            </w:pPr>
          </w:p>
        </w:tc>
        <w:tc>
          <w:tcPr>
            <w:tcW w:w="369" w:type="pct"/>
            <w:vAlign w:val="center"/>
          </w:tcPr>
          <w:p>
            <w:pPr>
              <w:widowControl/>
              <w:snapToGrid w:val="0"/>
              <w:spacing w:before="43" w:beforeLines="10" w:after="43" w:afterLines="10"/>
              <w:jc w:val="lef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6</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抗电强度试验</w:t>
            </w:r>
          </w:p>
        </w:tc>
        <w:tc>
          <w:tcPr>
            <w:tcW w:w="1791" w:type="pct"/>
          </w:tcPr>
          <w:p>
            <w:pPr>
              <w:widowControl/>
              <w:spacing w:before="43" w:beforeLines="10" w:after="43" w:afterLines="10"/>
              <w:jc w:val="left"/>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left"/>
              <w:rPr>
                <w:rFonts w:hint="eastAsia" w:ascii="仿宋" w:hAnsi="仿宋" w:eastAsia="仿宋" w:cs="仿宋"/>
                <w:sz w:val="24"/>
              </w:rPr>
            </w:pPr>
          </w:p>
        </w:tc>
        <w:tc>
          <w:tcPr>
            <w:tcW w:w="369" w:type="pct"/>
            <w:vAlign w:val="center"/>
          </w:tcPr>
          <w:p>
            <w:pPr>
              <w:widowControl/>
              <w:snapToGrid w:val="0"/>
              <w:spacing w:before="43" w:beforeLines="10" w:after="43" w:afterLines="10"/>
              <w:jc w:val="lef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7</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断开连接器后电容器的放电</w:t>
            </w:r>
          </w:p>
        </w:tc>
        <w:tc>
          <w:tcPr>
            <w:tcW w:w="1791" w:type="pct"/>
          </w:tcPr>
          <w:p>
            <w:pPr>
              <w:widowControl/>
              <w:spacing w:before="43" w:beforeLines="10" w:after="43" w:afterLines="10"/>
              <w:jc w:val="left"/>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left"/>
              <w:rPr>
                <w:rFonts w:hint="eastAsia" w:ascii="仿宋" w:hAnsi="仿宋" w:eastAsia="仿宋" w:cs="仿宋"/>
                <w:sz w:val="24"/>
              </w:rPr>
            </w:pPr>
          </w:p>
        </w:tc>
        <w:tc>
          <w:tcPr>
            <w:tcW w:w="369" w:type="pct"/>
            <w:vAlign w:val="center"/>
          </w:tcPr>
          <w:p>
            <w:pPr>
              <w:widowControl/>
              <w:snapToGrid w:val="0"/>
              <w:spacing w:before="43" w:beforeLines="10" w:after="43" w:afterLines="10"/>
              <w:jc w:val="lef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8</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bookmarkStart w:id="1" w:name="OLE_LINK26"/>
            <w:r>
              <w:rPr>
                <w:rFonts w:hint="eastAsia" w:ascii="仿宋" w:hAnsi="仿宋" w:eastAsia="仿宋" w:cs="仿宋"/>
                <w:sz w:val="24"/>
              </w:rPr>
              <w:t>保护导体</w:t>
            </w:r>
            <w:bookmarkEnd w:id="1"/>
          </w:p>
        </w:tc>
        <w:tc>
          <w:tcPr>
            <w:tcW w:w="1791" w:type="pct"/>
          </w:tcPr>
          <w:p>
            <w:pPr>
              <w:widowControl/>
              <w:spacing w:before="43" w:beforeLines="10" w:after="43" w:afterLines="10"/>
              <w:jc w:val="left"/>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left"/>
              <w:rPr>
                <w:rFonts w:hint="eastAsia" w:ascii="仿宋" w:hAnsi="仿宋" w:eastAsia="仿宋" w:cs="仿宋"/>
                <w:sz w:val="24"/>
              </w:rPr>
            </w:pPr>
          </w:p>
        </w:tc>
        <w:tc>
          <w:tcPr>
            <w:tcW w:w="369" w:type="pct"/>
            <w:vAlign w:val="center"/>
          </w:tcPr>
          <w:p>
            <w:pPr>
              <w:widowControl/>
              <w:snapToGrid w:val="0"/>
              <w:spacing w:before="43" w:beforeLines="10" w:after="43" w:afterLines="10"/>
              <w:jc w:val="lef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9</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预期的接触电压、接触电流和保护导体电流</w:t>
            </w:r>
          </w:p>
        </w:tc>
        <w:tc>
          <w:tcPr>
            <w:tcW w:w="1791" w:type="pct"/>
            <w:vAlign w:val="center"/>
          </w:tcPr>
          <w:p>
            <w:pPr>
              <w:widowControl/>
              <w:spacing w:before="43" w:beforeLines="10" w:after="43" w:afterLines="10"/>
              <w:jc w:val="left"/>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left"/>
              <w:rPr>
                <w:rFonts w:hint="eastAsia" w:ascii="仿宋" w:hAnsi="仿宋" w:eastAsia="仿宋" w:cs="仿宋"/>
                <w:sz w:val="24"/>
              </w:rPr>
            </w:pPr>
          </w:p>
        </w:tc>
        <w:tc>
          <w:tcPr>
            <w:tcW w:w="369" w:type="pct"/>
            <w:vAlign w:val="center"/>
          </w:tcPr>
          <w:p>
            <w:pPr>
              <w:widowControl/>
              <w:snapToGrid w:val="0"/>
              <w:spacing w:before="43" w:beforeLines="10" w:after="43" w:afterLines="10"/>
              <w:jc w:val="lef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10</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bookmarkStart w:id="2" w:name="OLE_LINK25"/>
            <w:r>
              <w:rPr>
                <w:rFonts w:hint="eastAsia" w:ascii="仿宋" w:hAnsi="仿宋" w:eastAsia="仿宋" w:cs="仿宋"/>
                <w:sz w:val="24"/>
              </w:rPr>
              <w:t>设备稳定性</w:t>
            </w:r>
            <w:bookmarkEnd w:id="2"/>
          </w:p>
        </w:tc>
        <w:tc>
          <w:tcPr>
            <w:tcW w:w="1791" w:type="pct"/>
          </w:tcPr>
          <w:p>
            <w:pPr>
              <w:widowControl/>
              <w:spacing w:before="43" w:beforeLines="10" w:after="43" w:afterLines="10"/>
              <w:jc w:val="left"/>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widowControl/>
              <w:adjustRightInd w:val="0"/>
              <w:snapToGrid w:val="0"/>
              <w:spacing w:before="43" w:beforeLines="10" w:after="43" w:afterLines="10"/>
              <w:jc w:val="left"/>
              <w:rPr>
                <w:rFonts w:hint="eastAsia" w:ascii="仿宋" w:hAnsi="仿宋" w:eastAsia="仿宋" w:cs="仿宋"/>
                <w:sz w:val="24"/>
              </w:rPr>
            </w:pPr>
          </w:p>
        </w:tc>
        <w:tc>
          <w:tcPr>
            <w:tcW w:w="369" w:type="pct"/>
            <w:vAlign w:val="center"/>
          </w:tcPr>
          <w:p>
            <w:pPr>
              <w:widowControl/>
              <w:snapToGrid w:val="0"/>
              <w:spacing w:before="43" w:beforeLines="10" w:after="43" w:afterLines="10"/>
              <w:jc w:val="lef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11</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热灼伤</w:t>
            </w:r>
          </w:p>
        </w:tc>
        <w:tc>
          <w:tcPr>
            <w:tcW w:w="1791" w:type="pct"/>
          </w:tcPr>
          <w:p>
            <w:pPr>
              <w:widowControl/>
              <w:spacing w:before="43" w:beforeLines="10" w:after="43" w:afterLines="10"/>
              <w:jc w:val="left"/>
              <w:rPr>
                <w:rFonts w:hint="eastAsia" w:ascii="仿宋" w:hAnsi="仿宋" w:eastAsia="仿宋" w:cs="仿宋"/>
                <w:sz w:val="24"/>
              </w:rPr>
            </w:pPr>
            <w:r>
              <w:rPr>
                <w:rFonts w:hint="eastAsia" w:ascii="仿宋" w:hAnsi="仿宋" w:eastAsia="仿宋" w:cs="仿宋"/>
                <w:sz w:val="24"/>
              </w:rPr>
              <w:t>GB 4943.1—2022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widowControl/>
              <w:snapToGrid w:val="0"/>
              <w:spacing w:before="43" w:beforeLines="10" w:after="43" w:afterLines="10"/>
              <w:jc w:val="left"/>
              <w:rPr>
                <w:rFonts w:hint="eastAsia" w:ascii="仿宋" w:hAnsi="仿宋" w:eastAsia="仿宋" w:cs="仿宋"/>
                <w:sz w:val="24"/>
              </w:rPr>
            </w:pPr>
          </w:p>
        </w:tc>
        <w:tc>
          <w:tcPr>
            <w:tcW w:w="369" w:type="pct"/>
            <w:vAlign w:val="center"/>
          </w:tcPr>
          <w:p>
            <w:pPr>
              <w:widowControl/>
              <w:snapToGrid w:val="0"/>
              <w:spacing w:before="43" w:beforeLines="10" w:after="43" w:afterLines="10"/>
              <w:jc w:val="left"/>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widowControl/>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12</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交流电源端口的传导发射</w:t>
            </w:r>
          </w:p>
        </w:tc>
        <w:tc>
          <w:tcPr>
            <w:tcW w:w="1791" w:type="pct"/>
            <w:vAlign w:val="center"/>
          </w:tcPr>
          <w:p>
            <w:pPr>
              <w:snapToGrid w:val="0"/>
              <w:jc w:val="left"/>
              <w:rPr>
                <w:rFonts w:hint="eastAsia" w:ascii="仿宋" w:hAnsi="仿宋" w:eastAsia="仿宋" w:cs="仿宋"/>
                <w:sz w:val="24"/>
              </w:rPr>
            </w:pPr>
            <w:r>
              <w:rPr>
                <w:rFonts w:hint="eastAsia" w:ascii="仿宋" w:hAnsi="仿宋" w:eastAsia="仿宋" w:cs="仿宋"/>
                <w:sz w:val="24"/>
              </w:rPr>
              <w:t>GB/T 9254.1-2021</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tabs>
                <w:tab w:val="left" w:pos="2520"/>
              </w:tabs>
              <w:jc w:val="center"/>
              <w:rPr>
                <w:rFonts w:hint="eastAsia" w:ascii="仿宋" w:hAnsi="仿宋" w:eastAsia="仿宋" w:cs="仿宋"/>
                <w:sz w:val="24"/>
              </w:rPr>
            </w:pPr>
            <w:r>
              <w:rPr>
                <w:rFonts w:hint="eastAsia" w:ascii="仿宋" w:hAnsi="仿宋" w:eastAsia="仿宋" w:cs="仿宋"/>
                <w:sz w:val="24"/>
              </w:rPr>
              <w:t>13</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1GHz以下辐射发射</w:t>
            </w:r>
          </w:p>
        </w:tc>
        <w:tc>
          <w:tcPr>
            <w:tcW w:w="1791" w:type="pct"/>
            <w:vAlign w:val="center"/>
          </w:tcPr>
          <w:p>
            <w:pPr>
              <w:snapToGrid w:val="0"/>
              <w:jc w:val="left"/>
              <w:rPr>
                <w:rFonts w:hint="eastAsia" w:ascii="仿宋" w:hAnsi="仿宋" w:eastAsia="仿宋" w:cs="仿宋"/>
                <w:sz w:val="24"/>
              </w:rPr>
            </w:pPr>
            <w:r>
              <w:rPr>
                <w:rFonts w:hint="eastAsia" w:ascii="仿宋" w:hAnsi="仿宋" w:eastAsia="仿宋" w:cs="仿宋"/>
                <w:sz w:val="24"/>
              </w:rPr>
              <w:t>GB/T 9254.1-2021</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310" w:type="pct"/>
            <w:vAlign w:val="center"/>
          </w:tcPr>
          <w:p>
            <w:pPr>
              <w:tabs>
                <w:tab w:val="left" w:pos="2520"/>
              </w:tabs>
              <w:jc w:val="center"/>
              <w:rPr>
                <w:rFonts w:hint="eastAsia" w:ascii="仿宋" w:hAnsi="仿宋" w:eastAsia="仿宋" w:cs="仿宋"/>
                <w:sz w:val="24"/>
              </w:rPr>
            </w:pPr>
            <w:r>
              <w:rPr>
                <w:rFonts w:hint="eastAsia" w:ascii="仿宋" w:hAnsi="仿宋" w:eastAsia="仿宋" w:cs="仿宋"/>
                <w:sz w:val="24"/>
              </w:rPr>
              <w:t>14</w:t>
            </w:r>
          </w:p>
        </w:tc>
        <w:tc>
          <w:tcPr>
            <w:tcW w:w="1053" w:type="pct"/>
            <w:vAlign w:val="center"/>
          </w:tcPr>
          <w:p>
            <w:pPr>
              <w:widowControl/>
              <w:snapToGrid w:val="0"/>
              <w:spacing w:before="43" w:beforeLines="10" w:after="43" w:afterLines="10"/>
              <w:jc w:val="left"/>
              <w:rPr>
                <w:rFonts w:hint="eastAsia" w:ascii="仿宋" w:hAnsi="仿宋" w:eastAsia="仿宋" w:cs="仿宋"/>
                <w:sz w:val="24"/>
              </w:rPr>
            </w:pPr>
            <w:r>
              <w:rPr>
                <w:rFonts w:hint="eastAsia" w:ascii="仿宋" w:hAnsi="仿宋" w:eastAsia="仿宋" w:cs="仿宋"/>
                <w:sz w:val="24"/>
              </w:rPr>
              <w:t>谐波电流</w:t>
            </w:r>
          </w:p>
        </w:tc>
        <w:tc>
          <w:tcPr>
            <w:tcW w:w="1791" w:type="pct"/>
            <w:vAlign w:val="center"/>
          </w:tcPr>
          <w:p>
            <w:pPr>
              <w:snapToGrid w:val="0"/>
              <w:jc w:val="left"/>
              <w:rPr>
                <w:rFonts w:hint="eastAsia" w:ascii="仿宋" w:hAnsi="仿宋" w:eastAsia="仿宋" w:cs="仿宋"/>
                <w:sz w:val="24"/>
              </w:rPr>
            </w:pPr>
            <w:r>
              <w:rPr>
                <w:rFonts w:hint="eastAsia" w:ascii="仿宋" w:hAnsi="仿宋" w:eastAsia="仿宋" w:cs="仿宋"/>
                <w:sz w:val="24"/>
              </w:rPr>
              <w:t>GB 17625.1-2012</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9" w:type="pct"/>
            <w:vAlign w:val="center"/>
          </w:tcPr>
          <w:p>
            <w:pPr>
              <w:adjustRightInd w:val="0"/>
              <w:snapToGrid w:val="0"/>
              <w:spacing w:before="43" w:beforeLines="10" w:after="43" w:afterLines="10"/>
              <w:jc w:val="center"/>
              <w:rPr>
                <w:rFonts w:hint="eastAsia" w:ascii="仿宋" w:hAnsi="仿宋" w:eastAsia="仿宋" w:cs="仿宋"/>
                <w:sz w:val="24"/>
              </w:rPr>
            </w:pPr>
          </w:p>
        </w:tc>
        <w:tc>
          <w:tcPr>
            <w:tcW w:w="368" w:type="pct"/>
            <w:vAlign w:val="center"/>
          </w:tcPr>
          <w:p>
            <w:pPr>
              <w:adjustRightInd w:val="0"/>
              <w:snapToGrid w:val="0"/>
              <w:spacing w:before="43" w:beforeLines="10" w:after="43" w:afterLines="10"/>
              <w:jc w:val="center"/>
              <w:rPr>
                <w:rFonts w:hint="eastAsia" w:ascii="仿宋" w:hAnsi="仿宋" w:eastAsia="仿宋" w:cs="仿宋"/>
                <w:sz w:val="24"/>
              </w:rPr>
            </w:pPr>
            <w:r>
              <w:rPr>
                <w:rFonts w:hint="eastAsia" w:ascii="仿宋" w:hAnsi="仿宋" w:eastAsia="仿宋" w:cs="仿宋"/>
                <w:sz w:val="24"/>
              </w:rPr>
              <w:t>●</w:t>
            </w:r>
          </w:p>
        </w:tc>
        <w:tc>
          <w:tcPr>
            <w:tcW w:w="369" w:type="pct"/>
            <w:vAlign w:val="center"/>
          </w:tcPr>
          <w:p>
            <w:pPr>
              <w:snapToGrid w:val="0"/>
              <w:spacing w:before="43" w:beforeLines="10" w:after="43" w:afterLines="10"/>
              <w:jc w:val="center"/>
              <w:rPr>
                <w:rFonts w:hint="eastAsia" w:ascii="仿宋" w:hAnsi="仿宋" w:eastAsia="仿宋" w:cs="仿宋"/>
                <w:sz w:val="24"/>
              </w:rPr>
            </w:pP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注：由于执行标准GB 4943.1—2022于2022年07月19日发布，2023年08月01日实施，故生产日期在2023年08月01日以前的用GB 8898—2011标准；在2023年08月01日以后的用GB 4943.1—2022标准。（2022年07月19日～2023年08月01日之间的如果使用说明书、证书明示的标准版本为GB 4943.1—2022的，按GB 4943.1—2022进行检验。）</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val="0"/>
        <w:snapToGrid w:val="0"/>
        <w:spacing w:line="560" w:lineRule="exact"/>
        <w:ind w:firstLine="600" w:firstLineChars="200"/>
        <w:jc w:val="left"/>
        <w:textAlignment w:val="auto"/>
        <w:rPr>
          <w:rFonts w:hint="eastAsia" w:ascii="仿宋" w:hAnsi="仿宋" w:eastAsia="仿宋" w:cs="仿宋"/>
          <w:color w:val="000000"/>
          <w:sz w:val="30"/>
          <w:szCs w:val="30"/>
        </w:rPr>
      </w:pPr>
      <w:r>
        <w:rPr>
          <w:rFonts w:hint="eastAsia" w:ascii="仿宋" w:hAnsi="仿宋" w:eastAsia="仿宋" w:cs="仿宋"/>
          <w:color w:val="000000"/>
          <w:sz w:val="30"/>
          <w:szCs w:val="30"/>
        </w:rPr>
        <w:t>凡是注日期的文件，其随后所有的修改单（不包括勘误的内容）或修订版不适用于本细则。凡是不注日期的文件，其最新版本适用于本细则。</w:t>
      </w:r>
    </w:p>
    <w:p>
      <w:pPr>
        <w:spacing w:line="600" w:lineRule="exact"/>
        <w:ind w:firstLine="640" w:firstLineChars="200"/>
        <w:rPr>
          <w:rFonts w:eastAsia="黑体" w:cs="黑体"/>
          <w:szCs w:val="32"/>
        </w:rPr>
      </w:pPr>
      <w:r>
        <w:rPr>
          <w:rFonts w:hint="eastAsia" w:eastAsia="黑体" w:cs="黑体"/>
          <w:szCs w:val="32"/>
        </w:rPr>
        <w:t>三、判定规则</w:t>
      </w:r>
    </w:p>
    <w:p>
      <w:pPr>
        <w:widowControl/>
        <w:spacing w:line="600" w:lineRule="exact"/>
        <w:ind w:firstLine="640" w:firstLineChars="200"/>
        <w:rPr>
          <w:rFonts w:hint="eastAsia" w:ascii="仿宋" w:hAnsi="仿宋" w:eastAsia="仿宋" w:cs="仿宋"/>
          <w:kern w:val="0"/>
          <w:szCs w:val="32"/>
        </w:rPr>
      </w:pPr>
      <w:r>
        <w:rPr>
          <w:rFonts w:hint="eastAsia" w:ascii="楷体_GB2312" w:hAnsi="楷体_GB2312" w:eastAsia="楷体_GB2312" w:cs="楷体_GB2312"/>
          <w:kern w:val="0"/>
          <w:szCs w:val="32"/>
        </w:rPr>
        <w:t>（一）依据标准</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1. 强制性标准:</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GB 8898-2011《音频、视频及类似电子设备 安全要求》</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GB 4943.1-2022 《音视频、信息技术和通信技术设备 第1部分：安全要求》</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GB 17625.1-2012《电磁兼容 限值 谐波电流发射限值(设备每相输入电流≤16A)》</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2. 推荐性标准：</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GB/T 9254.1-2021《信息技术设备、多媒体设备和接收机 电磁兼容 第1部分：发射要求》</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现行有效的企业标准、团体标准、地方标准及产品明示质量要求。</w:t>
      </w:r>
    </w:p>
    <w:p>
      <w:pPr>
        <w:widowControl/>
        <w:spacing w:line="600" w:lineRule="exact"/>
        <w:ind w:firstLine="640" w:firstLineChars="200"/>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（二）判定</w:t>
      </w:r>
      <w:bookmarkStart w:id="3" w:name="_GoBack"/>
      <w:bookmarkEnd w:id="3"/>
      <w:r>
        <w:rPr>
          <w:rFonts w:hint="eastAsia" w:ascii="楷体_GB2312" w:hAnsi="楷体_GB2312" w:eastAsia="楷体_GB2312" w:cs="楷体_GB2312"/>
          <w:kern w:val="0"/>
          <w:szCs w:val="32"/>
        </w:rPr>
        <w:t>原则</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经检验，检验项目全部合格，判定为抽取的样本所检项目未检出不合格；检验项目中任一项或一项以上不合格，判定为被抽查产品不合格。</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当被检样品明示的质量要求劣于或不包含监督抽查实施细则中依据的强制性标准要求时，应按照强制性标准要求判定；</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当被检样品明示的质量要求不包含监督抽查实施细则中依据的推荐性标准要求时，该指标不参与判定，但应在检验报告中作出说明；</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当被检样品未能提供有效的企业标准时，按相关国家或行业标准进行判定；</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widowControl/>
        <w:spacing w:line="600" w:lineRule="exact"/>
        <w:ind w:firstLine="640" w:firstLineChars="200"/>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MT Extra">
    <w:panose1 w:val="05050102010205020202"/>
    <w:charset w:val="00"/>
    <w:family w:val="auto"/>
    <w:pitch w:val="default"/>
    <w:sig w:usb0="8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35ED"/>
    <w:rsid w:val="00024B7C"/>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274A2"/>
    <w:rsid w:val="00132F01"/>
    <w:rsid w:val="0013531B"/>
    <w:rsid w:val="00140E48"/>
    <w:rsid w:val="00142CE7"/>
    <w:rsid w:val="00154109"/>
    <w:rsid w:val="001625EA"/>
    <w:rsid w:val="00165386"/>
    <w:rsid w:val="00165F2E"/>
    <w:rsid w:val="00171EE0"/>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A84"/>
    <w:rsid w:val="002C6F5A"/>
    <w:rsid w:val="002D145E"/>
    <w:rsid w:val="002D2C93"/>
    <w:rsid w:val="002D3092"/>
    <w:rsid w:val="002D4A4A"/>
    <w:rsid w:val="002D797E"/>
    <w:rsid w:val="002F00EC"/>
    <w:rsid w:val="002F327D"/>
    <w:rsid w:val="002F5E35"/>
    <w:rsid w:val="00302710"/>
    <w:rsid w:val="003052D5"/>
    <w:rsid w:val="003056E2"/>
    <w:rsid w:val="003129BF"/>
    <w:rsid w:val="00317122"/>
    <w:rsid w:val="00324DC2"/>
    <w:rsid w:val="00324F9C"/>
    <w:rsid w:val="003257CC"/>
    <w:rsid w:val="00331E2F"/>
    <w:rsid w:val="00342025"/>
    <w:rsid w:val="00342B64"/>
    <w:rsid w:val="00347461"/>
    <w:rsid w:val="00352CEF"/>
    <w:rsid w:val="00357BCA"/>
    <w:rsid w:val="00360DB7"/>
    <w:rsid w:val="003622FD"/>
    <w:rsid w:val="00366551"/>
    <w:rsid w:val="0037507C"/>
    <w:rsid w:val="00380581"/>
    <w:rsid w:val="00380FB0"/>
    <w:rsid w:val="0038150B"/>
    <w:rsid w:val="00386BB5"/>
    <w:rsid w:val="00386C07"/>
    <w:rsid w:val="003901D9"/>
    <w:rsid w:val="00395AF4"/>
    <w:rsid w:val="003A4317"/>
    <w:rsid w:val="003A4562"/>
    <w:rsid w:val="003A4890"/>
    <w:rsid w:val="003A7AD5"/>
    <w:rsid w:val="003B0BCA"/>
    <w:rsid w:val="003B5B19"/>
    <w:rsid w:val="003C36E5"/>
    <w:rsid w:val="003C4963"/>
    <w:rsid w:val="003C5337"/>
    <w:rsid w:val="003D2B00"/>
    <w:rsid w:val="003D372D"/>
    <w:rsid w:val="003E1832"/>
    <w:rsid w:val="003E35EF"/>
    <w:rsid w:val="003E4858"/>
    <w:rsid w:val="003F0535"/>
    <w:rsid w:val="003F39F5"/>
    <w:rsid w:val="0041136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D07E0"/>
    <w:rsid w:val="005D2F56"/>
    <w:rsid w:val="005D477F"/>
    <w:rsid w:val="005E7D31"/>
    <w:rsid w:val="005F1BC4"/>
    <w:rsid w:val="005F2819"/>
    <w:rsid w:val="005F557E"/>
    <w:rsid w:val="00600D18"/>
    <w:rsid w:val="0060154F"/>
    <w:rsid w:val="006023D8"/>
    <w:rsid w:val="00605E07"/>
    <w:rsid w:val="00607E6D"/>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61C9"/>
    <w:rsid w:val="007724F8"/>
    <w:rsid w:val="00774616"/>
    <w:rsid w:val="00774C67"/>
    <w:rsid w:val="007812D2"/>
    <w:rsid w:val="00782023"/>
    <w:rsid w:val="007843C5"/>
    <w:rsid w:val="0079793F"/>
    <w:rsid w:val="007A6937"/>
    <w:rsid w:val="007A6986"/>
    <w:rsid w:val="007B32AD"/>
    <w:rsid w:val="007B49F9"/>
    <w:rsid w:val="007C25A6"/>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3789"/>
    <w:rsid w:val="00896CD5"/>
    <w:rsid w:val="008A09FC"/>
    <w:rsid w:val="008A146E"/>
    <w:rsid w:val="008A6916"/>
    <w:rsid w:val="008A6E54"/>
    <w:rsid w:val="008A7590"/>
    <w:rsid w:val="008B6593"/>
    <w:rsid w:val="008D124E"/>
    <w:rsid w:val="008D4108"/>
    <w:rsid w:val="008E186E"/>
    <w:rsid w:val="008E3FF9"/>
    <w:rsid w:val="008E4F06"/>
    <w:rsid w:val="008F1222"/>
    <w:rsid w:val="008F254E"/>
    <w:rsid w:val="008F36D4"/>
    <w:rsid w:val="008F491E"/>
    <w:rsid w:val="00902A3F"/>
    <w:rsid w:val="00911A6E"/>
    <w:rsid w:val="00914E3C"/>
    <w:rsid w:val="00920A99"/>
    <w:rsid w:val="00920CB6"/>
    <w:rsid w:val="00922E5B"/>
    <w:rsid w:val="00931A75"/>
    <w:rsid w:val="00937A2F"/>
    <w:rsid w:val="009403F0"/>
    <w:rsid w:val="00947765"/>
    <w:rsid w:val="00947BFE"/>
    <w:rsid w:val="0095010E"/>
    <w:rsid w:val="00954FD8"/>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5D73"/>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80EA2"/>
    <w:rsid w:val="00A85FFB"/>
    <w:rsid w:val="00A90A7A"/>
    <w:rsid w:val="00AA3349"/>
    <w:rsid w:val="00AA3658"/>
    <w:rsid w:val="00AB100C"/>
    <w:rsid w:val="00AB3B0B"/>
    <w:rsid w:val="00AB5E64"/>
    <w:rsid w:val="00AB7747"/>
    <w:rsid w:val="00AC5A64"/>
    <w:rsid w:val="00AC68FE"/>
    <w:rsid w:val="00AD38E2"/>
    <w:rsid w:val="00AE26C3"/>
    <w:rsid w:val="00AE3F23"/>
    <w:rsid w:val="00AF055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A6502"/>
    <w:rsid w:val="00BB4BF5"/>
    <w:rsid w:val="00BC333C"/>
    <w:rsid w:val="00BC351D"/>
    <w:rsid w:val="00BD0C33"/>
    <w:rsid w:val="00BD12B3"/>
    <w:rsid w:val="00BE3BFF"/>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87E4C"/>
    <w:rsid w:val="00C93ACF"/>
    <w:rsid w:val="00C950EE"/>
    <w:rsid w:val="00CA1718"/>
    <w:rsid w:val="00CA425B"/>
    <w:rsid w:val="00CA61B5"/>
    <w:rsid w:val="00CC5C02"/>
    <w:rsid w:val="00CC78CE"/>
    <w:rsid w:val="00CD6080"/>
    <w:rsid w:val="00CD6B1C"/>
    <w:rsid w:val="00CD7BCE"/>
    <w:rsid w:val="00CE2578"/>
    <w:rsid w:val="00CE319C"/>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E5535"/>
    <w:rsid w:val="00DF10F1"/>
    <w:rsid w:val="00DF29CA"/>
    <w:rsid w:val="00DF7E42"/>
    <w:rsid w:val="00E0001B"/>
    <w:rsid w:val="00E045F0"/>
    <w:rsid w:val="00E050EB"/>
    <w:rsid w:val="00E0702D"/>
    <w:rsid w:val="00E12646"/>
    <w:rsid w:val="00E130C9"/>
    <w:rsid w:val="00E1499A"/>
    <w:rsid w:val="00E15FC0"/>
    <w:rsid w:val="00E17AF0"/>
    <w:rsid w:val="00E224AE"/>
    <w:rsid w:val="00E2520D"/>
    <w:rsid w:val="00E27235"/>
    <w:rsid w:val="00E316E7"/>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F00FE3"/>
    <w:rsid w:val="00F12796"/>
    <w:rsid w:val="00F12AC2"/>
    <w:rsid w:val="00F15589"/>
    <w:rsid w:val="00F16768"/>
    <w:rsid w:val="00F24F8E"/>
    <w:rsid w:val="00F25E54"/>
    <w:rsid w:val="00F27C96"/>
    <w:rsid w:val="00F32F82"/>
    <w:rsid w:val="00F35380"/>
    <w:rsid w:val="00F44BD1"/>
    <w:rsid w:val="00F45D5F"/>
    <w:rsid w:val="00F55149"/>
    <w:rsid w:val="00F558CD"/>
    <w:rsid w:val="00F6345C"/>
    <w:rsid w:val="00F63535"/>
    <w:rsid w:val="00F63F44"/>
    <w:rsid w:val="00F67B96"/>
    <w:rsid w:val="00F775C9"/>
    <w:rsid w:val="00F823C1"/>
    <w:rsid w:val="00F827E5"/>
    <w:rsid w:val="00F87A27"/>
    <w:rsid w:val="00FA3326"/>
    <w:rsid w:val="00FA4329"/>
    <w:rsid w:val="00FA5D05"/>
    <w:rsid w:val="00FB2698"/>
    <w:rsid w:val="00FB466B"/>
    <w:rsid w:val="00FC0BE1"/>
    <w:rsid w:val="00FC4942"/>
    <w:rsid w:val="00FD6C34"/>
    <w:rsid w:val="00FE3526"/>
    <w:rsid w:val="00FF317F"/>
    <w:rsid w:val="4C7D7677"/>
    <w:rsid w:val="5B973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uiPriority w:val="0"/>
    <w:pPr>
      <w:adjustRightInd w:val="0"/>
    </w:pPr>
    <w:rPr>
      <w:rFonts w:hint="eastAsia" w:ascii="宋体" w:eastAsia="宋体"/>
      <w:kern w:val="0"/>
      <w:sz w:val="21"/>
      <w:szCs w:val="20"/>
    </w:rPr>
  </w:style>
  <w:style w:type="paragraph" w:customStyle="1" w:styleId="10">
    <w:name w:val="(文字) (文字)1 Char (文字) (文字) Char"/>
    <w:basedOn w:val="1"/>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0"/>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348</Words>
  <Characters>1984</Characters>
  <Lines>16</Lines>
  <Paragraphs>4</Paragraphs>
  <TotalTime>3</TotalTime>
  <ScaleCrop>false</ScaleCrop>
  <LinksUpToDate>false</LinksUpToDate>
  <CharactersWithSpaces>2328</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2023-04-20T12:13:00Z</dcterms:created>
  <dc:creator>微软用户</dc:creator>
  <cp:lastModifiedBy>刘赞</cp:lastModifiedBy>
  <dcterms:modified xsi:type="dcterms:W3CDTF">2023-05-10T08:44:17Z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695507ED015545ED9530C1EE747F09F1</vt:lpwstr>
  </property>
</Properties>
</file>