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660" w:lineRule="exact"/>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珠海市LED读写台灯产品质量监督抽查</w:t>
      </w:r>
    </w:p>
    <w:p>
      <w:pPr>
        <w:widowControl/>
        <w:spacing w:line="660" w:lineRule="exact"/>
        <w:jc w:val="center"/>
        <w:rPr>
          <w:rFonts w:hint="eastAsia" w:ascii="方正小标宋简体" w:hAnsi="方正小标宋简体" w:eastAsia="方正小标宋简体" w:cs="方正小标宋简体"/>
          <w:b w:val="0"/>
          <w:bCs/>
          <w:color w:val="000000"/>
          <w:sz w:val="44"/>
          <w:szCs w:val="44"/>
        </w:rPr>
      </w:pPr>
      <w:r>
        <w:rPr>
          <w:rFonts w:hint="eastAsia" w:ascii="方正小标宋简体" w:hAnsi="方正小标宋简体" w:eastAsia="方正小标宋简体" w:cs="方正小标宋简体"/>
          <w:b w:val="0"/>
          <w:bCs/>
          <w:color w:val="000000"/>
          <w:sz w:val="44"/>
          <w:szCs w:val="44"/>
        </w:rPr>
        <w:t>实施细则</w:t>
      </w:r>
    </w:p>
    <w:p>
      <w:pPr>
        <w:spacing w:line="520" w:lineRule="exact"/>
        <w:ind w:firstLine="880" w:firstLineChars="200"/>
        <w:jc w:val="left"/>
        <w:rPr>
          <w:rFonts w:eastAsia="方正小标宋简体" w:cs="方正小标宋简体"/>
          <w:color w:val="000000"/>
          <w:sz w:val="44"/>
          <w:szCs w:val="44"/>
        </w:rPr>
      </w:pPr>
    </w:p>
    <w:p>
      <w:pPr>
        <w:spacing w:line="578" w:lineRule="exact"/>
        <w:ind w:firstLine="640" w:firstLineChars="200"/>
        <w:jc w:val="left"/>
        <w:rPr>
          <w:rFonts w:ascii="黑体" w:hAnsi="黑体" w:eastAsia="黑体" w:cs="黑体"/>
          <w:color w:val="000000"/>
          <w:szCs w:val="32"/>
        </w:rPr>
      </w:pPr>
      <w:r>
        <w:rPr>
          <w:rFonts w:hint="eastAsia" w:ascii="黑体" w:hAnsi="黑体" w:eastAsia="黑体" w:cs="黑体"/>
          <w:color w:val="000000"/>
          <w:szCs w:val="32"/>
        </w:rPr>
        <w:t>一、抽样方法</w:t>
      </w:r>
    </w:p>
    <w:p>
      <w:pPr>
        <w:widowControl/>
        <w:spacing w:line="578" w:lineRule="exact"/>
        <w:ind w:firstLine="640" w:firstLineChars="200"/>
        <w:jc w:val="left"/>
        <w:rPr>
          <w:rFonts w:hint="eastAsia" w:ascii="仿宋" w:hAnsi="仿宋" w:eastAsia="仿宋" w:cs="仿宋"/>
          <w:szCs w:val="32"/>
        </w:rPr>
      </w:pPr>
      <w:r>
        <w:rPr>
          <w:rFonts w:hint="eastAsia" w:ascii="仿宋" w:hAnsi="仿宋" w:eastAsia="仿宋" w:cs="仿宋"/>
          <w:kern w:val="0"/>
          <w:szCs w:val="32"/>
        </w:rPr>
        <w:t>以随机抽样的方式在被抽查市场主体的待销产品中抽取。</w:t>
      </w:r>
    </w:p>
    <w:p>
      <w:pPr>
        <w:widowControl/>
        <w:spacing w:line="578" w:lineRule="exact"/>
        <w:ind w:firstLine="640" w:firstLineChars="200"/>
        <w:jc w:val="left"/>
        <w:rPr>
          <w:rFonts w:hint="eastAsia" w:ascii="仿宋" w:hAnsi="仿宋" w:eastAsia="仿宋" w:cs="仿宋"/>
          <w:szCs w:val="32"/>
        </w:rPr>
      </w:pPr>
      <w:r>
        <w:rPr>
          <w:rFonts w:hint="eastAsia" w:ascii="仿宋" w:hAnsi="仿宋" w:eastAsia="仿宋" w:cs="仿宋"/>
          <w:color w:val="333333"/>
          <w:kern w:val="0"/>
          <w:szCs w:val="32"/>
        </w:rPr>
        <w:t>随机数一般可使用随机数表等方法产生。</w:t>
      </w:r>
    </w:p>
    <w:p>
      <w:pPr>
        <w:spacing w:line="578" w:lineRule="exact"/>
        <w:ind w:firstLine="640" w:firstLineChars="200"/>
        <w:jc w:val="left"/>
        <w:rPr>
          <w:rFonts w:hint="eastAsia" w:ascii="仿宋" w:hAnsi="仿宋" w:eastAsia="仿宋" w:cs="仿宋"/>
          <w:color w:val="000000"/>
          <w:szCs w:val="32"/>
        </w:rPr>
      </w:pPr>
      <w:r>
        <w:rPr>
          <w:rFonts w:hint="eastAsia" w:ascii="仿宋" w:hAnsi="仿宋" w:eastAsia="仿宋" w:cs="仿宋"/>
          <w:color w:val="000000"/>
          <w:szCs w:val="32"/>
        </w:rPr>
        <w:t>抽查数量：每款产品抽取2组样本，第1组用于检验，第2组用于备样。其中第1组抽取样品2</w:t>
      </w:r>
      <w:r>
        <w:rPr>
          <w:rFonts w:hint="eastAsia" w:ascii="仿宋" w:hAnsi="仿宋" w:eastAsia="仿宋" w:cs="仿宋"/>
          <w:color w:val="000000"/>
          <w:kern w:val="0"/>
          <w:szCs w:val="32"/>
        </w:rPr>
        <w:t>台</w:t>
      </w:r>
      <w:r>
        <w:rPr>
          <w:rFonts w:hint="eastAsia" w:ascii="仿宋" w:hAnsi="仿宋" w:eastAsia="仿宋" w:cs="仿宋"/>
          <w:color w:val="000000"/>
          <w:szCs w:val="32"/>
        </w:rPr>
        <w:t>，第2组抽取样品1</w:t>
      </w:r>
      <w:r>
        <w:rPr>
          <w:rFonts w:hint="eastAsia" w:ascii="仿宋" w:hAnsi="仿宋" w:eastAsia="仿宋" w:cs="仿宋"/>
          <w:color w:val="000000"/>
          <w:kern w:val="0"/>
          <w:szCs w:val="32"/>
        </w:rPr>
        <w:t>台</w:t>
      </w:r>
      <w:r>
        <w:rPr>
          <w:rFonts w:hint="eastAsia" w:ascii="仿宋" w:hAnsi="仿宋" w:eastAsia="仿宋" w:cs="仿宋"/>
          <w:color w:val="000000"/>
          <w:szCs w:val="32"/>
        </w:rPr>
        <w:t>。</w:t>
      </w:r>
    </w:p>
    <w:p>
      <w:pPr>
        <w:spacing w:line="590" w:lineRule="exact"/>
        <w:ind w:firstLine="640" w:firstLineChars="200"/>
        <w:jc w:val="left"/>
        <w:rPr>
          <w:rFonts w:ascii="黑体" w:hAnsi="黑体" w:eastAsia="黑体" w:cs="黑体"/>
          <w:color w:val="000000"/>
          <w:szCs w:val="32"/>
        </w:rPr>
      </w:pPr>
      <w:r>
        <w:rPr>
          <w:rFonts w:hint="eastAsia" w:eastAsia="黑体" w:cs="黑体"/>
          <w:color w:val="000000"/>
          <w:szCs w:val="32"/>
        </w:rPr>
        <w:t>二、主要检验项目及检验项目属性划分</w:t>
      </w:r>
    </w:p>
    <w:tbl>
      <w:tblPr>
        <w:tblStyle w:val="4"/>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68"/>
        <w:gridCol w:w="1702"/>
        <w:gridCol w:w="3248"/>
        <w:gridCol w:w="667"/>
        <w:gridCol w:w="667"/>
        <w:gridCol w:w="669"/>
        <w:gridCol w:w="667"/>
        <w:gridCol w:w="6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561"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序号</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检验项目</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jc w:val="center"/>
              <w:rPr>
                <w:rFonts w:hint="eastAsia" w:ascii="黑体" w:hAnsi="黑体" w:eastAsia="黑体" w:cs="黑体"/>
                <w:color w:val="000000"/>
                <w:sz w:val="24"/>
              </w:rPr>
            </w:pPr>
            <w:r>
              <w:rPr>
                <w:rFonts w:hint="eastAsia" w:ascii="黑体" w:hAnsi="黑体" w:eastAsia="黑体" w:cs="黑体"/>
                <w:color w:val="000000"/>
                <w:sz w:val="24"/>
              </w:rPr>
              <w:t>依据法律法规或标准</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rPr>
            </w:pPr>
            <w:r>
              <w:rPr>
                <w:rFonts w:hint="eastAsia" w:ascii="黑体" w:hAnsi="黑体" w:eastAsia="黑体" w:cs="黑体"/>
                <w:color w:val="000000"/>
                <w:sz w:val="24"/>
              </w:rPr>
              <w:t>强制性</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rPr>
            </w:pPr>
            <w:r>
              <w:rPr>
                <w:rFonts w:hint="eastAsia" w:ascii="黑体" w:hAnsi="黑体" w:eastAsia="黑体" w:cs="黑体"/>
                <w:color w:val="000000"/>
                <w:sz w:val="24"/>
              </w:rPr>
              <w:t>非强制性</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rPr>
            </w:pPr>
            <w:r>
              <w:rPr>
                <w:rFonts w:hint="eastAsia" w:ascii="黑体" w:hAnsi="黑体" w:eastAsia="黑体" w:cs="黑体"/>
                <w:color w:val="000000"/>
                <w:sz w:val="24"/>
              </w:rPr>
              <w:t>重要项</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rPr>
            </w:pPr>
            <w:r>
              <w:rPr>
                <w:rFonts w:hint="eastAsia" w:ascii="黑体" w:hAnsi="黑体" w:eastAsia="黑体" w:cs="黑体"/>
                <w:color w:val="000000"/>
                <w:sz w:val="24"/>
              </w:rPr>
              <w:t>较重要项</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spacing w:line="360" w:lineRule="exact"/>
              <w:ind w:left="-64" w:leftChars="-20" w:right="-64" w:rightChars="-20"/>
              <w:jc w:val="center"/>
              <w:rPr>
                <w:rFonts w:hint="eastAsia" w:ascii="黑体" w:hAnsi="黑体" w:eastAsia="黑体" w:cs="黑体"/>
                <w:color w:val="000000"/>
                <w:sz w:val="24"/>
              </w:rPr>
            </w:pPr>
            <w:r>
              <w:rPr>
                <w:rFonts w:hint="eastAsia" w:ascii="黑体" w:hAnsi="黑体" w:eastAsia="黑体" w:cs="黑体"/>
                <w:color w:val="000000"/>
                <w:sz w:val="24"/>
              </w:rPr>
              <w:t>次要项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标记</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7000.1-2015条款3</w:t>
            </w:r>
          </w:p>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7000.204–2008条款5</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70"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bCs/>
                <w:color w:val="000000" w:themeColor="text1"/>
                <w:sz w:val="24"/>
                <w14:textFill>
                  <w14:solidFill>
                    <w14:schemeClr w14:val="tx1"/>
                  </w14:solidFill>
                </w14:textFill>
              </w:rPr>
              <w:t>结构</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7000.1-2015条款4</w:t>
            </w:r>
          </w:p>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7000.204–2008条款6</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外部接线和内部接线</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7000.1-2015条款5</w:t>
            </w:r>
          </w:p>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7000.204–2008条款10</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接地规定</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7000.1-2015条款7</w:t>
            </w:r>
          </w:p>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7000.204–2008条款8</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5</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防触电保护</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7000.1-2015条款8</w:t>
            </w:r>
          </w:p>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7000.204–2008条款11</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6</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潮湿试验</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7000.1-2015条款9.3</w:t>
            </w:r>
          </w:p>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7000.204–2008条款13</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7</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绝缘电阻</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7000.1-2015条款10</w:t>
            </w:r>
          </w:p>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7000.204–2008条款14</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8</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电气强度</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7000.1-2015条款10</w:t>
            </w:r>
          </w:p>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7000.204–2008条款14</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32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spacing w:before="43" w:beforeLines="10" w:after="43" w:afterLines="10" w:line="32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9</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泄漏电流</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7000.1-2015条款10</w:t>
            </w:r>
          </w:p>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7000.204–2008条款14</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10</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爬电距离和电气间隙</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7000.1-2015条款11</w:t>
            </w:r>
          </w:p>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7000.204–2008条款7</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95"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11</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耐久性试验</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7000.1-2015条款12.3</w:t>
            </w:r>
          </w:p>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7000.204–2008条款12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12</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耐热</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7000.1-2015条款13.2</w:t>
            </w:r>
          </w:p>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7000.204–2008条款15</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13</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耐燃烧、防引燃</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7000.1-2015条款13.3</w:t>
            </w:r>
          </w:p>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7000.204–2008条款15</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14</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骚扰电压</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GB/T 17743-2021</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15</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辐射磁场骚扰</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GB/T 17743-2021</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16</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辐射电磁骚扰</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GB/T 17743-2021</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 w:hRule="atLeast"/>
          <w:jc w:val="center"/>
        </w:trPr>
        <w:tc>
          <w:tcPr>
            <w:tcW w:w="424" w:type="pct"/>
            <w:tcBorders>
              <w:top w:val="single" w:color="000000" w:sz="8" w:space="0"/>
              <w:left w:val="single" w:color="000000" w:sz="8" w:space="0"/>
              <w:bottom w:val="single" w:color="000000" w:sz="8" w:space="0"/>
              <w:right w:val="single" w:color="000000" w:sz="8" w:space="0"/>
            </w:tcBorders>
            <w:shd w:val="clear" w:color="auto" w:fill="auto"/>
            <w:vAlign w:val="center"/>
          </w:tcPr>
          <w:p>
            <w:pPr>
              <w:tabs>
                <w:tab w:val="left" w:pos="2520"/>
              </w:tabs>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17</w:t>
            </w:r>
          </w:p>
        </w:tc>
        <w:tc>
          <w:tcPr>
            <w:tcW w:w="939" w:type="pct"/>
            <w:tcBorders>
              <w:top w:val="single" w:color="000000" w:sz="8" w:space="0"/>
              <w:left w:val="single" w:color="000000" w:sz="8" w:space="0"/>
              <w:bottom w:val="single" w:color="000000" w:sz="8" w:space="0"/>
              <w:right w:val="single" w:color="000000" w:sz="8" w:space="0"/>
            </w:tcBorders>
            <w:shd w:val="clear" w:color="auto" w:fill="auto"/>
            <w:vAlign w:val="center"/>
          </w:tcPr>
          <w:p>
            <w:pPr>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谐波电流发射</w:t>
            </w:r>
          </w:p>
        </w:tc>
        <w:tc>
          <w:tcPr>
            <w:tcW w:w="1792" w:type="pct"/>
            <w:tcBorders>
              <w:top w:val="single" w:color="000000" w:sz="8" w:space="0"/>
              <w:left w:val="single" w:color="000000" w:sz="8" w:space="0"/>
              <w:bottom w:val="single" w:color="000000" w:sz="8" w:space="0"/>
              <w:right w:val="single" w:color="000000" w:sz="8" w:space="0"/>
            </w:tcBorders>
            <w:shd w:val="clear" w:color="auto" w:fill="auto"/>
            <w:vAlign w:val="center"/>
          </w:tcPr>
          <w:p>
            <w:pPr>
              <w:snapToGrid w:val="0"/>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GB 17625.1-2012</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widowControl/>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c>
          <w:tcPr>
            <w:tcW w:w="368"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pacing w:before="43" w:beforeLines="10" w:after="43" w:afterLines="10" w:line="240" w:lineRule="exact"/>
              <w:jc w:val="center"/>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w:t>
            </w:r>
          </w:p>
        </w:tc>
        <w:tc>
          <w:tcPr>
            <w:tcW w:w="369" w:type="pct"/>
            <w:tcBorders>
              <w:top w:val="single" w:color="000000" w:sz="8" w:space="0"/>
              <w:left w:val="single" w:color="000000" w:sz="8" w:space="0"/>
              <w:bottom w:val="single" w:color="000000" w:sz="8" w:space="0"/>
              <w:right w:val="single" w:color="000000" w:sz="8" w:space="0"/>
            </w:tcBorders>
            <w:shd w:val="clear" w:color="auto" w:fill="auto"/>
            <w:vAlign w:val="center"/>
          </w:tcPr>
          <w:p>
            <w:pPr>
              <w:adjustRightInd w:val="0"/>
              <w:snapToGrid w:val="0"/>
              <w:jc w:val="center"/>
              <w:rPr>
                <w:rFonts w:hint="eastAsia" w:ascii="仿宋" w:hAnsi="仿宋" w:eastAsia="仿宋" w:cs="仿宋"/>
                <w:color w:val="000000" w:themeColor="text1"/>
                <w:sz w:val="24"/>
                <w14:textFill>
                  <w14:solidFill>
                    <w14:schemeClr w14:val="tx1"/>
                  </w14:solidFill>
                </w14:textFill>
              </w:rPr>
            </w:pPr>
          </w:p>
        </w:tc>
      </w:tr>
    </w:tbl>
    <w:p>
      <w:pPr>
        <w:adjustRightInd w:val="0"/>
        <w:snapToGrid w:val="0"/>
        <w:ind w:firstLine="600" w:firstLineChars="200"/>
        <w:jc w:val="left"/>
        <w:rPr>
          <w:rFonts w:hint="eastAsia" w:ascii="仿宋" w:hAnsi="仿宋" w:eastAsia="仿宋" w:cs="仿宋"/>
          <w:color w:val="000000"/>
          <w:sz w:val="30"/>
          <w:szCs w:val="30"/>
        </w:rPr>
      </w:pPr>
      <w:r>
        <w:rPr>
          <w:rFonts w:hint="eastAsia" w:ascii="仿宋" w:hAnsi="仿宋" w:eastAsia="仿宋" w:cs="仿宋"/>
          <w:color w:val="000000"/>
          <w:sz w:val="30"/>
          <w:szCs w:val="30"/>
        </w:rPr>
        <w:t>注： 执行企业标准、团体标准、地方标准的产品，检验项目参照上述内容执行。</w:t>
      </w:r>
    </w:p>
    <w:p>
      <w:pPr>
        <w:adjustRightInd w:val="0"/>
        <w:snapToGrid w:val="0"/>
        <w:ind w:firstLine="600" w:firstLineChars="200"/>
        <w:jc w:val="left"/>
        <w:rPr>
          <w:rFonts w:hint="eastAsia" w:ascii="仿宋" w:hAnsi="仿宋" w:eastAsia="仿宋" w:cs="仿宋"/>
          <w:color w:val="000000"/>
          <w:sz w:val="30"/>
          <w:szCs w:val="30"/>
        </w:rPr>
      </w:pPr>
      <w:r>
        <w:rPr>
          <w:rFonts w:hint="eastAsia" w:ascii="仿宋" w:hAnsi="仿宋" w:eastAsia="仿宋" w:cs="仿宋"/>
          <w:color w:val="000000"/>
          <w:sz w:val="30"/>
          <w:szCs w:val="30"/>
        </w:rPr>
        <w:t>凡是注日期的文件，其随后所有的修改单（不包括勘误的内容）或修订版不适用于本细则。凡是不注日期的文件，其最新版本适用于本细则。</w:t>
      </w:r>
    </w:p>
    <w:p>
      <w:pPr>
        <w:spacing w:line="600" w:lineRule="exact"/>
        <w:ind w:firstLine="640" w:firstLineChars="200"/>
        <w:jc w:val="left"/>
        <w:rPr>
          <w:rFonts w:eastAsia="黑体" w:cs="黑体"/>
          <w:szCs w:val="32"/>
        </w:rPr>
      </w:pPr>
      <w:r>
        <w:rPr>
          <w:rFonts w:hint="eastAsia" w:eastAsia="黑体" w:cs="黑体"/>
          <w:szCs w:val="32"/>
        </w:rPr>
        <w:t>三、判定规则</w:t>
      </w:r>
    </w:p>
    <w:p>
      <w:pPr>
        <w:spacing w:line="578" w:lineRule="exact"/>
        <w:ind w:firstLine="624" w:firstLineChars="200"/>
        <w:jc w:val="left"/>
        <w:rPr>
          <w:rFonts w:hint="eastAsia" w:ascii="楷体_GB2312" w:hAnsi="楷体_GB2312" w:eastAsia="楷体_GB2312" w:cs="楷体_GB2312"/>
          <w:b w:val="0"/>
          <w:bCs w:val="0"/>
          <w:color w:val="000000"/>
          <w:spacing w:val="-4"/>
          <w:szCs w:val="32"/>
        </w:rPr>
      </w:pPr>
      <w:r>
        <w:rPr>
          <w:rFonts w:hint="eastAsia" w:ascii="楷体_GB2312" w:hAnsi="楷体_GB2312" w:eastAsia="楷体_GB2312" w:cs="楷体_GB2312"/>
          <w:b w:val="0"/>
          <w:bCs w:val="0"/>
          <w:color w:val="000000"/>
          <w:spacing w:val="-4"/>
          <w:szCs w:val="32"/>
        </w:rPr>
        <w:t>（一）依据标准</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1.强制性标准:</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 7000.1—2015《灯具 第1部分：一般要求与试验》</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 7000.204—2008《灯具 第2-4部分：特殊要求 可移式通用灯具》</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 17625.1-2012《电磁兼容 限值 谐波电流发射限值(设备每相输入电流≤16A)》</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2.推荐性标准:</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GB/T 17743-2021 《电气照明和类似设备的无线电骚扰特性的限值和测量方法》</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现行有效的企业标准、团体标准、地方标准及产品明示质量要求。</w:t>
      </w:r>
    </w:p>
    <w:p>
      <w:pPr>
        <w:widowControl/>
        <w:spacing w:line="578" w:lineRule="exact"/>
        <w:ind w:firstLine="640" w:firstLineChars="200"/>
        <w:jc w:val="left"/>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（二）判定</w:t>
      </w:r>
      <w:bookmarkStart w:id="0" w:name="_GoBack"/>
      <w:bookmarkEnd w:id="0"/>
      <w:r>
        <w:rPr>
          <w:rFonts w:hint="eastAsia" w:ascii="楷体_GB2312" w:hAnsi="楷体_GB2312" w:eastAsia="楷体_GB2312" w:cs="楷体_GB2312"/>
          <w:kern w:val="0"/>
          <w:szCs w:val="32"/>
        </w:rPr>
        <w:t>原则</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经检验，检验项目全部合格，判定为抽取的样本所检项目未检出不合格；检验项目中任一项或一项以上不合格，判定为被抽查产品不合格。</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当被检样品明示的质量要求优于监督抽查实施细则中依据的标准要求时，应按被检样品明示的质量要求判定；</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当被检样品明示的质量要求劣于或不包含监督抽查实施细则中依据的强制性标准要求时，应按照强制性标准要求判定；</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当被检样品明示的质量要求劣于或包含监督抽查实施细则中依据的推荐性标准要求时，应以被检样品明示的质量要求判定，如相应检验结果不符合相关推荐性标准要求时，应在检验报告中予以说明；</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当被检样品明示的质量要求不包含监督抽查实施细则中依据的推荐性标准要求时，该指标不参与判定，但应在检验报告中作出说明；</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当被检样品未能提供有效的企业标准时，按相关国家或行业标准进行判定；</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当被检样品标签标识中执行标准信息和产品类别信息不明或有误，影响检测和判定时，可根据相关强制性标准要求，同时结合产品特点等信息判断和选择相关标准进行检验，并应在检验报告中作出相关说明；</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按照产品质量相关法律法规的规定判定。</w:t>
      </w:r>
    </w:p>
    <w:p>
      <w:pPr>
        <w:widowControl/>
        <w:spacing w:line="578" w:lineRule="exact"/>
        <w:ind w:firstLine="640" w:firstLineChars="200"/>
        <w:jc w:val="left"/>
        <w:rPr>
          <w:rFonts w:hint="eastAsia" w:ascii="仿宋" w:hAnsi="仿宋" w:eastAsia="仿宋" w:cs="仿宋"/>
          <w:kern w:val="0"/>
          <w:szCs w:val="32"/>
        </w:rPr>
      </w:pPr>
      <w:r>
        <w:rPr>
          <w:rFonts w:hint="eastAsia" w:ascii="仿宋" w:hAnsi="仿宋" w:eastAsia="仿宋" w:cs="仿宋"/>
          <w:kern w:val="0"/>
          <w:szCs w:val="32"/>
        </w:rPr>
        <w:t>检验中发现因样品失效或者其他原因致使检验无法进行的，检验人员应如实记录，并提供相关证明材料，报送组织监督抽查的市场监管部门。</w:t>
      </w:r>
    </w:p>
    <w:sectPr>
      <w:headerReference r:id="rId3" w:type="default"/>
      <w:headerReference r:id="rId4" w:type="even"/>
      <w:pgSz w:w="11906" w:h="16838"/>
      <w:pgMar w:top="2098" w:right="1474" w:bottom="1984" w:left="158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7BCA"/>
    <w:rsid w:val="0000204A"/>
    <w:rsid w:val="0000490C"/>
    <w:rsid w:val="00010514"/>
    <w:rsid w:val="00010804"/>
    <w:rsid w:val="000135ED"/>
    <w:rsid w:val="00025539"/>
    <w:rsid w:val="000360CA"/>
    <w:rsid w:val="00044431"/>
    <w:rsid w:val="00046227"/>
    <w:rsid w:val="000512B6"/>
    <w:rsid w:val="00064623"/>
    <w:rsid w:val="00065C58"/>
    <w:rsid w:val="0006663D"/>
    <w:rsid w:val="00067B88"/>
    <w:rsid w:val="000713FD"/>
    <w:rsid w:val="00074B58"/>
    <w:rsid w:val="00076BE3"/>
    <w:rsid w:val="00077169"/>
    <w:rsid w:val="0008148B"/>
    <w:rsid w:val="00083A5C"/>
    <w:rsid w:val="00086BB7"/>
    <w:rsid w:val="0009349D"/>
    <w:rsid w:val="000A16A3"/>
    <w:rsid w:val="000B206E"/>
    <w:rsid w:val="000B4CC6"/>
    <w:rsid w:val="000C0A23"/>
    <w:rsid w:val="000C0E00"/>
    <w:rsid w:val="000C0EF8"/>
    <w:rsid w:val="000C0FCF"/>
    <w:rsid w:val="000C1357"/>
    <w:rsid w:val="000C242E"/>
    <w:rsid w:val="000C2466"/>
    <w:rsid w:val="000C2BB3"/>
    <w:rsid w:val="000D016E"/>
    <w:rsid w:val="000D1DB6"/>
    <w:rsid w:val="000D51C0"/>
    <w:rsid w:val="000D765A"/>
    <w:rsid w:val="000D7A3F"/>
    <w:rsid w:val="000E2EDF"/>
    <w:rsid w:val="00103144"/>
    <w:rsid w:val="00104BE7"/>
    <w:rsid w:val="001109E2"/>
    <w:rsid w:val="00113A36"/>
    <w:rsid w:val="001162B5"/>
    <w:rsid w:val="00132F01"/>
    <w:rsid w:val="0013531B"/>
    <w:rsid w:val="00140E48"/>
    <w:rsid w:val="00142CE7"/>
    <w:rsid w:val="00154109"/>
    <w:rsid w:val="001625EA"/>
    <w:rsid w:val="00165386"/>
    <w:rsid w:val="00165F2E"/>
    <w:rsid w:val="00173D51"/>
    <w:rsid w:val="0017504F"/>
    <w:rsid w:val="00186791"/>
    <w:rsid w:val="00186836"/>
    <w:rsid w:val="00186E21"/>
    <w:rsid w:val="001907BA"/>
    <w:rsid w:val="0019418D"/>
    <w:rsid w:val="0019434A"/>
    <w:rsid w:val="00194D22"/>
    <w:rsid w:val="00195A75"/>
    <w:rsid w:val="00195C9E"/>
    <w:rsid w:val="00197584"/>
    <w:rsid w:val="001A2412"/>
    <w:rsid w:val="001A3303"/>
    <w:rsid w:val="001A38F9"/>
    <w:rsid w:val="001A568D"/>
    <w:rsid w:val="001B4DE7"/>
    <w:rsid w:val="001B5949"/>
    <w:rsid w:val="001C372E"/>
    <w:rsid w:val="001C58FE"/>
    <w:rsid w:val="001D0328"/>
    <w:rsid w:val="001D03CE"/>
    <w:rsid w:val="001D4C84"/>
    <w:rsid w:val="001D636F"/>
    <w:rsid w:val="001E0364"/>
    <w:rsid w:val="001E0B92"/>
    <w:rsid w:val="001E2D66"/>
    <w:rsid w:val="001E3304"/>
    <w:rsid w:val="001F6AB3"/>
    <w:rsid w:val="00201951"/>
    <w:rsid w:val="00201EA6"/>
    <w:rsid w:val="00204C03"/>
    <w:rsid w:val="00205495"/>
    <w:rsid w:val="00207E59"/>
    <w:rsid w:val="002144FA"/>
    <w:rsid w:val="00220B42"/>
    <w:rsid w:val="0022165E"/>
    <w:rsid w:val="002268D2"/>
    <w:rsid w:val="0023492A"/>
    <w:rsid w:val="00237AC2"/>
    <w:rsid w:val="002415C1"/>
    <w:rsid w:val="0024697F"/>
    <w:rsid w:val="00250FB8"/>
    <w:rsid w:val="00252369"/>
    <w:rsid w:val="002534FF"/>
    <w:rsid w:val="00254591"/>
    <w:rsid w:val="002568F8"/>
    <w:rsid w:val="002609E9"/>
    <w:rsid w:val="002614AD"/>
    <w:rsid w:val="002640CB"/>
    <w:rsid w:val="0026592F"/>
    <w:rsid w:val="00266BE4"/>
    <w:rsid w:val="00266F13"/>
    <w:rsid w:val="00277343"/>
    <w:rsid w:val="002816E6"/>
    <w:rsid w:val="00283960"/>
    <w:rsid w:val="00286FB1"/>
    <w:rsid w:val="00287DE5"/>
    <w:rsid w:val="00290DFC"/>
    <w:rsid w:val="00291A9D"/>
    <w:rsid w:val="00296A48"/>
    <w:rsid w:val="002A1FE1"/>
    <w:rsid w:val="002A3B02"/>
    <w:rsid w:val="002A4BD1"/>
    <w:rsid w:val="002A5256"/>
    <w:rsid w:val="002A6E37"/>
    <w:rsid w:val="002B00B2"/>
    <w:rsid w:val="002B05A1"/>
    <w:rsid w:val="002B1A6E"/>
    <w:rsid w:val="002B68E9"/>
    <w:rsid w:val="002B7EE8"/>
    <w:rsid w:val="002C0A11"/>
    <w:rsid w:val="002C279B"/>
    <w:rsid w:val="002C5697"/>
    <w:rsid w:val="002C5902"/>
    <w:rsid w:val="002C6F5A"/>
    <w:rsid w:val="002D145E"/>
    <w:rsid w:val="002D3092"/>
    <w:rsid w:val="002D4A4A"/>
    <w:rsid w:val="002D797E"/>
    <w:rsid w:val="002F00EC"/>
    <w:rsid w:val="002F327D"/>
    <w:rsid w:val="002F5E35"/>
    <w:rsid w:val="00302710"/>
    <w:rsid w:val="003052D5"/>
    <w:rsid w:val="003056E2"/>
    <w:rsid w:val="003129BF"/>
    <w:rsid w:val="00312C45"/>
    <w:rsid w:val="0031498C"/>
    <w:rsid w:val="00317122"/>
    <w:rsid w:val="00324DC2"/>
    <w:rsid w:val="003257CC"/>
    <w:rsid w:val="00331E2F"/>
    <w:rsid w:val="00342025"/>
    <w:rsid w:val="00342B64"/>
    <w:rsid w:val="00347461"/>
    <w:rsid w:val="00352CEF"/>
    <w:rsid w:val="00357BCA"/>
    <w:rsid w:val="00357FF9"/>
    <w:rsid w:val="00360DB7"/>
    <w:rsid w:val="003622FD"/>
    <w:rsid w:val="00365D7A"/>
    <w:rsid w:val="00366551"/>
    <w:rsid w:val="0037507C"/>
    <w:rsid w:val="00380581"/>
    <w:rsid w:val="00380FB0"/>
    <w:rsid w:val="0038150B"/>
    <w:rsid w:val="00386BB5"/>
    <w:rsid w:val="00386C07"/>
    <w:rsid w:val="003901D9"/>
    <w:rsid w:val="00395AF4"/>
    <w:rsid w:val="003A4317"/>
    <w:rsid w:val="003A4562"/>
    <w:rsid w:val="003A4890"/>
    <w:rsid w:val="003A5AB0"/>
    <w:rsid w:val="003A7AD5"/>
    <w:rsid w:val="003B0BCA"/>
    <w:rsid w:val="003B5B19"/>
    <w:rsid w:val="003C36E5"/>
    <w:rsid w:val="003C4963"/>
    <w:rsid w:val="003C5337"/>
    <w:rsid w:val="003D2B00"/>
    <w:rsid w:val="003D372D"/>
    <w:rsid w:val="003E35EF"/>
    <w:rsid w:val="003E4858"/>
    <w:rsid w:val="003F0535"/>
    <w:rsid w:val="003F39F5"/>
    <w:rsid w:val="0040675E"/>
    <w:rsid w:val="00411367"/>
    <w:rsid w:val="00412407"/>
    <w:rsid w:val="004144DA"/>
    <w:rsid w:val="00423F5A"/>
    <w:rsid w:val="00431EDB"/>
    <w:rsid w:val="0044553D"/>
    <w:rsid w:val="004464C0"/>
    <w:rsid w:val="00463941"/>
    <w:rsid w:val="004649FC"/>
    <w:rsid w:val="004769BA"/>
    <w:rsid w:val="00485CC8"/>
    <w:rsid w:val="0049367C"/>
    <w:rsid w:val="004A41A4"/>
    <w:rsid w:val="004B4015"/>
    <w:rsid w:val="004B413A"/>
    <w:rsid w:val="004B77AF"/>
    <w:rsid w:val="004D47ED"/>
    <w:rsid w:val="004D6DF9"/>
    <w:rsid w:val="004E141C"/>
    <w:rsid w:val="004E14A1"/>
    <w:rsid w:val="004E6B5B"/>
    <w:rsid w:val="004F3054"/>
    <w:rsid w:val="005114C8"/>
    <w:rsid w:val="00516501"/>
    <w:rsid w:val="005249CD"/>
    <w:rsid w:val="005268FC"/>
    <w:rsid w:val="005300B0"/>
    <w:rsid w:val="005338B8"/>
    <w:rsid w:val="0053436D"/>
    <w:rsid w:val="00535928"/>
    <w:rsid w:val="005534EA"/>
    <w:rsid w:val="00556D74"/>
    <w:rsid w:val="00557E74"/>
    <w:rsid w:val="00563B3E"/>
    <w:rsid w:val="005738E3"/>
    <w:rsid w:val="00577637"/>
    <w:rsid w:val="00581F68"/>
    <w:rsid w:val="0058395D"/>
    <w:rsid w:val="00585910"/>
    <w:rsid w:val="00586713"/>
    <w:rsid w:val="00586E4E"/>
    <w:rsid w:val="005B059F"/>
    <w:rsid w:val="005B3F63"/>
    <w:rsid w:val="005B5CAB"/>
    <w:rsid w:val="005B6988"/>
    <w:rsid w:val="005C3688"/>
    <w:rsid w:val="005D07E0"/>
    <w:rsid w:val="005D2F56"/>
    <w:rsid w:val="005D477F"/>
    <w:rsid w:val="005E7D31"/>
    <w:rsid w:val="005F1BC4"/>
    <w:rsid w:val="005F2819"/>
    <w:rsid w:val="005F557E"/>
    <w:rsid w:val="005F78A9"/>
    <w:rsid w:val="00600D18"/>
    <w:rsid w:val="0060154F"/>
    <w:rsid w:val="006023D8"/>
    <w:rsid w:val="00602520"/>
    <w:rsid w:val="00605E07"/>
    <w:rsid w:val="0061787D"/>
    <w:rsid w:val="00620653"/>
    <w:rsid w:val="00621ED2"/>
    <w:rsid w:val="00621F02"/>
    <w:rsid w:val="00624299"/>
    <w:rsid w:val="0063211C"/>
    <w:rsid w:val="00635E12"/>
    <w:rsid w:val="006375E8"/>
    <w:rsid w:val="00641963"/>
    <w:rsid w:val="006443CA"/>
    <w:rsid w:val="00653A6E"/>
    <w:rsid w:val="00655B58"/>
    <w:rsid w:val="00662E80"/>
    <w:rsid w:val="00663B3F"/>
    <w:rsid w:val="006671EE"/>
    <w:rsid w:val="00670047"/>
    <w:rsid w:val="006746F3"/>
    <w:rsid w:val="006746F8"/>
    <w:rsid w:val="0068232E"/>
    <w:rsid w:val="0069267A"/>
    <w:rsid w:val="00696D19"/>
    <w:rsid w:val="006A246B"/>
    <w:rsid w:val="006A4C0C"/>
    <w:rsid w:val="006A5EFA"/>
    <w:rsid w:val="006B4B4B"/>
    <w:rsid w:val="006C3911"/>
    <w:rsid w:val="006D09AD"/>
    <w:rsid w:val="006D2420"/>
    <w:rsid w:val="006D3236"/>
    <w:rsid w:val="006D5F64"/>
    <w:rsid w:val="006E1551"/>
    <w:rsid w:val="006E2283"/>
    <w:rsid w:val="006F3DD9"/>
    <w:rsid w:val="00705D0B"/>
    <w:rsid w:val="0071216D"/>
    <w:rsid w:val="00715452"/>
    <w:rsid w:val="00720E17"/>
    <w:rsid w:val="00720FCB"/>
    <w:rsid w:val="00720FF4"/>
    <w:rsid w:val="007227F3"/>
    <w:rsid w:val="00737057"/>
    <w:rsid w:val="007377E0"/>
    <w:rsid w:val="00756E05"/>
    <w:rsid w:val="00756F96"/>
    <w:rsid w:val="007615B6"/>
    <w:rsid w:val="007661C9"/>
    <w:rsid w:val="007724F8"/>
    <w:rsid w:val="00774C67"/>
    <w:rsid w:val="00777851"/>
    <w:rsid w:val="007812D2"/>
    <w:rsid w:val="00782023"/>
    <w:rsid w:val="007843C5"/>
    <w:rsid w:val="0079793F"/>
    <w:rsid w:val="007A6986"/>
    <w:rsid w:val="007B32AD"/>
    <w:rsid w:val="007B49F9"/>
    <w:rsid w:val="007C25A6"/>
    <w:rsid w:val="007C40ED"/>
    <w:rsid w:val="007D0CE8"/>
    <w:rsid w:val="007D1D7A"/>
    <w:rsid w:val="007D31FA"/>
    <w:rsid w:val="007D60E0"/>
    <w:rsid w:val="007E195F"/>
    <w:rsid w:val="007E5902"/>
    <w:rsid w:val="007F45C1"/>
    <w:rsid w:val="007F6622"/>
    <w:rsid w:val="00803FCE"/>
    <w:rsid w:val="00815EDF"/>
    <w:rsid w:val="00820112"/>
    <w:rsid w:val="0082018D"/>
    <w:rsid w:val="00820AA6"/>
    <w:rsid w:val="0082147E"/>
    <w:rsid w:val="008252BC"/>
    <w:rsid w:val="0083291B"/>
    <w:rsid w:val="0083292A"/>
    <w:rsid w:val="008339F1"/>
    <w:rsid w:val="008377E2"/>
    <w:rsid w:val="00837E53"/>
    <w:rsid w:val="00840914"/>
    <w:rsid w:val="00846A4F"/>
    <w:rsid w:val="00852EAA"/>
    <w:rsid w:val="00853009"/>
    <w:rsid w:val="00853611"/>
    <w:rsid w:val="008536BF"/>
    <w:rsid w:val="00855D2E"/>
    <w:rsid w:val="00857F21"/>
    <w:rsid w:val="00861148"/>
    <w:rsid w:val="00862D0E"/>
    <w:rsid w:val="0086637C"/>
    <w:rsid w:val="00866BD8"/>
    <w:rsid w:val="00871B2C"/>
    <w:rsid w:val="00872879"/>
    <w:rsid w:val="00873230"/>
    <w:rsid w:val="008830EA"/>
    <w:rsid w:val="00885A76"/>
    <w:rsid w:val="00886933"/>
    <w:rsid w:val="00887753"/>
    <w:rsid w:val="00892B4D"/>
    <w:rsid w:val="00896CD5"/>
    <w:rsid w:val="008A09FC"/>
    <w:rsid w:val="008A6916"/>
    <w:rsid w:val="008A6E54"/>
    <w:rsid w:val="008A7590"/>
    <w:rsid w:val="008B6593"/>
    <w:rsid w:val="008D124E"/>
    <w:rsid w:val="008E186E"/>
    <w:rsid w:val="008E3FF9"/>
    <w:rsid w:val="008E4F06"/>
    <w:rsid w:val="008E6353"/>
    <w:rsid w:val="008F1222"/>
    <w:rsid w:val="008F254E"/>
    <w:rsid w:val="008F36D4"/>
    <w:rsid w:val="008F491E"/>
    <w:rsid w:val="00902A3F"/>
    <w:rsid w:val="00911A6E"/>
    <w:rsid w:val="00914E3C"/>
    <w:rsid w:val="00920A99"/>
    <w:rsid w:val="00920CB6"/>
    <w:rsid w:val="00922E5B"/>
    <w:rsid w:val="00931A75"/>
    <w:rsid w:val="00937A2F"/>
    <w:rsid w:val="00947765"/>
    <w:rsid w:val="00947A26"/>
    <w:rsid w:val="00947BFE"/>
    <w:rsid w:val="0095010E"/>
    <w:rsid w:val="009540E3"/>
    <w:rsid w:val="00955073"/>
    <w:rsid w:val="00956D35"/>
    <w:rsid w:val="009607EC"/>
    <w:rsid w:val="009636F5"/>
    <w:rsid w:val="0096678F"/>
    <w:rsid w:val="00967A82"/>
    <w:rsid w:val="009711E4"/>
    <w:rsid w:val="0097370B"/>
    <w:rsid w:val="00984244"/>
    <w:rsid w:val="00984812"/>
    <w:rsid w:val="00995632"/>
    <w:rsid w:val="00996D3B"/>
    <w:rsid w:val="009B0BCF"/>
    <w:rsid w:val="009B4AB3"/>
    <w:rsid w:val="009B67CF"/>
    <w:rsid w:val="009C20FA"/>
    <w:rsid w:val="009C2CD5"/>
    <w:rsid w:val="009C313C"/>
    <w:rsid w:val="009C67A2"/>
    <w:rsid w:val="009D2963"/>
    <w:rsid w:val="009D7475"/>
    <w:rsid w:val="009E1B61"/>
    <w:rsid w:val="009F5295"/>
    <w:rsid w:val="00A00055"/>
    <w:rsid w:val="00A113DB"/>
    <w:rsid w:val="00A14AEB"/>
    <w:rsid w:val="00A152DF"/>
    <w:rsid w:val="00A15F11"/>
    <w:rsid w:val="00A2033E"/>
    <w:rsid w:val="00A24345"/>
    <w:rsid w:val="00A265AB"/>
    <w:rsid w:val="00A3184F"/>
    <w:rsid w:val="00A33459"/>
    <w:rsid w:val="00A33F3E"/>
    <w:rsid w:val="00A346BF"/>
    <w:rsid w:val="00A36578"/>
    <w:rsid w:val="00A41C38"/>
    <w:rsid w:val="00A43898"/>
    <w:rsid w:val="00A4487B"/>
    <w:rsid w:val="00A4796D"/>
    <w:rsid w:val="00A47EE3"/>
    <w:rsid w:val="00A5778A"/>
    <w:rsid w:val="00A62152"/>
    <w:rsid w:val="00A62ECE"/>
    <w:rsid w:val="00A71B94"/>
    <w:rsid w:val="00A80EA2"/>
    <w:rsid w:val="00A85FFB"/>
    <w:rsid w:val="00A90A7A"/>
    <w:rsid w:val="00AA3349"/>
    <w:rsid w:val="00AA3658"/>
    <w:rsid w:val="00AB100C"/>
    <w:rsid w:val="00AB3B0B"/>
    <w:rsid w:val="00AB5E64"/>
    <w:rsid w:val="00AB7747"/>
    <w:rsid w:val="00AC5A64"/>
    <w:rsid w:val="00AC68FE"/>
    <w:rsid w:val="00AE26C3"/>
    <w:rsid w:val="00AE3F23"/>
    <w:rsid w:val="00AF1C3E"/>
    <w:rsid w:val="00AF24C3"/>
    <w:rsid w:val="00AF51BB"/>
    <w:rsid w:val="00AF51E0"/>
    <w:rsid w:val="00AF6B49"/>
    <w:rsid w:val="00AF6BFA"/>
    <w:rsid w:val="00AF6C22"/>
    <w:rsid w:val="00AF6C51"/>
    <w:rsid w:val="00AF6CD7"/>
    <w:rsid w:val="00B020A4"/>
    <w:rsid w:val="00B021B5"/>
    <w:rsid w:val="00B05C35"/>
    <w:rsid w:val="00B12704"/>
    <w:rsid w:val="00B12C82"/>
    <w:rsid w:val="00B22958"/>
    <w:rsid w:val="00B31187"/>
    <w:rsid w:val="00B3415A"/>
    <w:rsid w:val="00B3674B"/>
    <w:rsid w:val="00B37C56"/>
    <w:rsid w:val="00B414E2"/>
    <w:rsid w:val="00B44330"/>
    <w:rsid w:val="00B521B9"/>
    <w:rsid w:val="00B53A0C"/>
    <w:rsid w:val="00B567EB"/>
    <w:rsid w:val="00B67AB6"/>
    <w:rsid w:val="00B70A5B"/>
    <w:rsid w:val="00B72EF2"/>
    <w:rsid w:val="00B8124B"/>
    <w:rsid w:val="00B85AEB"/>
    <w:rsid w:val="00B95B81"/>
    <w:rsid w:val="00B95F5C"/>
    <w:rsid w:val="00BA3DCB"/>
    <w:rsid w:val="00BA44B8"/>
    <w:rsid w:val="00BA5339"/>
    <w:rsid w:val="00BB2F9D"/>
    <w:rsid w:val="00BB4BF5"/>
    <w:rsid w:val="00BC333C"/>
    <w:rsid w:val="00BC351D"/>
    <w:rsid w:val="00BD0C33"/>
    <w:rsid w:val="00BD12B3"/>
    <w:rsid w:val="00BE3BFF"/>
    <w:rsid w:val="00BF1659"/>
    <w:rsid w:val="00BF5AFA"/>
    <w:rsid w:val="00BF6F63"/>
    <w:rsid w:val="00C00D3B"/>
    <w:rsid w:val="00C151F9"/>
    <w:rsid w:val="00C15E43"/>
    <w:rsid w:val="00C30285"/>
    <w:rsid w:val="00C32758"/>
    <w:rsid w:val="00C34272"/>
    <w:rsid w:val="00C361F9"/>
    <w:rsid w:val="00C375C6"/>
    <w:rsid w:val="00C379CB"/>
    <w:rsid w:val="00C40197"/>
    <w:rsid w:val="00C44F55"/>
    <w:rsid w:val="00C45077"/>
    <w:rsid w:val="00C46E69"/>
    <w:rsid w:val="00C5029C"/>
    <w:rsid w:val="00C51542"/>
    <w:rsid w:val="00C52055"/>
    <w:rsid w:val="00C527FB"/>
    <w:rsid w:val="00C60628"/>
    <w:rsid w:val="00C6448B"/>
    <w:rsid w:val="00C64778"/>
    <w:rsid w:val="00C6597D"/>
    <w:rsid w:val="00C65A28"/>
    <w:rsid w:val="00C65AD9"/>
    <w:rsid w:val="00C70629"/>
    <w:rsid w:val="00C83498"/>
    <w:rsid w:val="00C93ACF"/>
    <w:rsid w:val="00C950EE"/>
    <w:rsid w:val="00CA1718"/>
    <w:rsid w:val="00CA425B"/>
    <w:rsid w:val="00CA61B5"/>
    <w:rsid w:val="00CC5C02"/>
    <w:rsid w:val="00CC78CE"/>
    <w:rsid w:val="00CD6080"/>
    <w:rsid w:val="00CD6B1C"/>
    <w:rsid w:val="00CD7BCE"/>
    <w:rsid w:val="00CE2578"/>
    <w:rsid w:val="00CE6144"/>
    <w:rsid w:val="00CF52EF"/>
    <w:rsid w:val="00CF5DED"/>
    <w:rsid w:val="00D00951"/>
    <w:rsid w:val="00D00FDA"/>
    <w:rsid w:val="00D05E56"/>
    <w:rsid w:val="00D11001"/>
    <w:rsid w:val="00D2690B"/>
    <w:rsid w:val="00D303A8"/>
    <w:rsid w:val="00D30708"/>
    <w:rsid w:val="00D3105A"/>
    <w:rsid w:val="00D35455"/>
    <w:rsid w:val="00D434A3"/>
    <w:rsid w:val="00D44302"/>
    <w:rsid w:val="00D44782"/>
    <w:rsid w:val="00D45A68"/>
    <w:rsid w:val="00D556BB"/>
    <w:rsid w:val="00D67A28"/>
    <w:rsid w:val="00D73832"/>
    <w:rsid w:val="00D74CBB"/>
    <w:rsid w:val="00D816C0"/>
    <w:rsid w:val="00D82536"/>
    <w:rsid w:val="00D83757"/>
    <w:rsid w:val="00D84E74"/>
    <w:rsid w:val="00D90990"/>
    <w:rsid w:val="00DA01D3"/>
    <w:rsid w:val="00DA5D53"/>
    <w:rsid w:val="00DB039F"/>
    <w:rsid w:val="00DB70E0"/>
    <w:rsid w:val="00DC1653"/>
    <w:rsid w:val="00DC6B8E"/>
    <w:rsid w:val="00DD257D"/>
    <w:rsid w:val="00DE0E99"/>
    <w:rsid w:val="00DE465B"/>
    <w:rsid w:val="00DF10F1"/>
    <w:rsid w:val="00DF29CA"/>
    <w:rsid w:val="00DF7E42"/>
    <w:rsid w:val="00E0001B"/>
    <w:rsid w:val="00E045F0"/>
    <w:rsid w:val="00E050EB"/>
    <w:rsid w:val="00E0702D"/>
    <w:rsid w:val="00E12646"/>
    <w:rsid w:val="00E130C9"/>
    <w:rsid w:val="00E15FC0"/>
    <w:rsid w:val="00E168B9"/>
    <w:rsid w:val="00E17AF0"/>
    <w:rsid w:val="00E224AE"/>
    <w:rsid w:val="00E2520D"/>
    <w:rsid w:val="00E27235"/>
    <w:rsid w:val="00E316E7"/>
    <w:rsid w:val="00E334AF"/>
    <w:rsid w:val="00E41E6B"/>
    <w:rsid w:val="00E43544"/>
    <w:rsid w:val="00E44C75"/>
    <w:rsid w:val="00E454F0"/>
    <w:rsid w:val="00E55F0E"/>
    <w:rsid w:val="00E56533"/>
    <w:rsid w:val="00E5688B"/>
    <w:rsid w:val="00E62ECC"/>
    <w:rsid w:val="00E66BD9"/>
    <w:rsid w:val="00E70A02"/>
    <w:rsid w:val="00E7643F"/>
    <w:rsid w:val="00E83E15"/>
    <w:rsid w:val="00E85157"/>
    <w:rsid w:val="00E86DCD"/>
    <w:rsid w:val="00E94934"/>
    <w:rsid w:val="00E971ED"/>
    <w:rsid w:val="00EA119B"/>
    <w:rsid w:val="00EA634B"/>
    <w:rsid w:val="00EA6648"/>
    <w:rsid w:val="00EA72E6"/>
    <w:rsid w:val="00EB2F28"/>
    <w:rsid w:val="00EB363F"/>
    <w:rsid w:val="00EB53D1"/>
    <w:rsid w:val="00EC3744"/>
    <w:rsid w:val="00EC7EC5"/>
    <w:rsid w:val="00ED44D6"/>
    <w:rsid w:val="00ED57DB"/>
    <w:rsid w:val="00ED62FC"/>
    <w:rsid w:val="00ED6E95"/>
    <w:rsid w:val="00EF1589"/>
    <w:rsid w:val="00EF2163"/>
    <w:rsid w:val="00EF2603"/>
    <w:rsid w:val="00EF3226"/>
    <w:rsid w:val="00EF5A9C"/>
    <w:rsid w:val="00F00FE3"/>
    <w:rsid w:val="00F12796"/>
    <w:rsid w:val="00F12AC2"/>
    <w:rsid w:val="00F15589"/>
    <w:rsid w:val="00F16768"/>
    <w:rsid w:val="00F24F8E"/>
    <w:rsid w:val="00F25E54"/>
    <w:rsid w:val="00F27C96"/>
    <w:rsid w:val="00F32F82"/>
    <w:rsid w:val="00F35380"/>
    <w:rsid w:val="00F45D5F"/>
    <w:rsid w:val="00F55149"/>
    <w:rsid w:val="00F558CD"/>
    <w:rsid w:val="00F56F13"/>
    <w:rsid w:val="00F6345C"/>
    <w:rsid w:val="00F63535"/>
    <w:rsid w:val="00F63F44"/>
    <w:rsid w:val="00F67B96"/>
    <w:rsid w:val="00F775C9"/>
    <w:rsid w:val="00F77AE3"/>
    <w:rsid w:val="00F823C1"/>
    <w:rsid w:val="00F827E5"/>
    <w:rsid w:val="00F87A27"/>
    <w:rsid w:val="00FA3326"/>
    <w:rsid w:val="00FA4329"/>
    <w:rsid w:val="00FA5D05"/>
    <w:rsid w:val="00FB2698"/>
    <w:rsid w:val="00FB466B"/>
    <w:rsid w:val="00FC0BE1"/>
    <w:rsid w:val="00FC4942"/>
    <w:rsid w:val="00FD6C34"/>
    <w:rsid w:val="00FE3526"/>
    <w:rsid w:val="00FF317F"/>
    <w:rsid w:val="00FF59F8"/>
    <w:rsid w:val="1FFE566D"/>
    <w:rsid w:val="5EFB54C9"/>
    <w:rsid w:val="6A12222C"/>
    <w:rsid w:val="6DBF82D2"/>
    <w:rsid w:val="6ECFBE56"/>
    <w:rsid w:val="FF75F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customStyle="1" w:styleId="8">
    <w:name w:val="p0"/>
    <w:basedOn w:val="1"/>
    <w:qFormat/>
    <w:uiPriority w:val="0"/>
    <w:pPr>
      <w:widowControl/>
    </w:pPr>
    <w:rPr>
      <w:kern w:val="0"/>
      <w:sz w:val="30"/>
      <w:szCs w:val="21"/>
    </w:rPr>
  </w:style>
  <w:style w:type="paragraph" w:customStyle="1" w:styleId="9">
    <w:name w:val="纯文本1"/>
    <w:basedOn w:val="1"/>
    <w:qFormat/>
    <w:uiPriority w:val="0"/>
    <w:pPr>
      <w:adjustRightInd w:val="0"/>
    </w:pPr>
    <w:rPr>
      <w:rFonts w:hint="eastAsia" w:ascii="宋体" w:eastAsia="宋体"/>
      <w:kern w:val="0"/>
      <w:sz w:val="21"/>
      <w:szCs w:val="20"/>
    </w:rPr>
  </w:style>
  <w:style w:type="paragraph" w:customStyle="1" w:styleId="10">
    <w:name w:val="(文字) (文字)1 Char (文字) (文字) Char"/>
    <w:basedOn w:val="1"/>
    <w:qFormat/>
    <w:uiPriority w:val="0"/>
    <w:pPr>
      <w:adjustRightInd w:val="0"/>
      <w:spacing w:line="360" w:lineRule="auto"/>
    </w:pPr>
    <w:rPr>
      <w:rFonts w:eastAsia="宋体"/>
      <w:kern w:val="0"/>
      <w:sz w:val="24"/>
      <w:szCs w:val="20"/>
    </w:rPr>
  </w:style>
  <w:style w:type="paragraph" w:customStyle="1" w:styleId="11">
    <w:name w:val="二级条标题"/>
    <w:basedOn w:val="1"/>
    <w:next w:val="1"/>
    <w:qFormat/>
    <w:uiPriority w:val="0"/>
    <w:pPr>
      <w:widowControl/>
      <w:spacing w:before="50" w:beforeLines="50" w:after="50" w:afterLines="50"/>
      <w:jc w:val="left"/>
      <w:outlineLvl w:val="3"/>
    </w:pPr>
    <w:rPr>
      <w:rFonts w:ascii="黑体" w:hAnsi="Calibri" w:eastAsia="黑体"/>
      <w:kern w:val="0"/>
      <w:sz w:val="21"/>
      <w:szCs w:val="21"/>
    </w:rPr>
  </w:style>
  <w:style w:type="paragraph" w:customStyle="1" w:styleId="12">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Pages>
  <Words>284</Words>
  <Characters>1622</Characters>
  <Lines>13</Lines>
  <Paragraphs>3</Paragraphs>
  <TotalTime>45</TotalTime>
  <ScaleCrop>false</ScaleCrop>
  <LinksUpToDate>false</LinksUpToDate>
  <CharactersWithSpaces>1903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2022-03-01T11:40:00Z</dcterms:created>
  <dc:creator>微软用户</dc:creator>
  <cp:lastModifiedBy>刘赞</cp:lastModifiedBy>
  <dcterms:modified xsi:type="dcterms:W3CDTF">2023-05-10T08:40:39Z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F67D1A40FABE478B94C15885CDA7FFDA</vt:lpwstr>
  </property>
</Properties>
</file>