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0" w:lineRule="exact"/>
        <w:jc w:val="center"/>
        <w:rPr>
          <w:rFonts w:ascii="Calibri" w:hAnsi="Calibri" w:eastAsia="方正小标宋简体" w:cs="Times New Roman"/>
          <w:spacing w:val="-1"/>
          <w:position w:val="1"/>
          <w:sz w:val="44"/>
          <w:szCs w:val="44"/>
        </w:rPr>
      </w:pPr>
      <w:r>
        <w:rPr>
          <w:rFonts w:hint="eastAsia" w:ascii="Calibri" w:hAnsi="Calibri" w:eastAsia="方正小标宋简体" w:cs="Times New Roman"/>
          <w:spacing w:val="-1"/>
          <w:position w:val="1"/>
          <w:sz w:val="44"/>
          <w:szCs w:val="44"/>
          <w:lang w:eastAsia="zh-CN"/>
        </w:rPr>
        <w:t>珠海市</w:t>
      </w:r>
      <w:r>
        <w:rPr>
          <w:rFonts w:ascii="Calibri" w:hAnsi="Calibri" w:eastAsia="方正小标宋简体" w:cs="Times New Roman"/>
          <w:spacing w:val="-1"/>
          <w:position w:val="1"/>
          <w:sz w:val="44"/>
          <w:szCs w:val="44"/>
        </w:rPr>
        <w:t>电热暖手器产品质量监督抽查</w:t>
      </w:r>
    </w:p>
    <w:p>
      <w:pPr>
        <w:spacing w:line="590" w:lineRule="exact"/>
        <w:jc w:val="center"/>
        <w:rPr>
          <w:rFonts w:ascii="Calibri" w:hAnsi="Calibri" w:eastAsia="方正小标宋简体" w:cs="Times New Roman"/>
          <w:spacing w:val="-1"/>
          <w:position w:val="1"/>
          <w:sz w:val="44"/>
          <w:szCs w:val="44"/>
        </w:rPr>
      </w:pPr>
      <w:r>
        <w:rPr>
          <w:rFonts w:ascii="Calibri" w:hAnsi="Calibri" w:eastAsia="方正小标宋简体" w:cs="Times New Roman"/>
          <w:spacing w:val="-1"/>
          <w:position w:val="1"/>
          <w:sz w:val="44"/>
          <w:szCs w:val="44"/>
        </w:rPr>
        <w:t>实施细则</w:t>
      </w:r>
    </w:p>
    <w:p>
      <w:pPr>
        <w:keepNext/>
        <w:keepLines/>
        <w:widowControl w:val="0"/>
        <w:numPr>
          <w:ilvl w:val="0"/>
          <w:numId w:val="0"/>
        </w:numPr>
        <w:ind w:leftChars="0"/>
        <w:jc w:val="left"/>
        <w:outlineLvl w:val="0"/>
        <w:rPr>
          <w:rFonts w:ascii="Times New Roman" w:hAnsi="Calibri" w:eastAsia="黑体" w:cs="Times New Roman"/>
          <w:bCs/>
          <w:kern w:val="44"/>
          <w:sz w:val="30"/>
          <w:szCs w:val="44"/>
          <w:lang w:val="en-US" w:eastAsia="zh-CN" w:bidi="ar-SA"/>
        </w:rPr>
      </w:pPr>
    </w:p>
    <w:p>
      <w:pPr>
        <w:ind w:firstLine="640" w:firstLineChars="200"/>
        <w:jc w:val="left"/>
        <w:rPr>
          <w:rFonts w:ascii="Calibri" w:hAnsi="Calibri" w:eastAsia="黑体" w:cs="Times New Roman"/>
          <w:color w:val="000000"/>
          <w:sz w:val="32"/>
          <w:szCs w:val="32"/>
        </w:rPr>
      </w:pPr>
      <w:r>
        <w:rPr>
          <w:rFonts w:ascii="Calibri" w:hAnsi="Calibri" w:eastAsia="黑体" w:cs="Times New Roman"/>
          <w:color w:val="000000"/>
          <w:sz w:val="32"/>
          <w:szCs w:val="32"/>
        </w:rPr>
        <w:t>一、抽样方法</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kern w:val="0"/>
          <w:sz w:val="32"/>
          <w:szCs w:val="32"/>
        </w:rPr>
        <w:t>以随机抽样的方式在被抽查市场主体的待销产品中抽取。</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auto"/>
          <w:kern w:val="0"/>
          <w:sz w:val="32"/>
          <w:szCs w:val="32"/>
        </w:rPr>
        <w:t>随机数一般可使用随机数表等方法产生。</w:t>
      </w:r>
    </w:p>
    <w:p>
      <w:pPr>
        <w:keepNext w:val="0"/>
        <w:keepLines w:val="0"/>
        <w:pageBreakBefore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抽查数量：每款产品抽取2组样本，第1组用于检验，第2组用于备样。</w:t>
      </w:r>
      <w:r>
        <w:rPr>
          <w:rFonts w:hint="eastAsia" w:ascii="仿宋" w:hAnsi="仿宋" w:eastAsia="仿宋" w:cs="仿宋"/>
          <w:color w:val="auto"/>
          <w:sz w:val="32"/>
          <w:szCs w:val="32"/>
          <w:lang w:eastAsia="zh-CN"/>
        </w:rPr>
        <w:t>第一组</w:t>
      </w:r>
      <w:r>
        <w:rPr>
          <w:rFonts w:hint="eastAsia" w:ascii="仿宋" w:hAnsi="仿宋" w:eastAsia="仿宋" w:cs="仿宋"/>
          <w:color w:val="auto"/>
          <w:sz w:val="32"/>
          <w:szCs w:val="32"/>
        </w:rPr>
        <w:t>样本需抽取样品</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个</w:t>
      </w:r>
      <w:r>
        <w:rPr>
          <w:rFonts w:hint="eastAsia" w:ascii="仿宋" w:hAnsi="仿宋" w:eastAsia="仿宋" w:cs="仿宋"/>
          <w:color w:val="auto"/>
          <w:sz w:val="32"/>
          <w:szCs w:val="32"/>
          <w:lang w:eastAsia="zh-CN"/>
        </w:rPr>
        <w:t>，第二组</w:t>
      </w:r>
      <w:r>
        <w:rPr>
          <w:rFonts w:hint="eastAsia" w:ascii="仿宋" w:hAnsi="仿宋" w:eastAsia="仿宋" w:cs="仿宋"/>
          <w:color w:val="auto"/>
          <w:sz w:val="32"/>
          <w:szCs w:val="32"/>
        </w:rPr>
        <w:t>样本需抽取样品</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个</w:t>
      </w:r>
      <w:r>
        <w:rPr>
          <w:rFonts w:hint="eastAsia" w:ascii="仿宋" w:hAnsi="仿宋" w:eastAsia="仿宋" w:cs="仿宋"/>
          <w:color w:val="000000"/>
          <w:sz w:val="32"/>
          <w:szCs w:val="32"/>
        </w:rPr>
        <w:t>。</w:t>
      </w:r>
    </w:p>
    <w:p>
      <w:pPr>
        <w:ind w:firstLine="640" w:firstLineChars="200"/>
        <w:jc w:val="left"/>
        <w:rPr>
          <w:rFonts w:ascii="Calibri" w:hAnsi="Calibri" w:eastAsia="黑体" w:cs="Times New Roman"/>
          <w:color w:val="000000"/>
          <w:szCs w:val="32"/>
        </w:rPr>
      </w:pPr>
      <w:r>
        <w:rPr>
          <w:rFonts w:ascii="Calibri" w:hAnsi="Calibri" w:eastAsia="黑体" w:cs="Times New Roman"/>
          <w:color w:val="000000"/>
          <w:sz w:val="32"/>
          <w:szCs w:val="32"/>
        </w:rPr>
        <w:t>二、主要检验项目及检验项目属性划分</w:t>
      </w:r>
    </w:p>
    <w:tbl>
      <w:tblPr>
        <w:tblStyle w:val="2"/>
        <w:tblW w:w="499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698"/>
        <w:gridCol w:w="2246"/>
        <w:gridCol w:w="1956"/>
        <w:gridCol w:w="1015"/>
        <w:gridCol w:w="616"/>
        <w:gridCol w:w="870"/>
        <w:gridCol w:w="577"/>
        <w:gridCol w:w="8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blHeader/>
          <w:jc w:val="center"/>
        </w:trPr>
        <w:tc>
          <w:tcPr>
            <w:tcW w:w="394" w:type="pct"/>
            <w:shd w:val="clear" w:color="auto" w:fill="D7D7D7" w:themeFill="background1" w:themeFillShade="D8"/>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序号</w:t>
            </w:r>
          </w:p>
        </w:tc>
        <w:tc>
          <w:tcPr>
            <w:tcW w:w="1268" w:type="pct"/>
            <w:shd w:val="clear" w:color="auto" w:fill="D7D7D7" w:themeFill="background1" w:themeFillShade="D8"/>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检验项目</w:t>
            </w:r>
          </w:p>
        </w:tc>
        <w:tc>
          <w:tcPr>
            <w:tcW w:w="1104" w:type="pct"/>
            <w:shd w:val="clear" w:color="auto" w:fill="D7D7D7" w:themeFill="background1" w:themeFillShade="D8"/>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检验方法</w:t>
            </w:r>
          </w:p>
        </w:tc>
        <w:tc>
          <w:tcPr>
            <w:tcW w:w="573" w:type="pct"/>
            <w:shd w:val="clear" w:color="auto" w:fill="D7D7D7" w:themeFill="background1" w:themeFillShade="D8"/>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强制性</w:t>
            </w:r>
          </w:p>
        </w:tc>
        <w:tc>
          <w:tcPr>
            <w:tcW w:w="348" w:type="pct"/>
            <w:shd w:val="clear" w:color="auto" w:fill="D7D7D7" w:themeFill="background1" w:themeFillShade="D8"/>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非强制性</w:t>
            </w:r>
          </w:p>
        </w:tc>
        <w:tc>
          <w:tcPr>
            <w:tcW w:w="491" w:type="pct"/>
            <w:shd w:val="clear" w:color="auto" w:fill="D7D7D7" w:themeFill="background1" w:themeFillShade="D8"/>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重要项</w:t>
            </w:r>
          </w:p>
        </w:tc>
        <w:tc>
          <w:tcPr>
            <w:tcW w:w="326" w:type="pct"/>
            <w:shd w:val="clear" w:color="auto" w:fill="D7D7D7" w:themeFill="background1" w:themeFillShade="D8"/>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较重要项</w:t>
            </w:r>
          </w:p>
        </w:tc>
        <w:tc>
          <w:tcPr>
            <w:tcW w:w="492" w:type="pct"/>
            <w:shd w:val="clear" w:color="auto" w:fill="D7D7D7" w:themeFill="background1" w:themeFillShade="D8"/>
            <w:noWrap w:val="0"/>
            <w:vAlign w:val="center"/>
          </w:tcPr>
          <w:p>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次要项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jc w:val="center"/>
        </w:trPr>
        <w:tc>
          <w:tcPr>
            <w:tcW w:w="394"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1268"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对触及带电部件的防护</w:t>
            </w:r>
          </w:p>
        </w:tc>
        <w:tc>
          <w:tcPr>
            <w:tcW w:w="1104" w:type="pct"/>
            <w:vMerge w:val="restart"/>
            <w:noWrap w:val="0"/>
            <w:vAlign w:val="center"/>
          </w:tcPr>
          <w:p>
            <w:pPr>
              <w:keepNext w:val="0"/>
              <w:keepLines w:val="0"/>
              <w:pageBreakBefore w:val="0"/>
              <w:widowControl w:val="0"/>
              <w:kinsoku/>
              <w:wordWrap/>
              <w:overflowPunct/>
              <w:topLinePunct w:val="0"/>
              <w:autoSpaceDE/>
              <w:autoSpaceDN/>
              <w:bidi w:val="0"/>
              <w:snapToGrid w:val="0"/>
              <w:spacing w:line="4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GB 4706.1-2005</w:t>
            </w:r>
          </w:p>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GB 4706.99-2009</w:t>
            </w:r>
          </w:p>
        </w:tc>
        <w:tc>
          <w:tcPr>
            <w:tcW w:w="573" w:type="pct"/>
            <w:noWrap w:val="0"/>
            <w:vAlign w:val="center"/>
          </w:tcPr>
          <w:p>
            <w:pPr>
              <w:keepNext w:val="0"/>
              <w:keepLines w:val="0"/>
              <w:pageBreakBefore w:val="0"/>
              <w:widowControl w:val="0"/>
              <w:kinsoku/>
              <w:wordWrap/>
              <w:overflowPunct/>
              <w:topLinePunct w:val="0"/>
              <w:autoSpaceDE/>
              <w:autoSpaceDN/>
              <w:bidi w:val="0"/>
              <w:spacing w:before="63" w:line="400" w:lineRule="exact"/>
              <w:ind w:left="3"/>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8"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491"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26" w:type="pct"/>
            <w:noWrap w:val="0"/>
            <w:vAlign w:val="center"/>
          </w:tcPr>
          <w:p>
            <w:pPr>
              <w:keepNext w:val="0"/>
              <w:keepLines w:val="0"/>
              <w:pageBreakBefore w:val="0"/>
              <w:widowControl w:val="0"/>
              <w:kinsoku/>
              <w:wordWrap/>
              <w:overflowPunct/>
              <w:topLinePunct w:val="0"/>
              <w:autoSpaceDE/>
              <w:autoSpaceDN/>
              <w:bidi w:val="0"/>
              <w:spacing w:before="63" w:line="400" w:lineRule="exact"/>
              <w:ind w:left="8"/>
              <w:jc w:val="center"/>
              <w:textAlignment w:val="auto"/>
              <w:rPr>
                <w:rFonts w:hint="eastAsia" w:ascii="仿宋" w:hAnsi="仿宋" w:eastAsia="仿宋" w:cs="仿宋"/>
                <w:sz w:val="24"/>
                <w:szCs w:val="24"/>
              </w:rPr>
            </w:pPr>
          </w:p>
        </w:tc>
        <w:tc>
          <w:tcPr>
            <w:tcW w:w="492"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jc w:val="center"/>
        </w:trPr>
        <w:tc>
          <w:tcPr>
            <w:tcW w:w="394"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1268"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输入功率和电流</w:t>
            </w:r>
          </w:p>
        </w:tc>
        <w:tc>
          <w:tcPr>
            <w:tcW w:w="1104" w:type="pct"/>
            <w:vMerge w:val="continue"/>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573" w:type="pct"/>
            <w:noWrap w:val="0"/>
            <w:vAlign w:val="center"/>
          </w:tcPr>
          <w:p>
            <w:pPr>
              <w:keepNext w:val="0"/>
              <w:keepLines w:val="0"/>
              <w:pageBreakBefore w:val="0"/>
              <w:widowControl w:val="0"/>
              <w:kinsoku/>
              <w:wordWrap/>
              <w:overflowPunct/>
              <w:topLinePunct w:val="0"/>
              <w:autoSpaceDE/>
              <w:autoSpaceDN/>
              <w:bidi w:val="0"/>
              <w:spacing w:before="63" w:line="400" w:lineRule="exact"/>
              <w:ind w:left="3"/>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8"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491" w:type="pct"/>
            <w:noWrap w:val="0"/>
            <w:vAlign w:val="center"/>
          </w:tcPr>
          <w:p>
            <w:pPr>
              <w:keepNext w:val="0"/>
              <w:keepLines w:val="0"/>
              <w:pageBreakBefore w:val="0"/>
              <w:widowControl w:val="0"/>
              <w:kinsoku/>
              <w:wordWrap/>
              <w:overflowPunct/>
              <w:topLinePunct w:val="0"/>
              <w:autoSpaceDE/>
              <w:autoSpaceDN/>
              <w:bidi w:val="0"/>
              <w:spacing w:before="63" w:line="400" w:lineRule="exact"/>
              <w:ind w:left="7"/>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26"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492"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jc w:val="center"/>
        </w:trPr>
        <w:tc>
          <w:tcPr>
            <w:tcW w:w="394"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3</w:t>
            </w:r>
          </w:p>
        </w:tc>
        <w:tc>
          <w:tcPr>
            <w:tcW w:w="1268"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发热</w:t>
            </w:r>
          </w:p>
        </w:tc>
        <w:tc>
          <w:tcPr>
            <w:tcW w:w="1104" w:type="pct"/>
            <w:vMerge w:val="continue"/>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573" w:type="pct"/>
            <w:noWrap w:val="0"/>
            <w:vAlign w:val="center"/>
          </w:tcPr>
          <w:p>
            <w:pPr>
              <w:keepNext w:val="0"/>
              <w:keepLines w:val="0"/>
              <w:pageBreakBefore w:val="0"/>
              <w:widowControl w:val="0"/>
              <w:kinsoku/>
              <w:wordWrap/>
              <w:overflowPunct/>
              <w:topLinePunct w:val="0"/>
              <w:autoSpaceDE/>
              <w:autoSpaceDN/>
              <w:bidi w:val="0"/>
              <w:spacing w:before="63" w:line="400" w:lineRule="exact"/>
              <w:ind w:left="3"/>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8"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491" w:type="pct"/>
            <w:noWrap w:val="0"/>
            <w:vAlign w:val="center"/>
          </w:tcPr>
          <w:p>
            <w:pPr>
              <w:keepNext w:val="0"/>
              <w:keepLines w:val="0"/>
              <w:pageBreakBefore w:val="0"/>
              <w:widowControl w:val="0"/>
              <w:kinsoku/>
              <w:wordWrap/>
              <w:overflowPunct/>
              <w:topLinePunct w:val="0"/>
              <w:autoSpaceDE/>
              <w:autoSpaceDN/>
              <w:bidi w:val="0"/>
              <w:spacing w:before="63" w:line="400" w:lineRule="exact"/>
              <w:ind w:left="7"/>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26"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492"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1" w:hRule="atLeast"/>
          <w:jc w:val="center"/>
        </w:trPr>
        <w:tc>
          <w:tcPr>
            <w:tcW w:w="394"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4</w:t>
            </w:r>
          </w:p>
        </w:tc>
        <w:tc>
          <w:tcPr>
            <w:tcW w:w="1268"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工作温度下的泄漏电流和电气强度</w:t>
            </w:r>
          </w:p>
        </w:tc>
        <w:tc>
          <w:tcPr>
            <w:tcW w:w="1104" w:type="pct"/>
            <w:vMerge w:val="continue"/>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573" w:type="pct"/>
            <w:noWrap w:val="0"/>
            <w:vAlign w:val="center"/>
          </w:tcPr>
          <w:p>
            <w:pPr>
              <w:keepNext w:val="0"/>
              <w:keepLines w:val="0"/>
              <w:pageBreakBefore w:val="0"/>
              <w:widowControl w:val="0"/>
              <w:kinsoku/>
              <w:wordWrap/>
              <w:overflowPunct/>
              <w:topLinePunct w:val="0"/>
              <w:autoSpaceDE/>
              <w:autoSpaceDN/>
              <w:bidi w:val="0"/>
              <w:spacing w:before="65" w:line="400" w:lineRule="exact"/>
              <w:ind w:left="3"/>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8"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491" w:type="pct"/>
            <w:noWrap w:val="0"/>
            <w:vAlign w:val="center"/>
          </w:tcPr>
          <w:p>
            <w:pPr>
              <w:keepNext w:val="0"/>
              <w:keepLines w:val="0"/>
              <w:pageBreakBefore w:val="0"/>
              <w:widowControl w:val="0"/>
              <w:kinsoku/>
              <w:wordWrap/>
              <w:overflowPunct/>
              <w:topLinePunct w:val="0"/>
              <w:autoSpaceDE/>
              <w:autoSpaceDN/>
              <w:bidi w:val="0"/>
              <w:spacing w:before="65" w:line="400" w:lineRule="exact"/>
              <w:ind w:left="7"/>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26"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492"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jc w:val="center"/>
        </w:trPr>
        <w:tc>
          <w:tcPr>
            <w:tcW w:w="394"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5</w:t>
            </w:r>
          </w:p>
        </w:tc>
        <w:tc>
          <w:tcPr>
            <w:tcW w:w="1268"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非正常工作（不包括第19.11.4条的试验）</w:t>
            </w:r>
          </w:p>
        </w:tc>
        <w:tc>
          <w:tcPr>
            <w:tcW w:w="1104" w:type="pct"/>
            <w:vMerge w:val="continue"/>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573" w:type="pct"/>
            <w:noWrap w:val="0"/>
            <w:vAlign w:val="center"/>
          </w:tcPr>
          <w:p>
            <w:pPr>
              <w:keepNext w:val="0"/>
              <w:keepLines w:val="0"/>
              <w:pageBreakBefore w:val="0"/>
              <w:widowControl w:val="0"/>
              <w:kinsoku/>
              <w:wordWrap/>
              <w:overflowPunct/>
              <w:topLinePunct w:val="0"/>
              <w:autoSpaceDE/>
              <w:autoSpaceDN/>
              <w:bidi w:val="0"/>
              <w:spacing w:before="63" w:line="400" w:lineRule="exact"/>
              <w:ind w:left="3"/>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8"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491" w:type="pct"/>
            <w:noWrap w:val="0"/>
            <w:vAlign w:val="center"/>
          </w:tcPr>
          <w:p>
            <w:pPr>
              <w:keepNext w:val="0"/>
              <w:keepLines w:val="0"/>
              <w:pageBreakBefore w:val="0"/>
              <w:widowControl w:val="0"/>
              <w:kinsoku/>
              <w:wordWrap/>
              <w:overflowPunct/>
              <w:topLinePunct w:val="0"/>
              <w:autoSpaceDE/>
              <w:autoSpaceDN/>
              <w:bidi w:val="0"/>
              <w:spacing w:before="63" w:line="400" w:lineRule="exact"/>
              <w:ind w:left="7"/>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26"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492"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jc w:val="center"/>
        </w:trPr>
        <w:tc>
          <w:tcPr>
            <w:tcW w:w="394"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6</w:t>
            </w:r>
          </w:p>
        </w:tc>
        <w:tc>
          <w:tcPr>
            <w:tcW w:w="1268"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rPr>
              <w:t>稳定性和机械危险</w:t>
            </w:r>
          </w:p>
        </w:tc>
        <w:tc>
          <w:tcPr>
            <w:tcW w:w="1104" w:type="pct"/>
            <w:vMerge w:val="continue"/>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573" w:type="pct"/>
            <w:noWrap w:val="0"/>
            <w:vAlign w:val="center"/>
          </w:tcPr>
          <w:p>
            <w:pPr>
              <w:keepNext w:val="0"/>
              <w:keepLines w:val="0"/>
              <w:pageBreakBefore w:val="0"/>
              <w:widowControl w:val="0"/>
              <w:kinsoku/>
              <w:wordWrap/>
              <w:overflowPunct/>
              <w:topLinePunct w:val="0"/>
              <w:autoSpaceDE/>
              <w:autoSpaceDN/>
              <w:bidi w:val="0"/>
              <w:spacing w:before="63" w:line="400" w:lineRule="exact"/>
              <w:ind w:left="3"/>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8"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491" w:type="pct"/>
            <w:noWrap w:val="0"/>
            <w:vAlign w:val="center"/>
          </w:tcPr>
          <w:p>
            <w:pPr>
              <w:keepNext w:val="0"/>
              <w:keepLines w:val="0"/>
              <w:pageBreakBefore w:val="0"/>
              <w:widowControl w:val="0"/>
              <w:kinsoku/>
              <w:wordWrap/>
              <w:overflowPunct/>
              <w:topLinePunct w:val="0"/>
              <w:autoSpaceDE/>
              <w:autoSpaceDN/>
              <w:bidi w:val="0"/>
              <w:spacing w:before="63" w:line="400" w:lineRule="exact"/>
              <w:ind w:left="7"/>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26"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492"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jc w:val="center"/>
        </w:trPr>
        <w:tc>
          <w:tcPr>
            <w:tcW w:w="394"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7</w:t>
            </w:r>
          </w:p>
        </w:tc>
        <w:tc>
          <w:tcPr>
            <w:tcW w:w="1268"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rPr>
              <w:t>机械强度（不包括第21.102、21.103条的试验）</w:t>
            </w:r>
          </w:p>
        </w:tc>
        <w:tc>
          <w:tcPr>
            <w:tcW w:w="1104" w:type="pct"/>
            <w:vMerge w:val="continue"/>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573" w:type="pct"/>
            <w:noWrap w:val="0"/>
            <w:vAlign w:val="center"/>
          </w:tcPr>
          <w:p>
            <w:pPr>
              <w:keepNext w:val="0"/>
              <w:keepLines w:val="0"/>
              <w:pageBreakBefore w:val="0"/>
              <w:widowControl w:val="0"/>
              <w:kinsoku/>
              <w:wordWrap/>
              <w:overflowPunct/>
              <w:topLinePunct w:val="0"/>
              <w:autoSpaceDE/>
              <w:autoSpaceDN/>
              <w:bidi w:val="0"/>
              <w:spacing w:before="63" w:line="400" w:lineRule="exact"/>
              <w:ind w:left="3"/>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8"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491" w:type="pct"/>
            <w:noWrap w:val="0"/>
            <w:vAlign w:val="center"/>
          </w:tcPr>
          <w:p>
            <w:pPr>
              <w:keepNext w:val="0"/>
              <w:keepLines w:val="0"/>
              <w:pageBreakBefore w:val="0"/>
              <w:widowControl w:val="0"/>
              <w:kinsoku/>
              <w:wordWrap/>
              <w:overflowPunct/>
              <w:topLinePunct w:val="0"/>
              <w:autoSpaceDE/>
              <w:autoSpaceDN/>
              <w:bidi w:val="0"/>
              <w:spacing w:before="63" w:line="400" w:lineRule="exact"/>
              <w:ind w:left="7"/>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26"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492"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jc w:val="center"/>
        </w:trPr>
        <w:tc>
          <w:tcPr>
            <w:tcW w:w="394"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8</w:t>
            </w:r>
          </w:p>
        </w:tc>
        <w:tc>
          <w:tcPr>
            <w:tcW w:w="1268"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rPr>
              <w:t>结构（不包括第22.46条的试验）</w:t>
            </w:r>
          </w:p>
        </w:tc>
        <w:tc>
          <w:tcPr>
            <w:tcW w:w="1104" w:type="pct"/>
            <w:vMerge w:val="continue"/>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573" w:type="pct"/>
            <w:noWrap w:val="0"/>
            <w:vAlign w:val="center"/>
          </w:tcPr>
          <w:p>
            <w:pPr>
              <w:keepNext w:val="0"/>
              <w:keepLines w:val="0"/>
              <w:pageBreakBefore w:val="0"/>
              <w:widowControl w:val="0"/>
              <w:kinsoku/>
              <w:wordWrap/>
              <w:overflowPunct/>
              <w:topLinePunct w:val="0"/>
              <w:autoSpaceDE/>
              <w:autoSpaceDN/>
              <w:bidi w:val="0"/>
              <w:spacing w:before="63" w:line="400" w:lineRule="exact"/>
              <w:ind w:left="3"/>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8"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491" w:type="pct"/>
            <w:noWrap w:val="0"/>
            <w:vAlign w:val="center"/>
          </w:tcPr>
          <w:p>
            <w:pPr>
              <w:keepNext w:val="0"/>
              <w:keepLines w:val="0"/>
              <w:pageBreakBefore w:val="0"/>
              <w:widowControl w:val="0"/>
              <w:kinsoku/>
              <w:wordWrap/>
              <w:overflowPunct/>
              <w:topLinePunct w:val="0"/>
              <w:autoSpaceDE/>
              <w:autoSpaceDN/>
              <w:bidi w:val="0"/>
              <w:spacing w:before="63" w:line="400" w:lineRule="exact"/>
              <w:ind w:left="7"/>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26"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492"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jc w:val="center"/>
        </w:trPr>
        <w:tc>
          <w:tcPr>
            <w:tcW w:w="394"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9</w:t>
            </w:r>
          </w:p>
        </w:tc>
        <w:tc>
          <w:tcPr>
            <w:tcW w:w="1268"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rPr>
              <w:t>内部布线</w:t>
            </w:r>
          </w:p>
        </w:tc>
        <w:tc>
          <w:tcPr>
            <w:tcW w:w="1104" w:type="pct"/>
            <w:vMerge w:val="continue"/>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573" w:type="pct"/>
            <w:noWrap w:val="0"/>
            <w:vAlign w:val="center"/>
          </w:tcPr>
          <w:p>
            <w:pPr>
              <w:keepNext w:val="0"/>
              <w:keepLines w:val="0"/>
              <w:pageBreakBefore w:val="0"/>
              <w:widowControl w:val="0"/>
              <w:kinsoku/>
              <w:wordWrap/>
              <w:overflowPunct/>
              <w:topLinePunct w:val="0"/>
              <w:autoSpaceDE/>
              <w:autoSpaceDN/>
              <w:bidi w:val="0"/>
              <w:spacing w:before="63" w:line="400" w:lineRule="exact"/>
              <w:ind w:left="3"/>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8"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491" w:type="pct"/>
            <w:noWrap w:val="0"/>
            <w:vAlign w:val="center"/>
          </w:tcPr>
          <w:p>
            <w:pPr>
              <w:keepNext w:val="0"/>
              <w:keepLines w:val="0"/>
              <w:pageBreakBefore w:val="0"/>
              <w:widowControl w:val="0"/>
              <w:kinsoku/>
              <w:wordWrap/>
              <w:overflowPunct/>
              <w:topLinePunct w:val="0"/>
              <w:autoSpaceDE/>
              <w:autoSpaceDN/>
              <w:bidi w:val="0"/>
              <w:spacing w:before="63" w:line="400" w:lineRule="exact"/>
              <w:ind w:left="7"/>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26"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492"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jc w:val="center"/>
        </w:trPr>
        <w:tc>
          <w:tcPr>
            <w:tcW w:w="394"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10</w:t>
            </w:r>
          </w:p>
        </w:tc>
        <w:tc>
          <w:tcPr>
            <w:tcW w:w="1268"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rPr>
              <w:t>电源连接和外部软线</w:t>
            </w:r>
          </w:p>
        </w:tc>
        <w:tc>
          <w:tcPr>
            <w:tcW w:w="1104" w:type="pct"/>
            <w:vMerge w:val="continue"/>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573" w:type="pct"/>
            <w:noWrap w:val="0"/>
            <w:vAlign w:val="center"/>
          </w:tcPr>
          <w:p>
            <w:pPr>
              <w:keepNext w:val="0"/>
              <w:keepLines w:val="0"/>
              <w:pageBreakBefore w:val="0"/>
              <w:widowControl w:val="0"/>
              <w:kinsoku/>
              <w:wordWrap/>
              <w:overflowPunct/>
              <w:topLinePunct w:val="0"/>
              <w:autoSpaceDE/>
              <w:autoSpaceDN/>
              <w:bidi w:val="0"/>
              <w:spacing w:before="65" w:line="400" w:lineRule="exact"/>
              <w:ind w:left="3"/>
              <w:jc w:val="center"/>
              <w:textAlignment w:val="auto"/>
              <w:rPr>
                <w:rFonts w:hint="eastAsia" w:ascii="仿宋" w:hAnsi="仿宋" w:eastAsia="仿宋" w:cs="仿宋"/>
                <w:sz w:val="24"/>
                <w:szCs w:val="24"/>
              </w:rPr>
            </w:pPr>
            <w:bookmarkStart w:id="0" w:name="_GoBack"/>
            <w:bookmarkEnd w:id="0"/>
            <w:r>
              <w:rPr>
                <w:rFonts w:hint="eastAsia" w:ascii="仿宋" w:hAnsi="仿宋" w:eastAsia="仿宋" w:cs="仿宋"/>
                <w:sz w:val="24"/>
                <w:szCs w:val="24"/>
              </w:rPr>
              <w:t>●</w:t>
            </w:r>
          </w:p>
        </w:tc>
        <w:tc>
          <w:tcPr>
            <w:tcW w:w="348"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491" w:type="pct"/>
            <w:noWrap w:val="0"/>
            <w:vAlign w:val="center"/>
          </w:tcPr>
          <w:p>
            <w:pPr>
              <w:keepNext w:val="0"/>
              <w:keepLines w:val="0"/>
              <w:pageBreakBefore w:val="0"/>
              <w:widowControl w:val="0"/>
              <w:kinsoku/>
              <w:wordWrap/>
              <w:overflowPunct/>
              <w:topLinePunct w:val="0"/>
              <w:autoSpaceDE/>
              <w:autoSpaceDN/>
              <w:bidi w:val="0"/>
              <w:spacing w:before="65" w:line="400" w:lineRule="exact"/>
              <w:ind w:left="7"/>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26"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492"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jc w:val="center"/>
        </w:trPr>
        <w:tc>
          <w:tcPr>
            <w:tcW w:w="394"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11</w:t>
            </w:r>
          </w:p>
        </w:tc>
        <w:tc>
          <w:tcPr>
            <w:tcW w:w="1268"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rPr>
              <w:t>外部导线用接线端子</w:t>
            </w:r>
          </w:p>
        </w:tc>
        <w:tc>
          <w:tcPr>
            <w:tcW w:w="1104" w:type="pct"/>
            <w:vMerge w:val="continue"/>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573" w:type="pct"/>
            <w:noWrap w:val="0"/>
            <w:vAlign w:val="center"/>
          </w:tcPr>
          <w:p>
            <w:pPr>
              <w:keepNext w:val="0"/>
              <w:keepLines w:val="0"/>
              <w:pageBreakBefore w:val="0"/>
              <w:widowControl w:val="0"/>
              <w:kinsoku/>
              <w:wordWrap/>
              <w:overflowPunct/>
              <w:topLinePunct w:val="0"/>
              <w:autoSpaceDE/>
              <w:autoSpaceDN/>
              <w:bidi w:val="0"/>
              <w:spacing w:before="63" w:line="400" w:lineRule="exact"/>
              <w:ind w:left="3"/>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8"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491" w:type="pct"/>
            <w:noWrap w:val="0"/>
            <w:vAlign w:val="center"/>
          </w:tcPr>
          <w:p>
            <w:pPr>
              <w:keepNext w:val="0"/>
              <w:keepLines w:val="0"/>
              <w:pageBreakBefore w:val="0"/>
              <w:widowControl w:val="0"/>
              <w:kinsoku/>
              <w:wordWrap/>
              <w:overflowPunct/>
              <w:topLinePunct w:val="0"/>
              <w:autoSpaceDE/>
              <w:autoSpaceDN/>
              <w:bidi w:val="0"/>
              <w:spacing w:before="63" w:line="400" w:lineRule="exact"/>
              <w:ind w:left="7"/>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26"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492"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jc w:val="center"/>
        </w:trPr>
        <w:tc>
          <w:tcPr>
            <w:tcW w:w="394"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highlight w:val="yellow"/>
              </w:rPr>
            </w:pPr>
            <w:r>
              <w:rPr>
                <w:rFonts w:hint="eastAsia" w:ascii="仿宋" w:hAnsi="仿宋" w:eastAsia="仿宋" w:cs="仿宋"/>
                <w:sz w:val="24"/>
                <w:szCs w:val="24"/>
                <w:highlight w:val="yellow"/>
              </w:rPr>
              <w:t>12</w:t>
            </w:r>
          </w:p>
        </w:tc>
        <w:tc>
          <w:tcPr>
            <w:tcW w:w="1268"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kern w:val="2"/>
                <w:sz w:val="24"/>
                <w:szCs w:val="24"/>
                <w:highlight w:val="yellow"/>
                <w:lang w:val="en-US" w:eastAsia="zh-CN" w:bidi="ar-SA"/>
              </w:rPr>
            </w:pPr>
            <w:r>
              <w:rPr>
                <w:rFonts w:hint="eastAsia" w:ascii="仿宋" w:hAnsi="仿宋" w:eastAsia="仿宋" w:cs="仿宋"/>
                <w:sz w:val="24"/>
                <w:szCs w:val="24"/>
                <w:highlight w:val="yellow"/>
              </w:rPr>
              <w:t>螺钉和连接</w:t>
            </w:r>
          </w:p>
        </w:tc>
        <w:tc>
          <w:tcPr>
            <w:tcW w:w="1104" w:type="pct"/>
            <w:vMerge w:val="continue"/>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highlight w:val="yellow"/>
              </w:rPr>
            </w:pPr>
          </w:p>
        </w:tc>
        <w:tc>
          <w:tcPr>
            <w:tcW w:w="573" w:type="pct"/>
            <w:noWrap w:val="0"/>
            <w:vAlign w:val="center"/>
          </w:tcPr>
          <w:p>
            <w:pPr>
              <w:keepNext w:val="0"/>
              <w:keepLines w:val="0"/>
              <w:pageBreakBefore w:val="0"/>
              <w:widowControl w:val="0"/>
              <w:kinsoku/>
              <w:wordWrap/>
              <w:overflowPunct/>
              <w:topLinePunct w:val="0"/>
              <w:autoSpaceDE/>
              <w:autoSpaceDN/>
              <w:bidi w:val="0"/>
              <w:spacing w:before="63" w:line="400" w:lineRule="exact"/>
              <w:ind w:left="3"/>
              <w:jc w:val="center"/>
              <w:textAlignment w:val="auto"/>
              <w:rPr>
                <w:rFonts w:hint="eastAsia" w:ascii="仿宋" w:hAnsi="仿宋" w:eastAsia="仿宋" w:cs="仿宋"/>
                <w:sz w:val="24"/>
                <w:szCs w:val="24"/>
                <w:highlight w:val="yellow"/>
              </w:rPr>
            </w:pPr>
            <w:r>
              <w:rPr>
                <w:rFonts w:hint="eastAsia" w:ascii="仿宋" w:hAnsi="仿宋" w:eastAsia="仿宋" w:cs="仿宋"/>
                <w:sz w:val="24"/>
                <w:szCs w:val="24"/>
                <w:highlight w:val="yellow"/>
              </w:rPr>
              <w:t>●</w:t>
            </w:r>
          </w:p>
        </w:tc>
        <w:tc>
          <w:tcPr>
            <w:tcW w:w="348"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highlight w:val="yellow"/>
              </w:rPr>
            </w:pPr>
          </w:p>
        </w:tc>
        <w:tc>
          <w:tcPr>
            <w:tcW w:w="491" w:type="pct"/>
            <w:noWrap w:val="0"/>
            <w:vAlign w:val="center"/>
          </w:tcPr>
          <w:p>
            <w:pPr>
              <w:keepNext w:val="0"/>
              <w:keepLines w:val="0"/>
              <w:pageBreakBefore w:val="0"/>
              <w:widowControl w:val="0"/>
              <w:kinsoku/>
              <w:wordWrap/>
              <w:overflowPunct/>
              <w:topLinePunct w:val="0"/>
              <w:autoSpaceDE/>
              <w:autoSpaceDN/>
              <w:bidi w:val="0"/>
              <w:spacing w:before="63" w:line="400" w:lineRule="exact"/>
              <w:ind w:left="7"/>
              <w:jc w:val="center"/>
              <w:textAlignment w:val="auto"/>
              <w:rPr>
                <w:rFonts w:hint="eastAsia" w:ascii="仿宋" w:hAnsi="仿宋" w:eastAsia="仿宋" w:cs="仿宋"/>
                <w:sz w:val="24"/>
                <w:szCs w:val="24"/>
                <w:highlight w:val="yellow"/>
              </w:rPr>
            </w:pPr>
            <w:r>
              <w:rPr>
                <w:rFonts w:hint="eastAsia" w:ascii="仿宋" w:hAnsi="仿宋" w:eastAsia="仿宋" w:cs="仿宋"/>
                <w:sz w:val="24"/>
                <w:szCs w:val="24"/>
                <w:highlight w:val="yellow"/>
              </w:rPr>
              <w:t>●</w:t>
            </w:r>
          </w:p>
        </w:tc>
        <w:tc>
          <w:tcPr>
            <w:tcW w:w="326"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highlight w:val="yellow"/>
              </w:rPr>
            </w:pPr>
          </w:p>
        </w:tc>
        <w:tc>
          <w:tcPr>
            <w:tcW w:w="492"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highlight w:val="yello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jc w:val="center"/>
        </w:trPr>
        <w:tc>
          <w:tcPr>
            <w:tcW w:w="394"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w:t>
            </w:r>
          </w:p>
        </w:tc>
        <w:tc>
          <w:tcPr>
            <w:tcW w:w="1268"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rPr>
              <w:t>电气间隙、爬电距离和固体绝缘</w:t>
            </w:r>
          </w:p>
        </w:tc>
        <w:tc>
          <w:tcPr>
            <w:tcW w:w="1104" w:type="pct"/>
            <w:vMerge w:val="continue"/>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573" w:type="pct"/>
            <w:noWrap w:val="0"/>
            <w:vAlign w:val="center"/>
          </w:tcPr>
          <w:p>
            <w:pPr>
              <w:keepNext w:val="0"/>
              <w:keepLines w:val="0"/>
              <w:pageBreakBefore w:val="0"/>
              <w:widowControl w:val="0"/>
              <w:kinsoku/>
              <w:wordWrap/>
              <w:overflowPunct/>
              <w:topLinePunct w:val="0"/>
              <w:autoSpaceDE/>
              <w:autoSpaceDN/>
              <w:bidi w:val="0"/>
              <w:spacing w:before="63" w:line="400" w:lineRule="exact"/>
              <w:ind w:left="3"/>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48"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491" w:type="pct"/>
            <w:noWrap w:val="0"/>
            <w:vAlign w:val="center"/>
          </w:tcPr>
          <w:p>
            <w:pPr>
              <w:keepNext w:val="0"/>
              <w:keepLines w:val="0"/>
              <w:pageBreakBefore w:val="0"/>
              <w:widowControl w:val="0"/>
              <w:kinsoku/>
              <w:wordWrap/>
              <w:overflowPunct/>
              <w:topLinePunct w:val="0"/>
              <w:autoSpaceDE/>
              <w:autoSpaceDN/>
              <w:bidi w:val="0"/>
              <w:spacing w:before="63" w:line="400" w:lineRule="exact"/>
              <w:ind w:left="7"/>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c>
          <w:tcPr>
            <w:tcW w:w="326"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c>
          <w:tcPr>
            <w:tcW w:w="492" w:type="pct"/>
            <w:noWrap w:val="0"/>
            <w:vAlign w:val="center"/>
          </w:tcPr>
          <w:p>
            <w:pPr>
              <w:keepNext w:val="0"/>
              <w:keepLines w:val="0"/>
              <w:pageBreakBefore w:val="0"/>
              <w:widowControl w:val="0"/>
              <w:kinsoku/>
              <w:wordWrap/>
              <w:overflowPunct/>
              <w:topLinePunct w:val="0"/>
              <w:autoSpaceDE/>
              <w:autoSpaceDN/>
              <w:bidi w:val="0"/>
              <w:spacing w:line="400" w:lineRule="exact"/>
              <w:jc w:val="center"/>
              <w:textAlignment w:val="auto"/>
              <w:rPr>
                <w:rFonts w:hint="eastAsia" w:ascii="仿宋" w:hAnsi="仿宋" w:eastAsia="仿宋" w:cs="仿宋"/>
                <w:sz w:val="24"/>
                <w:szCs w:val="24"/>
              </w:rPr>
            </w:pPr>
          </w:p>
        </w:tc>
      </w:tr>
    </w:tbl>
    <w:p>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注：执行企业标准、团体标准、地方标准的产品，检验项目参照上述内容执行。</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凡是注日期的文件，其随后所有的修改单（不包括勘误的内容）或修订版不适用于本细则。凡是不注日期的文件，其最新版本适用于本细则。</w:t>
      </w:r>
    </w:p>
    <w:p>
      <w:pPr>
        <w:ind w:firstLine="640" w:firstLineChars="200"/>
        <w:jc w:val="left"/>
        <w:rPr>
          <w:rFonts w:ascii="Calibri" w:hAnsi="Calibri" w:eastAsia="黑体" w:cs="Times New Roman"/>
          <w:szCs w:val="32"/>
        </w:rPr>
      </w:pPr>
      <w:r>
        <w:rPr>
          <w:rFonts w:ascii="Calibri" w:hAnsi="Calibri" w:eastAsia="黑体" w:cs="Times New Roman"/>
          <w:szCs w:val="32"/>
        </w:rPr>
        <w:t>三、判定规则</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0"/>
          <w:sz w:val="32"/>
          <w:szCs w:val="32"/>
        </w:rPr>
      </w:pPr>
      <w:r>
        <w:rPr>
          <w:rFonts w:hint="eastAsia" w:ascii="楷体_GB2312" w:hAnsi="楷体_GB2312" w:eastAsia="楷体_GB2312" w:cs="楷体_GB2312"/>
          <w:kern w:val="0"/>
          <w:sz w:val="32"/>
          <w:szCs w:val="32"/>
        </w:rPr>
        <w:t>（一）依据标准</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GB 4706.1-2005《家用和类似用途电器的安全 第1部分：通用要求》</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GB 4706.99-2009《家用和类似用途电器的安全 储热式电热暖手器的特殊要求》</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现行有效的企业标准、团体标准、地方标准及产品明示质量要求。</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楷体_GB2312" w:hAnsi="楷体_GB2312" w:eastAsia="楷体_GB2312" w:cs="楷体_GB2312"/>
          <w:kern w:val="0"/>
          <w:sz w:val="32"/>
          <w:szCs w:val="32"/>
        </w:rPr>
      </w:pPr>
      <w:r>
        <w:rPr>
          <w:rFonts w:hint="eastAsia" w:ascii="楷体_GB2312" w:hAnsi="楷体_GB2312" w:eastAsia="楷体_GB2312" w:cs="楷体_GB2312"/>
          <w:kern w:val="0"/>
          <w:sz w:val="32"/>
          <w:szCs w:val="32"/>
        </w:rPr>
        <w:t>（二）判定原则</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经检验，检验项目全部合格，判定为被抽查产品所检项目未发现不合格；检验项目中任一项或一项以上不合格，判定为被抽查产品不合格。</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当被检样品明示的质量要求优于监督抽查实施细则中依据的标准要求时，应按被检样品明示的质量要求判定；</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当被检样品明示的质量要求劣于或不包含监督抽查实施细则中依据的强制性标准要求时，应按照强制性标准要求判定；</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当被检样品未能提供有效的企业标准时，按相关国家或行业标准进行判定；</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按照产品质量相关法律法规的规定判定。</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kern w:val="0"/>
          <w:sz w:val="32"/>
          <w:szCs w:val="32"/>
        </w:rPr>
        <w:t>检验中发现因样品失效或者其他原因致使检验无法进行的，检验人员应如实记录，并提供相关证明材料，报送组织监督抽查的市场监管部门。</w:t>
      </w:r>
    </w:p>
    <w:p>
      <w:pPr>
        <w:keepNext w:val="0"/>
        <w:keepLines w:val="0"/>
        <w:pageBreakBefore w:val="0"/>
        <w:widowControl/>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0"/>
          <w:sz w:val="32"/>
          <w:szCs w:val="32"/>
        </w:rPr>
      </w:pPr>
    </w:p>
    <w:sectPr>
      <w:pgSz w:w="11906" w:h="16838"/>
      <w:pgMar w:top="2098" w:right="1474" w:bottom="1984" w:left="158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iYjVjNWI5MzAzZTZmMWUwMWJlOWMwMWQxNmZkMjMifQ=="/>
  </w:docVars>
  <w:rsids>
    <w:rsidRoot w:val="00000000"/>
    <w:rsid w:val="02862823"/>
    <w:rsid w:val="129C6E14"/>
    <w:rsid w:val="30661296"/>
    <w:rsid w:val="399A48D8"/>
    <w:rsid w:val="554063D4"/>
    <w:rsid w:val="693F6DC3"/>
    <w:rsid w:val="73DF10FE"/>
    <w:rsid w:val="FADF22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gdqts</dc:creator>
  <cp:lastModifiedBy>王华燕</cp:lastModifiedBy>
  <dcterms:modified xsi:type="dcterms:W3CDTF">2023-05-22T07:17:15Z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2052-11.1.0.14177</vt:lpwstr>
  </property>
  <property fmtid="{D5CDD505-2E9C-101B-9397-08002B2CF9AE}" pid="3" name="ICV">
    <vt:lpwstr>A7AE98638B734EE985BEA1A45E09B269_12</vt:lpwstr>
  </property>
</Properties>
</file>