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cs="Courier New"/>
          <w:bCs/>
          <w:sz w:val="44"/>
          <w:szCs w:val="44"/>
        </w:rPr>
      </w:pPr>
      <w:r>
        <w:rPr>
          <w:rFonts w:hint="eastAsia" w:ascii="方正小标宋简体" w:hAnsi="方正小标宋简体" w:eastAsia="方正小标宋简体" w:cs="方正小标宋简体"/>
          <w:bCs/>
          <w:sz w:val="44"/>
          <w:szCs w:val="44"/>
        </w:rPr>
        <w:t>珠海市学生用品产品质量监督抽查实施细则</w:t>
      </w:r>
    </w:p>
    <w:p>
      <w:pPr>
        <w:spacing w:line="600" w:lineRule="exact"/>
        <w:jc w:val="center"/>
        <w:rPr>
          <w:rFonts w:ascii="方正小标宋简体" w:hAnsi="Courier New" w:eastAsia="方正小标宋简体" w:cs="Courier New"/>
          <w:bCs/>
          <w:sz w:val="44"/>
          <w:szCs w:val="44"/>
        </w:rPr>
      </w:pP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黑体" w:hAnsi="黑体" w:eastAsia="黑体" w:cs="Courier New"/>
        </w:rPr>
      </w:pPr>
      <w:r>
        <w:rPr>
          <w:rFonts w:hint="eastAsia" w:ascii="黑体" w:hAnsi="黑体" w:eastAsia="黑体" w:cs="Courier New"/>
        </w:rPr>
        <w:t>一、抽样方法</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以随机抽样的方式在被抽样经营者的待销产品中抽取。</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随机数一般可使用随机数表等方法产生。</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left"/>
        <w:textAlignment w:val="auto"/>
        <w:rPr>
          <w:rFonts w:ascii="仿宋_GB2312" w:hAnsi="仿宋_GB2312" w:eastAsia="仿宋_GB2312" w:cs="仿宋_GB2312"/>
          <w:kern w:val="0"/>
        </w:rPr>
      </w:pPr>
      <w:r>
        <w:rPr>
          <w:rFonts w:hint="eastAsia" w:ascii="仿宋" w:hAnsi="仿宋" w:eastAsia="仿宋" w:cs="仿宋"/>
          <w:kern w:val="0"/>
        </w:rPr>
        <w:t>抽查数量：每款产品抽取2组样本，第1组用于检验，第2组用于备样。具体抽样数量如下：</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3525"/>
        <w:gridCol w:w="2581"/>
        <w:gridCol w:w="2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blHeader/>
          <w:jc w:val="center"/>
        </w:trPr>
        <w:tc>
          <w:tcPr>
            <w:tcW w:w="453" w:type="pct"/>
            <w:vAlign w:val="center"/>
          </w:tcPr>
          <w:p>
            <w:pPr>
              <w:jc w:val="center"/>
              <w:rPr>
                <w:rFonts w:hint="eastAsia" w:ascii="黑体" w:hAnsi="黑体" w:eastAsia="黑体" w:cs="黑体"/>
                <w:bCs/>
                <w:sz w:val="24"/>
                <w:szCs w:val="24"/>
              </w:rPr>
            </w:pPr>
            <w:r>
              <w:rPr>
                <w:rFonts w:hint="eastAsia" w:ascii="黑体" w:hAnsi="黑体" w:eastAsia="黑体" w:cs="黑体"/>
                <w:bCs/>
                <w:sz w:val="24"/>
                <w:szCs w:val="24"/>
              </w:rPr>
              <w:t>序号</w:t>
            </w:r>
          </w:p>
        </w:tc>
        <w:tc>
          <w:tcPr>
            <w:tcW w:w="1852" w:type="pct"/>
            <w:vAlign w:val="center"/>
          </w:tcPr>
          <w:p>
            <w:pPr>
              <w:jc w:val="center"/>
              <w:rPr>
                <w:rFonts w:hint="eastAsia" w:ascii="黑体" w:hAnsi="黑体" w:eastAsia="黑体" w:cs="黑体"/>
                <w:bCs/>
                <w:sz w:val="24"/>
                <w:szCs w:val="24"/>
              </w:rPr>
            </w:pPr>
            <w:r>
              <w:rPr>
                <w:rFonts w:hint="eastAsia" w:ascii="黑体" w:hAnsi="黑体" w:eastAsia="黑体" w:cs="黑体"/>
                <w:bCs/>
                <w:sz w:val="24"/>
                <w:szCs w:val="24"/>
              </w:rPr>
              <w:t>产品名称</w:t>
            </w:r>
          </w:p>
        </w:tc>
        <w:tc>
          <w:tcPr>
            <w:tcW w:w="1356" w:type="pct"/>
            <w:vAlign w:val="center"/>
          </w:tcPr>
          <w:p>
            <w:pPr>
              <w:jc w:val="center"/>
              <w:rPr>
                <w:rFonts w:hint="eastAsia" w:ascii="黑体" w:hAnsi="黑体" w:eastAsia="黑体" w:cs="黑体"/>
                <w:bCs/>
                <w:sz w:val="24"/>
                <w:szCs w:val="24"/>
              </w:rPr>
            </w:pPr>
            <w:r>
              <w:rPr>
                <w:rFonts w:hint="eastAsia" w:ascii="黑体" w:hAnsi="黑体" w:eastAsia="黑体" w:cs="黑体"/>
                <w:bCs/>
                <w:sz w:val="24"/>
                <w:szCs w:val="24"/>
              </w:rPr>
              <w:t>第1组数量</w:t>
            </w:r>
          </w:p>
        </w:tc>
        <w:tc>
          <w:tcPr>
            <w:tcW w:w="1337" w:type="pct"/>
            <w:vAlign w:val="center"/>
          </w:tcPr>
          <w:p>
            <w:pPr>
              <w:jc w:val="center"/>
              <w:rPr>
                <w:rFonts w:hint="eastAsia" w:ascii="黑体" w:hAnsi="黑体" w:eastAsia="黑体" w:cs="黑体"/>
                <w:bCs/>
                <w:sz w:val="24"/>
                <w:szCs w:val="24"/>
              </w:rPr>
            </w:pPr>
            <w:r>
              <w:rPr>
                <w:rFonts w:hint="eastAsia" w:ascii="黑体" w:hAnsi="黑体" w:eastAsia="黑体" w:cs="黑体"/>
                <w:bCs/>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53" w:type="pct"/>
            <w:vAlign w:val="center"/>
          </w:tcPr>
          <w:p>
            <w:pPr>
              <w:pStyle w:val="17"/>
              <w:numPr>
                <w:ilvl w:val="0"/>
                <w:numId w:val="1"/>
              </w:numPr>
              <w:ind w:firstLineChars="0"/>
              <w:jc w:val="center"/>
              <w:rPr>
                <w:rFonts w:hint="eastAsia" w:ascii="仿宋" w:hAnsi="仿宋" w:eastAsia="仿宋" w:cs="仿宋"/>
                <w:sz w:val="24"/>
                <w:szCs w:val="24"/>
              </w:rPr>
            </w:pPr>
          </w:p>
        </w:tc>
        <w:tc>
          <w:tcPr>
            <w:tcW w:w="1852"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水彩画颜料、蜡笔、油画棒、书套、橡皮擦</w:t>
            </w:r>
          </w:p>
        </w:tc>
        <w:tc>
          <w:tcPr>
            <w:tcW w:w="1356"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水彩画颜料、蜡笔、油画棒　1盒</w:t>
            </w:r>
          </w:p>
          <w:p>
            <w:pPr>
              <w:jc w:val="center"/>
              <w:rPr>
                <w:rFonts w:hint="eastAsia" w:ascii="仿宋" w:hAnsi="仿宋" w:eastAsia="仿宋" w:cs="仿宋"/>
                <w:sz w:val="24"/>
                <w:szCs w:val="24"/>
              </w:rPr>
            </w:pPr>
            <w:r>
              <w:rPr>
                <w:rFonts w:hint="eastAsia" w:ascii="仿宋" w:hAnsi="仿宋" w:eastAsia="仿宋" w:cs="仿宋"/>
                <w:bCs/>
                <w:sz w:val="24"/>
                <w:szCs w:val="24"/>
              </w:rPr>
              <w:t>书套、橡皮擦　３只</w:t>
            </w:r>
          </w:p>
        </w:tc>
        <w:tc>
          <w:tcPr>
            <w:tcW w:w="1337"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水彩画颜料、蜡笔、油画棒　1盒</w:t>
            </w:r>
          </w:p>
          <w:p>
            <w:pPr>
              <w:jc w:val="center"/>
              <w:rPr>
                <w:rFonts w:hint="eastAsia" w:ascii="仿宋" w:hAnsi="仿宋" w:eastAsia="仿宋" w:cs="仿宋"/>
                <w:sz w:val="24"/>
                <w:szCs w:val="24"/>
              </w:rPr>
            </w:pPr>
            <w:r>
              <w:rPr>
                <w:rFonts w:hint="eastAsia" w:ascii="仿宋" w:hAnsi="仿宋" w:eastAsia="仿宋" w:cs="仿宋"/>
                <w:bCs/>
                <w:sz w:val="24"/>
                <w:szCs w:val="24"/>
              </w:rPr>
              <w:t>书套、橡皮擦２只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53" w:type="pct"/>
            <w:vAlign w:val="center"/>
          </w:tcPr>
          <w:p>
            <w:pPr>
              <w:pStyle w:val="17"/>
              <w:numPr>
                <w:ilvl w:val="0"/>
                <w:numId w:val="1"/>
              </w:numPr>
              <w:ind w:firstLineChars="0"/>
              <w:jc w:val="center"/>
              <w:rPr>
                <w:rFonts w:hint="eastAsia" w:ascii="仿宋" w:hAnsi="仿宋" w:eastAsia="仿宋" w:cs="仿宋"/>
                <w:sz w:val="24"/>
                <w:szCs w:val="24"/>
              </w:rPr>
            </w:pPr>
          </w:p>
        </w:tc>
        <w:tc>
          <w:tcPr>
            <w:tcW w:w="1852"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彩泥</w:t>
            </w:r>
          </w:p>
        </w:tc>
        <w:tc>
          <w:tcPr>
            <w:tcW w:w="1356"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２盒</w:t>
            </w:r>
          </w:p>
        </w:tc>
        <w:tc>
          <w:tcPr>
            <w:tcW w:w="1337"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１盒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53" w:type="pct"/>
            <w:vAlign w:val="center"/>
          </w:tcPr>
          <w:p>
            <w:pPr>
              <w:pStyle w:val="17"/>
              <w:numPr>
                <w:ilvl w:val="0"/>
                <w:numId w:val="1"/>
              </w:numPr>
              <w:ind w:firstLineChars="0"/>
              <w:jc w:val="center"/>
              <w:rPr>
                <w:rFonts w:hint="eastAsia" w:ascii="仿宋" w:hAnsi="仿宋" w:eastAsia="仿宋" w:cs="仿宋"/>
                <w:sz w:val="24"/>
                <w:szCs w:val="24"/>
              </w:rPr>
            </w:pPr>
          </w:p>
        </w:tc>
        <w:tc>
          <w:tcPr>
            <w:tcW w:w="1852"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修正液、修正带、修正贴、修正笔</w:t>
            </w:r>
          </w:p>
        </w:tc>
        <w:tc>
          <w:tcPr>
            <w:tcW w:w="1356"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２只/个</w:t>
            </w:r>
          </w:p>
        </w:tc>
        <w:tc>
          <w:tcPr>
            <w:tcW w:w="1337"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2只/个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53" w:type="pct"/>
            <w:vAlign w:val="center"/>
          </w:tcPr>
          <w:p>
            <w:pPr>
              <w:pStyle w:val="17"/>
              <w:numPr>
                <w:ilvl w:val="0"/>
                <w:numId w:val="1"/>
              </w:numPr>
              <w:ind w:firstLineChars="0"/>
              <w:jc w:val="center"/>
              <w:rPr>
                <w:rFonts w:hint="eastAsia" w:ascii="仿宋" w:hAnsi="仿宋" w:eastAsia="仿宋" w:cs="仿宋"/>
                <w:sz w:val="24"/>
                <w:szCs w:val="24"/>
              </w:rPr>
            </w:pPr>
          </w:p>
        </w:tc>
        <w:tc>
          <w:tcPr>
            <w:tcW w:w="1852"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胶粘剂</w:t>
            </w:r>
          </w:p>
        </w:tc>
        <w:tc>
          <w:tcPr>
            <w:tcW w:w="1356"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2只</w:t>
            </w:r>
          </w:p>
        </w:tc>
        <w:tc>
          <w:tcPr>
            <w:tcW w:w="1337"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53" w:type="pct"/>
            <w:vAlign w:val="center"/>
          </w:tcPr>
          <w:p>
            <w:pPr>
              <w:pStyle w:val="17"/>
              <w:numPr>
                <w:ilvl w:val="0"/>
                <w:numId w:val="1"/>
              </w:numPr>
              <w:ind w:firstLineChars="0"/>
              <w:jc w:val="center"/>
              <w:rPr>
                <w:rFonts w:hint="eastAsia" w:ascii="仿宋" w:hAnsi="仿宋" w:eastAsia="仿宋" w:cs="仿宋"/>
                <w:sz w:val="24"/>
                <w:szCs w:val="24"/>
              </w:rPr>
            </w:pPr>
          </w:p>
        </w:tc>
        <w:tc>
          <w:tcPr>
            <w:tcW w:w="1852"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水彩笔、自来水笔、油墨圆珠笔、中性墨水圆珠笔、水性墨水圆珠笔、记号笔、白板笔、荧光笔、铅笔、活动铅笔、墨水、铅芯</w:t>
            </w:r>
          </w:p>
        </w:tc>
        <w:tc>
          <w:tcPr>
            <w:tcW w:w="1356"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３只</w:t>
            </w:r>
          </w:p>
        </w:tc>
        <w:tc>
          <w:tcPr>
            <w:tcW w:w="1337"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３只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53" w:type="pct"/>
            <w:vAlign w:val="center"/>
          </w:tcPr>
          <w:p>
            <w:pPr>
              <w:pStyle w:val="17"/>
              <w:numPr>
                <w:ilvl w:val="0"/>
                <w:numId w:val="1"/>
              </w:numPr>
              <w:ind w:firstLineChars="0"/>
              <w:jc w:val="center"/>
              <w:rPr>
                <w:rFonts w:hint="eastAsia" w:ascii="仿宋" w:hAnsi="仿宋" w:eastAsia="仿宋" w:cs="仿宋"/>
                <w:sz w:val="24"/>
                <w:szCs w:val="24"/>
              </w:rPr>
            </w:pPr>
          </w:p>
        </w:tc>
        <w:tc>
          <w:tcPr>
            <w:tcW w:w="1852"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书包、笔袋</w:t>
            </w:r>
          </w:p>
        </w:tc>
        <w:tc>
          <w:tcPr>
            <w:tcW w:w="1356"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书包　１只</w:t>
            </w:r>
          </w:p>
          <w:p>
            <w:pPr>
              <w:jc w:val="center"/>
              <w:rPr>
                <w:rFonts w:hint="eastAsia" w:ascii="仿宋" w:hAnsi="仿宋" w:eastAsia="仿宋" w:cs="仿宋"/>
                <w:sz w:val="24"/>
                <w:szCs w:val="24"/>
              </w:rPr>
            </w:pPr>
            <w:r>
              <w:rPr>
                <w:rFonts w:hint="eastAsia" w:ascii="仿宋" w:hAnsi="仿宋" w:eastAsia="仿宋" w:cs="仿宋"/>
                <w:sz w:val="24"/>
                <w:szCs w:val="24"/>
              </w:rPr>
              <w:t>笔袋　２只</w:t>
            </w:r>
          </w:p>
        </w:tc>
        <w:tc>
          <w:tcPr>
            <w:tcW w:w="1337"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书包　１只</w:t>
            </w:r>
          </w:p>
          <w:p>
            <w:pPr>
              <w:jc w:val="center"/>
              <w:rPr>
                <w:rFonts w:hint="eastAsia" w:ascii="仿宋" w:hAnsi="仿宋" w:eastAsia="仿宋" w:cs="仿宋"/>
                <w:sz w:val="24"/>
                <w:szCs w:val="24"/>
              </w:rPr>
            </w:pPr>
            <w:r>
              <w:rPr>
                <w:rFonts w:hint="eastAsia" w:ascii="仿宋" w:hAnsi="仿宋" w:eastAsia="仿宋" w:cs="仿宋"/>
                <w:sz w:val="24"/>
                <w:szCs w:val="24"/>
              </w:rPr>
              <w:t>笔袋　１只</w:t>
            </w:r>
          </w:p>
        </w:tc>
      </w:tr>
    </w:tbl>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注：全部样品请抽取有标签标识的外包装盒/袋。</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确定被抽样对象应符合T/GDAQI 020-2020《产品质量监督抽查抽样检验技术服务规范》5.3.3.3和第6章抽样的相关要求。</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抽取样品应为同一型号规格、同一批次的产品。</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抽查样品基数满足抽样数量即可。</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left"/>
        <w:textAlignment w:val="auto"/>
        <w:rPr>
          <w:rFonts w:hint="eastAsia" w:ascii="仿宋" w:hAnsi="仿宋" w:eastAsia="仿宋" w:cs="仿宋"/>
          <w:kern w:val="0"/>
          <w:lang w:eastAsia="zh-CN"/>
        </w:rPr>
      </w:pPr>
      <w:r>
        <w:rPr>
          <w:rFonts w:hint="eastAsia" w:ascii="仿宋" w:hAnsi="仿宋" w:eastAsia="仿宋" w:cs="仿宋"/>
          <w:kern w:val="0"/>
        </w:rPr>
        <w:t>检验样品和备用样品应分别签封，确保防止拆封、封条完整、清晰，并注明“检验样品”或“备用样品”，一起寄/送至检验机构。封样单上应有被抽查企业和抽样人员双方的签名，塑封，注明抽样日期，并采用透明胶带缠裹。封好样后，可采取拍照、封样单骑缝签名、漆封、特殊材料等其他附加的防拆封措施。在运送过程中应注意对样品进行适当防护，避免出现磕碰、磨损，尤其避免雨淋、进水等情况。</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left"/>
        <w:textAlignment w:val="auto"/>
        <w:rPr>
          <w:rFonts w:hint="eastAsia" w:eastAsia="黑体"/>
        </w:rPr>
      </w:pPr>
      <w:r>
        <w:rPr>
          <w:rFonts w:hint="eastAsia" w:ascii="仿宋" w:hAnsi="仿宋" w:cs="仿宋"/>
          <w:kern w:val="0"/>
          <w:lang w:eastAsia="zh-CN"/>
        </w:rPr>
        <w:t>二、</w:t>
      </w:r>
      <w:r>
        <w:rPr>
          <w:rFonts w:hint="eastAsia" w:eastAsia="黑体"/>
        </w:rPr>
        <w:t>主要检验项目及检验项目属性划分</w:t>
      </w:r>
    </w:p>
    <w:tbl>
      <w:tblPr>
        <w:tblStyle w:val="6"/>
        <w:tblpPr w:leftFromText="180" w:rightFromText="180" w:vertAnchor="text" w:horzAnchor="page" w:tblpXSpec="center" w:tblpY="578"/>
        <w:tblOverlap w:val="never"/>
        <w:tblW w:w="4995" w:type="pct"/>
        <w:jc w:val="center"/>
        <w:tblLayout w:type="autofit"/>
        <w:tblCellMar>
          <w:top w:w="0" w:type="dxa"/>
          <w:left w:w="108" w:type="dxa"/>
          <w:bottom w:w="0" w:type="dxa"/>
          <w:right w:w="108" w:type="dxa"/>
        </w:tblCellMar>
      </w:tblPr>
      <w:tblGrid>
        <w:gridCol w:w="456"/>
        <w:gridCol w:w="1474"/>
        <w:gridCol w:w="1546"/>
        <w:gridCol w:w="1247"/>
        <w:gridCol w:w="2017"/>
        <w:gridCol w:w="670"/>
        <w:gridCol w:w="550"/>
        <w:gridCol w:w="537"/>
        <w:gridCol w:w="550"/>
        <w:gridCol w:w="457"/>
      </w:tblGrid>
      <w:tr>
        <w:tblPrEx>
          <w:tblCellMar>
            <w:top w:w="0" w:type="dxa"/>
            <w:left w:w="108" w:type="dxa"/>
            <w:bottom w:w="0" w:type="dxa"/>
            <w:right w:w="108" w:type="dxa"/>
          </w:tblCellMar>
        </w:tblPrEx>
        <w:trPr>
          <w:trHeight w:val="508" w:hRule="atLeast"/>
          <w:tblHeader/>
          <w:jc w:val="center"/>
        </w:trPr>
        <w:tc>
          <w:tcPr>
            <w:tcW w:w="239"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77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产品名称</w:t>
            </w:r>
          </w:p>
        </w:tc>
        <w:tc>
          <w:tcPr>
            <w:tcW w:w="8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检测部位</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w:t>
            </w:r>
          </w:p>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项目</w:t>
            </w:r>
          </w:p>
        </w:tc>
        <w:tc>
          <w:tcPr>
            <w:tcW w:w="106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289"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28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289"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24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w:t>
            </w:r>
          </w:p>
        </w:tc>
      </w:tr>
      <w:tr>
        <w:tblPrEx>
          <w:tblCellMar>
            <w:top w:w="0" w:type="dxa"/>
            <w:left w:w="108" w:type="dxa"/>
            <w:bottom w:w="0" w:type="dxa"/>
            <w:right w:w="108" w:type="dxa"/>
          </w:tblCellMar>
        </w:tblPrEx>
        <w:trPr>
          <w:trHeight w:val="508" w:hRule="atLeast"/>
          <w:tblHeader/>
          <w:jc w:val="center"/>
        </w:trPr>
        <w:tc>
          <w:tcPr>
            <w:tcW w:w="2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
              <w:numPr>
                <w:ilvl w:val="0"/>
                <w:numId w:val="2"/>
              </w:numPr>
              <w:spacing w:line="240" w:lineRule="exact"/>
              <w:ind w:firstLineChars="0"/>
              <w:jc w:val="center"/>
              <w:rPr>
                <w:rFonts w:hint="eastAsia" w:ascii="仿宋" w:hAnsi="仿宋" w:eastAsia="仿宋" w:cs="仿宋"/>
                <w:bCs/>
                <w:sz w:val="24"/>
                <w:szCs w:val="24"/>
              </w:rPr>
            </w:pPr>
          </w:p>
        </w:tc>
        <w:tc>
          <w:tcPr>
            <w:tcW w:w="77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仿宋" w:hAnsi="仿宋" w:eastAsia="仿宋" w:cs="仿宋"/>
                <w:b/>
                <w:bCs/>
                <w:sz w:val="24"/>
                <w:szCs w:val="24"/>
              </w:rPr>
            </w:pPr>
            <w:r>
              <w:rPr>
                <w:rFonts w:hint="eastAsia" w:ascii="仿宋" w:hAnsi="仿宋" w:eastAsia="仿宋" w:cs="仿宋"/>
                <w:bCs/>
                <w:sz w:val="24"/>
                <w:szCs w:val="24"/>
              </w:rPr>
              <w:t>水彩画颜料、蜡笔、油画棒、书套、橡皮擦</w:t>
            </w:r>
          </w:p>
        </w:tc>
        <w:tc>
          <w:tcPr>
            <w:tcW w:w="8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rFonts w:hint="eastAsia" w:ascii="仿宋" w:hAnsi="仿宋" w:eastAsia="仿宋" w:cs="仿宋"/>
                <w:b/>
                <w:bCs/>
                <w:sz w:val="24"/>
                <w:szCs w:val="24"/>
              </w:rPr>
            </w:pPr>
            <w:r>
              <w:rPr>
                <w:rFonts w:hint="eastAsia" w:ascii="仿宋" w:hAnsi="仿宋" w:eastAsia="仿宋" w:cs="仿宋"/>
                <w:bCs/>
                <w:sz w:val="24"/>
                <w:szCs w:val="24"/>
              </w:rPr>
              <w:t>水彩画颜料色浆、蜡笔及笔标贴纸、油画棒及笔标贴纸、书套印刷部分、橡皮擦及贴纸</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仿宋" w:hAnsi="仿宋" w:eastAsia="仿宋" w:cs="仿宋"/>
                <w:b/>
                <w:bCs/>
                <w:sz w:val="24"/>
                <w:szCs w:val="24"/>
              </w:rPr>
            </w:pPr>
            <w:r>
              <w:rPr>
                <w:rFonts w:hint="eastAsia" w:ascii="仿宋" w:hAnsi="仿宋" w:eastAsia="仿宋" w:cs="仿宋"/>
                <w:bCs/>
                <w:sz w:val="24"/>
                <w:szCs w:val="24"/>
              </w:rPr>
              <w:t>重金属8项</w:t>
            </w:r>
          </w:p>
        </w:tc>
        <w:tc>
          <w:tcPr>
            <w:tcW w:w="106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 6675.4-2014</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仿宋" w:hAnsi="仿宋" w:eastAsia="仿宋" w:cs="仿宋"/>
                <w:sz w:val="24"/>
                <w:szCs w:val="24"/>
              </w:rPr>
            </w:pPr>
          </w:p>
        </w:tc>
        <w:tc>
          <w:tcPr>
            <w:tcW w:w="28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仿宋" w:hAnsi="仿宋" w:eastAsia="仿宋" w:cs="仿宋"/>
                <w:b/>
                <w:bCs/>
                <w:sz w:val="24"/>
                <w:szCs w:val="24"/>
              </w:rPr>
            </w:pPr>
          </w:p>
        </w:tc>
        <w:tc>
          <w:tcPr>
            <w:tcW w:w="24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仿宋" w:hAnsi="仿宋" w:eastAsia="仿宋" w:cs="仿宋"/>
                <w:b/>
                <w:bCs/>
                <w:sz w:val="24"/>
                <w:szCs w:val="24"/>
              </w:rPr>
            </w:pPr>
          </w:p>
        </w:tc>
      </w:tr>
      <w:tr>
        <w:tblPrEx>
          <w:tblCellMar>
            <w:top w:w="0" w:type="dxa"/>
            <w:left w:w="108" w:type="dxa"/>
            <w:bottom w:w="0" w:type="dxa"/>
            <w:right w:w="108" w:type="dxa"/>
          </w:tblCellMar>
        </w:tblPrEx>
        <w:trPr>
          <w:trHeight w:val="246" w:hRule="atLeast"/>
          <w:jc w:val="center"/>
        </w:trPr>
        <w:tc>
          <w:tcPr>
            <w:tcW w:w="239" w:type="pct"/>
            <w:vMerge w:val="restart"/>
            <w:tcBorders>
              <w:top w:val="single" w:color="auto" w:sz="4" w:space="0"/>
              <w:left w:val="single" w:color="auto" w:sz="4" w:space="0"/>
              <w:right w:val="single" w:color="auto" w:sz="4" w:space="0"/>
            </w:tcBorders>
            <w:vAlign w:val="center"/>
          </w:tcPr>
          <w:p>
            <w:pPr>
              <w:pStyle w:val="17"/>
              <w:numPr>
                <w:ilvl w:val="0"/>
                <w:numId w:val="2"/>
              </w:numPr>
              <w:spacing w:line="240" w:lineRule="exact"/>
              <w:ind w:firstLineChars="0"/>
              <w:jc w:val="center"/>
              <w:rPr>
                <w:rFonts w:hint="eastAsia" w:ascii="仿宋" w:hAnsi="仿宋" w:eastAsia="仿宋" w:cs="仿宋"/>
                <w:bCs/>
                <w:sz w:val="24"/>
                <w:szCs w:val="24"/>
              </w:rPr>
            </w:pPr>
            <w:r>
              <w:rPr>
                <w:rFonts w:hint="eastAsia" w:ascii="仿宋" w:hAnsi="仿宋" w:eastAsia="仿宋" w:cs="仿宋"/>
                <w:bCs/>
                <w:sz w:val="24"/>
                <w:szCs w:val="24"/>
              </w:rPr>
              <w:t xml:space="preserve"> </w:t>
            </w:r>
          </w:p>
        </w:tc>
        <w:tc>
          <w:tcPr>
            <w:tcW w:w="775" w:type="pct"/>
            <w:vMerge w:val="restart"/>
            <w:tcBorders>
              <w:top w:val="single" w:color="auto" w:sz="4" w:space="0"/>
              <w:left w:val="nil"/>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彩泥</w:t>
            </w:r>
          </w:p>
        </w:tc>
        <w:tc>
          <w:tcPr>
            <w:tcW w:w="813" w:type="pct"/>
            <w:vMerge w:val="restart"/>
            <w:tcBorders>
              <w:top w:val="single" w:color="auto" w:sz="4" w:space="0"/>
              <w:left w:val="nil"/>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泥体</w:t>
            </w:r>
          </w:p>
        </w:tc>
        <w:tc>
          <w:tcPr>
            <w:tcW w:w="656" w:type="pct"/>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b/>
                <w:bCs/>
                <w:sz w:val="24"/>
                <w:szCs w:val="24"/>
              </w:rPr>
            </w:pPr>
            <w:r>
              <w:rPr>
                <w:rFonts w:hint="eastAsia" w:ascii="仿宋" w:hAnsi="仿宋" w:eastAsia="仿宋" w:cs="仿宋"/>
                <w:bCs/>
                <w:sz w:val="24"/>
                <w:szCs w:val="24"/>
              </w:rPr>
              <w:t>重金属8项</w:t>
            </w:r>
          </w:p>
        </w:tc>
        <w:tc>
          <w:tcPr>
            <w:tcW w:w="106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 6675.4-2014</w:t>
            </w:r>
          </w:p>
        </w:tc>
        <w:tc>
          <w:tcPr>
            <w:tcW w:w="35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2"/>
                <w:sz w:val="24"/>
                <w:szCs w:val="24"/>
                <w:lang w:val="en-US" w:eastAsia="zh-CN" w:bidi="ar-SA"/>
              </w:rPr>
            </w:pPr>
          </w:p>
        </w:tc>
        <w:tc>
          <w:tcPr>
            <w:tcW w:w="28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r>
      <w:tr>
        <w:tblPrEx>
          <w:tblCellMar>
            <w:top w:w="0" w:type="dxa"/>
            <w:left w:w="108" w:type="dxa"/>
            <w:bottom w:w="0" w:type="dxa"/>
            <w:right w:w="108" w:type="dxa"/>
          </w:tblCellMar>
        </w:tblPrEx>
        <w:trPr>
          <w:trHeight w:val="491" w:hRule="atLeast"/>
          <w:jc w:val="center"/>
        </w:trPr>
        <w:tc>
          <w:tcPr>
            <w:tcW w:w="239" w:type="pct"/>
            <w:vMerge w:val="continue"/>
            <w:tcBorders>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775" w:type="pct"/>
            <w:vMerge w:val="continue"/>
            <w:tcBorders>
              <w:left w:val="nil"/>
              <w:bottom w:val="single" w:color="auto" w:sz="4" w:space="0"/>
              <w:right w:val="single" w:color="auto" w:sz="4" w:space="0"/>
            </w:tcBorders>
            <w:vAlign w:val="center"/>
          </w:tcPr>
          <w:p>
            <w:pPr>
              <w:jc w:val="center"/>
              <w:rPr>
                <w:rFonts w:hint="eastAsia" w:ascii="仿宋" w:hAnsi="仿宋" w:eastAsia="仿宋" w:cs="仿宋"/>
                <w:bCs/>
                <w:sz w:val="24"/>
                <w:szCs w:val="24"/>
              </w:rPr>
            </w:pPr>
          </w:p>
        </w:tc>
        <w:tc>
          <w:tcPr>
            <w:tcW w:w="813" w:type="pct"/>
            <w:vMerge w:val="continue"/>
            <w:tcBorders>
              <w:left w:val="nil"/>
              <w:bottom w:val="single" w:color="auto" w:sz="4" w:space="0"/>
              <w:right w:val="single" w:color="auto" w:sz="4" w:space="0"/>
            </w:tcBorders>
            <w:vAlign w:val="center"/>
          </w:tcPr>
          <w:p>
            <w:pPr>
              <w:jc w:val="center"/>
              <w:rPr>
                <w:rFonts w:hint="eastAsia" w:ascii="仿宋" w:hAnsi="仿宋" w:eastAsia="仿宋" w:cs="仿宋"/>
                <w:bCs/>
                <w:sz w:val="24"/>
                <w:szCs w:val="24"/>
              </w:rPr>
            </w:pPr>
          </w:p>
        </w:tc>
        <w:tc>
          <w:tcPr>
            <w:tcW w:w="656"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游离甲醛</w:t>
            </w:r>
          </w:p>
        </w:tc>
        <w:tc>
          <w:tcPr>
            <w:tcW w:w="106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GB/T 32606-2016</w:t>
            </w:r>
          </w:p>
        </w:tc>
        <w:tc>
          <w:tcPr>
            <w:tcW w:w="35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2"/>
                <w:sz w:val="24"/>
                <w:szCs w:val="24"/>
                <w:lang w:val="en-US" w:eastAsia="zh-CN" w:bidi="ar-SA"/>
              </w:rPr>
            </w:pPr>
          </w:p>
        </w:tc>
        <w:tc>
          <w:tcPr>
            <w:tcW w:w="28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r>
      <w:tr>
        <w:tblPrEx>
          <w:tblCellMar>
            <w:top w:w="0" w:type="dxa"/>
            <w:left w:w="108" w:type="dxa"/>
            <w:bottom w:w="0" w:type="dxa"/>
            <w:right w:w="108" w:type="dxa"/>
          </w:tblCellMar>
        </w:tblPrEx>
        <w:trPr>
          <w:trHeight w:val="630" w:hRule="atLeast"/>
          <w:jc w:val="center"/>
        </w:trPr>
        <w:tc>
          <w:tcPr>
            <w:tcW w:w="239" w:type="pct"/>
            <w:vMerge w:val="restart"/>
            <w:tcBorders>
              <w:top w:val="single" w:color="auto" w:sz="4" w:space="0"/>
              <w:left w:val="single" w:color="auto" w:sz="4" w:space="0"/>
              <w:bottom w:val="single" w:color="auto" w:sz="4" w:space="0"/>
              <w:right w:val="single" w:color="auto" w:sz="4" w:space="0"/>
            </w:tcBorders>
            <w:vAlign w:val="center"/>
          </w:tcPr>
          <w:p>
            <w:pPr>
              <w:pStyle w:val="17"/>
              <w:numPr>
                <w:ilvl w:val="0"/>
                <w:numId w:val="2"/>
              </w:numPr>
              <w:spacing w:line="240" w:lineRule="exact"/>
              <w:ind w:firstLineChars="0"/>
              <w:jc w:val="center"/>
              <w:rPr>
                <w:rFonts w:hint="eastAsia" w:ascii="仿宋" w:hAnsi="仿宋" w:eastAsia="仿宋" w:cs="仿宋"/>
                <w:bCs/>
                <w:sz w:val="24"/>
                <w:szCs w:val="24"/>
              </w:rPr>
            </w:pPr>
            <w:r>
              <w:rPr>
                <w:rFonts w:hint="eastAsia" w:ascii="仿宋" w:hAnsi="仿宋" w:eastAsia="仿宋" w:cs="仿宋"/>
                <w:bCs/>
                <w:sz w:val="24"/>
                <w:szCs w:val="24"/>
              </w:rPr>
              <w:t xml:space="preserve"> </w:t>
            </w:r>
          </w:p>
        </w:tc>
        <w:tc>
          <w:tcPr>
            <w:tcW w:w="775" w:type="pct"/>
            <w:vMerge w:val="restart"/>
            <w:tcBorders>
              <w:top w:val="single" w:color="auto" w:sz="4" w:space="0"/>
              <w:left w:val="nil"/>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修正液、修正带、修正贴、修正笔</w:t>
            </w:r>
          </w:p>
        </w:tc>
        <w:tc>
          <w:tcPr>
            <w:tcW w:w="813" w:type="pct"/>
            <w:vMerge w:val="restart"/>
            <w:tcBorders>
              <w:top w:val="single" w:color="auto" w:sz="4" w:space="0"/>
              <w:left w:val="nil"/>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涂液或涂层</w:t>
            </w:r>
          </w:p>
        </w:tc>
        <w:tc>
          <w:tcPr>
            <w:tcW w:w="656"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苯</w:t>
            </w:r>
          </w:p>
        </w:tc>
        <w:tc>
          <w:tcPr>
            <w:tcW w:w="106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 21027-2020附录C</w:t>
            </w:r>
          </w:p>
        </w:tc>
        <w:tc>
          <w:tcPr>
            <w:tcW w:w="35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8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r>
      <w:tr>
        <w:tblPrEx>
          <w:tblCellMar>
            <w:top w:w="0" w:type="dxa"/>
            <w:left w:w="108" w:type="dxa"/>
            <w:bottom w:w="0" w:type="dxa"/>
            <w:right w:w="108" w:type="dxa"/>
          </w:tblCellMar>
        </w:tblPrEx>
        <w:trPr>
          <w:trHeight w:val="479" w:hRule="atLeast"/>
          <w:jc w:val="center"/>
        </w:trPr>
        <w:tc>
          <w:tcPr>
            <w:tcW w:w="239" w:type="pct"/>
            <w:vMerge w:val="continue"/>
            <w:tcBorders>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775" w:type="pct"/>
            <w:vMerge w:val="continue"/>
            <w:tcBorders>
              <w:left w:val="nil"/>
              <w:right w:val="single" w:color="auto" w:sz="4" w:space="0"/>
            </w:tcBorders>
            <w:vAlign w:val="center"/>
          </w:tcPr>
          <w:p>
            <w:pPr>
              <w:jc w:val="center"/>
              <w:rPr>
                <w:rFonts w:hint="eastAsia" w:ascii="仿宋" w:hAnsi="仿宋" w:eastAsia="仿宋" w:cs="仿宋"/>
                <w:bCs/>
                <w:sz w:val="24"/>
                <w:szCs w:val="24"/>
              </w:rPr>
            </w:pPr>
          </w:p>
        </w:tc>
        <w:tc>
          <w:tcPr>
            <w:tcW w:w="813" w:type="pct"/>
            <w:vMerge w:val="continue"/>
            <w:tcBorders>
              <w:left w:val="nil"/>
              <w:right w:val="single" w:color="auto" w:sz="4" w:space="0"/>
            </w:tcBorders>
            <w:vAlign w:val="center"/>
          </w:tcPr>
          <w:p>
            <w:pPr>
              <w:jc w:val="center"/>
              <w:rPr>
                <w:rFonts w:hint="eastAsia" w:ascii="仿宋" w:hAnsi="仿宋" w:eastAsia="仿宋" w:cs="仿宋"/>
                <w:bCs/>
                <w:sz w:val="24"/>
                <w:szCs w:val="24"/>
              </w:rPr>
            </w:pPr>
          </w:p>
        </w:tc>
        <w:tc>
          <w:tcPr>
            <w:tcW w:w="656"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氯代烃</w:t>
            </w:r>
          </w:p>
        </w:tc>
        <w:tc>
          <w:tcPr>
            <w:tcW w:w="106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GB/T 32613-2016</w:t>
            </w:r>
          </w:p>
        </w:tc>
        <w:tc>
          <w:tcPr>
            <w:tcW w:w="35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2"/>
                <w:sz w:val="24"/>
                <w:szCs w:val="24"/>
                <w:lang w:val="en-US" w:eastAsia="zh-CN" w:bidi="ar-SA"/>
              </w:rPr>
            </w:pPr>
          </w:p>
        </w:tc>
        <w:tc>
          <w:tcPr>
            <w:tcW w:w="28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r>
      <w:tr>
        <w:tblPrEx>
          <w:tblCellMar>
            <w:top w:w="0" w:type="dxa"/>
            <w:left w:w="108" w:type="dxa"/>
            <w:bottom w:w="0" w:type="dxa"/>
            <w:right w:w="108" w:type="dxa"/>
          </w:tblCellMar>
        </w:tblPrEx>
        <w:trPr>
          <w:trHeight w:val="259" w:hRule="atLeast"/>
          <w:jc w:val="center"/>
        </w:trPr>
        <w:tc>
          <w:tcPr>
            <w:tcW w:w="239" w:type="pct"/>
            <w:vMerge w:val="continue"/>
            <w:tcBorders>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775" w:type="pct"/>
            <w:vMerge w:val="continue"/>
            <w:tcBorders>
              <w:left w:val="nil"/>
              <w:bottom w:val="single" w:color="auto" w:sz="4" w:space="0"/>
              <w:right w:val="single" w:color="auto" w:sz="4" w:space="0"/>
            </w:tcBorders>
            <w:vAlign w:val="center"/>
          </w:tcPr>
          <w:p>
            <w:pPr>
              <w:jc w:val="center"/>
              <w:rPr>
                <w:rFonts w:hint="eastAsia" w:ascii="仿宋" w:hAnsi="仿宋" w:eastAsia="仿宋" w:cs="仿宋"/>
                <w:bCs/>
                <w:sz w:val="24"/>
                <w:szCs w:val="24"/>
              </w:rPr>
            </w:pPr>
          </w:p>
        </w:tc>
        <w:tc>
          <w:tcPr>
            <w:tcW w:w="813" w:type="pct"/>
            <w:vMerge w:val="continue"/>
            <w:tcBorders>
              <w:left w:val="nil"/>
              <w:bottom w:val="single" w:color="auto" w:sz="4" w:space="0"/>
              <w:right w:val="single" w:color="auto" w:sz="4" w:space="0"/>
            </w:tcBorders>
            <w:vAlign w:val="center"/>
          </w:tcPr>
          <w:p>
            <w:pPr>
              <w:jc w:val="center"/>
              <w:rPr>
                <w:rFonts w:hint="eastAsia" w:ascii="仿宋" w:hAnsi="仿宋" w:eastAsia="仿宋" w:cs="仿宋"/>
                <w:bCs/>
                <w:sz w:val="24"/>
                <w:szCs w:val="24"/>
              </w:rPr>
            </w:pPr>
          </w:p>
        </w:tc>
        <w:tc>
          <w:tcPr>
            <w:tcW w:w="656"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重金属8项</w:t>
            </w:r>
          </w:p>
        </w:tc>
        <w:tc>
          <w:tcPr>
            <w:tcW w:w="106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 6675.4-2014</w:t>
            </w:r>
          </w:p>
        </w:tc>
        <w:tc>
          <w:tcPr>
            <w:tcW w:w="35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8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r>
      <w:tr>
        <w:tblPrEx>
          <w:tblCellMar>
            <w:top w:w="0" w:type="dxa"/>
            <w:left w:w="108" w:type="dxa"/>
            <w:bottom w:w="0" w:type="dxa"/>
            <w:right w:w="108" w:type="dxa"/>
          </w:tblCellMar>
        </w:tblPrEx>
        <w:trPr>
          <w:trHeight w:val="259" w:hRule="atLeast"/>
          <w:jc w:val="center"/>
        </w:trPr>
        <w:tc>
          <w:tcPr>
            <w:tcW w:w="239" w:type="pct"/>
            <w:vMerge w:val="restart"/>
            <w:tcBorders>
              <w:left w:val="single" w:color="auto" w:sz="4" w:space="0"/>
              <w:right w:val="single" w:color="auto" w:sz="4" w:space="0"/>
            </w:tcBorders>
            <w:vAlign w:val="center"/>
          </w:tcPr>
          <w:p>
            <w:pPr>
              <w:pStyle w:val="17"/>
              <w:numPr>
                <w:ilvl w:val="0"/>
                <w:numId w:val="2"/>
              </w:numPr>
              <w:spacing w:line="240" w:lineRule="exact"/>
              <w:ind w:firstLineChars="0"/>
              <w:jc w:val="center"/>
              <w:rPr>
                <w:rFonts w:hint="eastAsia" w:ascii="仿宋" w:hAnsi="仿宋" w:eastAsia="仿宋" w:cs="仿宋"/>
                <w:sz w:val="24"/>
                <w:szCs w:val="24"/>
              </w:rPr>
            </w:pPr>
          </w:p>
        </w:tc>
        <w:tc>
          <w:tcPr>
            <w:tcW w:w="775" w:type="pct"/>
            <w:vMerge w:val="restart"/>
            <w:tcBorders>
              <w:left w:val="nil"/>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胶粘剂</w:t>
            </w:r>
          </w:p>
        </w:tc>
        <w:tc>
          <w:tcPr>
            <w:tcW w:w="813" w:type="pct"/>
            <w:vMerge w:val="restart"/>
            <w:tcBorders>
              <w:left w:val="nil"/>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胶体</w:t>
            </w:r>
          </w:p>
        </w:tc>
        <w:tc>
          <w:tcPr>
            <w:tcW w:w="656"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游离甲醛</w:t>
            </w:r>
          </w:p>
        </w:tc>
        <w:tc>
          <w:tcPr>
            <w:tcW w:w="106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GB/T 32606-2016</w:t>
            </w:r>
          </w:p>
        </w:tc>
        <w:tc>
          <w:tcPr>
            <w:tcW w:w="35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8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r>
      <w:tr>
        <w:tblPrEx>
          <w:tblCellMar>
            <w:top w:w="0" w:type="dxa"/>
            <w:left w:w="108" w:type="dxa"/>
            <w:bottom w:w="0" w:type="dxa"/>
            <w:right w:w="108" w:type="dxa"/>
          </w:tblCellMar>
        </w:tblPrEx>
        <w:trPr>
          <w:trHeight w:val="259" w:hRule="atLeast"/>
          <w:jc w:val="center"/>
        </w:trPr>
        <w:tc>
          <w:tcPr>
            <w:tcW w:w="239" w:type="pct"/>
            <w:vMerge w:val="continue"/>
            <w:tcBorders>
              <w:left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775" w:type="pct"/>
            <w:vMerge w:val="continue"/>
            <w:tcBorders>
              <w:left w:val="nil"/>
              <w:right w:val="single" w:color="auto" w:sz="4" w:space="0"/>
            </w:tcBorders>
            <w:vAlign w:val="center"/>
          </w:tcPr>
          <w:p>
            <w:pPr>
              <w:jc w:val="center"/>
              <w:rPr>
                <w:rFonts w:hint="eastAsia" w:ascii="仿宋" w:hAnsi="仿宋" w:eastAsia="仿宋" w:cs="仿宋"/>
                <w:bCs/>
                <w:sz w:val="24"/>
                <w:szCs w:val="24"/>
              </w:rPr>
            </w:pPr>
          </w:p>
        </w:tc>
        <w:tc>
          <w:tcPr>
            <w:tcW w:w="813" w:type="pct"/>
            <w:vMerge w:val="continue"/>
            <w:tcBorders>
              <w:left w:val="nil"/>
              <w:right w:val="single" w:color="auto" w:sz="4" w:space="0"/>
            </w:tcBorders>
            <w:vAlign w:val="center"/>
          </w:tcPr>
          <w:p>
            <w:pPr>
              <w:jc w:val="center"/>
              <w:rPr>
                <w:rFonts w:hint="eastAsia" w:ascii="仿宋" w:hAnsi="仿宋" w:eastAsia="仿宋" w:cs="仿宋"/>
                <w:bCs/>
                <w:sz w:val="24"/>
                <w:szCs w:val="24"/>
              </w:rPr>
            </w:pPr>
          </w:p>
        </w:tc>
        <w:tc>
          <w:tcPr>
            <w:tcW w:w="656"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苯</w:t>
            </w:r>
          </w:p>
        </w:tc>
        <w:tc>
          <w:tcPr>
            <w:tcW w:w="106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 21027-2020附录C</w:t>
            </w:r>
          </w:p>
        </w:tc>
        <w:tc>
          <w:tcPr>
            <w:tcW w:w="35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8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r>
      <w:tr>
        <w:tblPrEx>
          <w:tblCellMar>
            <w:top w:w="0" w:type="dxa"/>
            <w:left w:w="108" w:type="dxa"/>
            <w:bottom w:w="0" w:type="dxa"/>
            <w:right w:w="108" w:type="dxa"/>
          </w:tblCellMar>
        </w:tblPrEx>
        <w:trPr>
          <w:trHeight w:val="259" w:hRule="atLeast"/>
          <w:jc w:val="center"/>
        </w:trPr>
        <w:tc>
          <w:tcPr>
            <w:tcW w:w="239" w:type="pct"/>
            <w:vMerge w:val="continue"/>
            <w:tcBorders>
              <w:left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775" w:type="pct"/>
            <w:vMerge w:val="continue"/>
            <w:tcBorders>
              <w:left w:val="nil"/>
              <w:right w:val="single" w:color="auto" w:sz="4" w:space="0"/>
            </w:tcBorders>
            <w:vAlign w:val="center"/>
          </w:tcPr>
          <w:p>
            <w:pPr>
              <w:jc w:val="center"/>
              <w:rPr>
                <w:rFonts w:hint="eastAsia" w:ascii="仿宋" w:hAnsi="仿宋" w:eastAsia="仿宋" w:cs="仿宋"/>
                <w:bCs/>
                <w:sz w:val="24"/>
                <w:szCs w:val="24"/>
              </w:rPr>
            </w:pPr>
          </w:p>
        </w:tc>
        <w:tc>
          <w:tcPr>
            <w:tcW w:w="813" w:type="pct"/>
            <w:vMerge w:val="continue"/>
            <w:tcBorders>
              <w:left w:val="nil"/>
              <w:right w:val="single" w:color="auto" w:sz="4" w:space="0"/>
            </w:tcBorders>
            <w:vAlign w:val="center"/>
          </w:tcPr>
          <w:p>
            <w:pPr>
              <w:jc w:val="center"/>
              <w:rPr>
                <w:rFonts w:hint="eastAsia" w:ascii="仿宋" w:hAnsi="仿宋" w:eastAsia="仿宋" w:cs="仿宋"/>
                <w:bCs/>
                <w:sz w:val="24"/>
                <w:szCs w:val="24"/>
              </w:rPr>
            </w:pPr>
          </w:p>
        </w:tc>
        <w:tc>
          <w:tcPr>
            <w:tcW w:w="656"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甲苯+二甲苯</w:t>
            </w:r>
          </w:p>
        </w:tc>
        <w:tc>
          <w:tcPr>
            <w:tcW w:w="106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 21027-2020附录D</w:t>
            </w:r>
          </w:p>
        </w:tc>
        <w:tc>
          <w:tcPr>
            <w:tcW w:w="35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8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r>
      <w:tr>
        <w:tblPrEx>
          <w:tblCellMar>
            <w:top w:w="0" w:type="dxa"/>
            <w:left w:w="108" w:type="dxa"/>
            <w:bottom w:w="0" w:type="dxa"/>
            <w:right w:w="108" w:type="dxa"/>
          </w:tblCellMar>
        </w:tblPrEx>
        <w:trPr>
          <w:trHeight w:val="259" w:hRule="atLeast"/>
          <w:jc w:val="center"/>
        </w:trPr>
        <w:tc>
          <w:tcPr>
            <w:tcW w:w="239" w:type="pct"/>
            <w:vMerge w:val="continue"/>
            <w:tcBorders>
              <w:left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775" w:type="pct"/>
            <w:vMerge w:val="continue"/>
            <w:tcBorders>
              <w:left w:val="nil"/>
              <w:right w:val="single" w:color="auto" w:sz="4" w:space="0"/>
            </w:tcBorders>
            <w:vAlign w:val="center"/>
          </w:tcPr>
          <w:p>
            <w:pPr>
              <w:jc w:val="center"/>
              <w:rPr>
                <w:rFonts w:hint="eastAsia" w:ascii="仿宋" w:hAnsi="仿宋" w:eastAsia="仿宋" w:cs="仿宋"/>
                <w:bCs/>
                <w:sz w:val="24"/>
                <w:szCs w:val="24"/>
              </w:rPr>
            </w:pPr>
          </w:p>
        </w:tc>
        <w:tc>
          <w:tcPr>
            <w:tcW w:w="813" w:type="pct"/>
            <w:vMerge w:val="continue"/>
            <w:tcBorders>
              <w:left w:val="nil"/>
              <w:right w:val="single" w:color="auto" w:sz="4" w:space="0"/>
            </w:tcBorders>
            <w:vAlign w:val="center"/>
          </w:tcPr>
          <w:p>
            <w:pPr>
              <w:jc w:val="center"/>
              <w:rPr>
                <w:rFonts w:hint="eastAsia" w:ascii="仿宋" w:hAnsi="仿宋" w:eastAsia="仿宋" w:cs="仿宋"/>
                <w:bCs/>
                <w:sz w:val="24"/>
                <w:szCs w:val="24"/>
              </w:rPr>
            </w:pPr>
          </w:p>
        </w:tc>
        <w:tc>
          <w:tcPr>
            <w:tcW w:w="656"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总挥发性有机物</w:t>
            </w:r>
          </w:p>
        </w:tc>
        <w:tc>
          <w:tcPr>
            <w:tcW w:w="106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 21027-2020附录E</w:t>
            </w:r>
          </w:p>
        </w:tc>
        <w:tc>
          <w:tcPr>
            <w:tcW w:w="35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8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r>
      <w:tr>
        <w:tblPrEx>
          <w:tblCellMar>
            <w:top w:w="0" w:type="dxa"/>
            <w:left w:w="108" w:type="dxa"/>
            <w:bottom w:w="0" w:type="dxa"/>
            <w:right w:w="108" w:type="dxa"/>
          </w:tblCellMar>
        </w:tblPrEx>
        <w:trPr>
          <w:trHeight w:val="259" w:hRule="atLeast"/>
          <w:jc w:val="center"/>
        </w:trPr>
        <w:tc>
          <w:tcPr>
            <w:tcW w:w="239" w:type="pct"/>
            <w:vMerge w:val="continue"/>
            <w:tcBorders>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775" w:type="pct"/>
            <w:vMerge w:val="continue"/>
            <w:tcBorders>
              <w:left w:val="nil"/>
              <w:bottom w:val="single" w:color="auto" w:sz="4" w:space="0"/>
              <w:right w:val="single" w:color="auto" w:sz="4" w:space="0"/>
            </w:tcBorders>
            <w:vAlign w:val="center"/>
          </w:tcPr>
          <w:p>
            <w:pPr>
              <w:jc w:val="center"/>
              <w:rPr>
                <w:rFonts w:hint="eastAsia" w:ascii="仿宋" w:hAnsi="仿宋" w:eastAsia="仿宋" w:cs="仿宋"/>
                <w:bCs/>
                <w:sz w:val="24"/>
                <w:szCs w:val="24"/>
              </w:rPr>
            </w:pPr>
          </w:p>
        </w:tc>
        <w:tc>
          <w:tcPr>
            <w:tcW w:w="813" w:type="pct"/>
            <w:vMerge w:val="continue"/>
            <w:tcBorders>
              <w:left w:val="nil"/>
              <w:bottom w:val="single" w:color="auto" w:sz="4" w:space="0"/>
              <w:right w:val="single" w:color="auto" w:sz="4" w:space="0"/>
            </w:tcBorders>
            <w:vAlign w:val="center"/>
          </w:tcPr>
          <w:p>
            <w:pPr>
              <w:jc w:val="center"/>
              <w:rPr>
                <w:rFonts w:hint="eastAsia" w:ascii="仿宋" w:hAnsi="仿宋" w:eastAsia="仿宋" w:cs="仿宋"/>
                <w:bCs/>
                <w:sz w:val="24"/>
                <w:szCs w:val="24"/>
              </w:rPr>
            </w:pPr>
          </w:p>
        </w:tc>
        <w:tc>
          <w:tcPr>
            <w:tcW w:w="656"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丙烯酰胺</w:t>
            </w:r>
          </w:p>
        </w:tc>
        <w:tc>
          <w:tcPr>
            <w:tcW w:w="106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EN71-10/EN71-11</w:t>
            </w:r>
          </w:p>
        </w:tc>
        <w:tc>
          <w:tcPr>
            <w:tcW w:w="35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8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c>
          <w:tcPr>
            <w:tcW w:w="2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p>
        </w:tc>
      </w:tr>
    </w:tbl>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576"/>
        <w:gridCol w:w="1436"/>
        <w:gridCol w:w="1452"/>
        <w:gridCol w:w="1593"/>
        <w:gridCol w:w="723"/>
        <w:gridCol w:w="603"/>
        <w:gridCol w:w="607"/>
        <w:gridCol w:w="603"/>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239"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both"/>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产品名称</w:t>
            </w:r>
          </w:p>
        </w:tc>
        <w:tc>
          <w:tcPr>
            <w:tcW w:w="75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检测部位</w:t>
            </w:r>
          </w:p>
        </w:tc>
        <w:tc>
          <w:tcPr>
            <w:tcW w:w="76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83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319"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24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rPr>
              <w:t>次要</w:t>
            </w:r>
            <w:r>
              <w:rPr>
                <w:rFonts w:hint="eastAsia" w:ascii="黑体" w:hAnsi="黑体" w:eastAsia="黑体" w:cs="黑体"/>
                <w:b w:val="0"/>
                <w:bCs w:val="0"/>
                <w:sz w:val="24"/>
                <w:szCs w:val="24"/>
                <w:lang w:eastAsia="zh-CN"/>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239" w:type="pct"/>
            <w:vAlign w:val="center"/>
          </w:tcPr>
          <w:p>
            <w:pPr>
              <w:pStyle w:val="17"/>
              <w:numPr>
                <w:ilvl w:val="0"/>
                <w:numId w:val="2"/>
              </w:numPr>
              <w:spacing w:line="240" w:lineRule="exact"/>
              <w:ind w:firstLineChars="0"/>
              <w:jc w:val="center"/>
              <w:rPr>
                <w:rFonts w:ascii="仿宋_GB2312" w:eastAsia="仿宋_GB2312"/>
                <w:sz w:val="24"/>
                <w:szCs w:val="24"/>
              </w:rPr>
            </w:pPr>
          </w:p>
        </w:tc>
        <w:tc>
          <w:tcPr>
            <w:tcW w:w="829"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水彩笔、自来水笔、油墨圆珠笔、中性墨水圆珠笔、水性墨水圆珠笔、记号笔、白板笔、荧光笔、铅笔、活动铅笔、墨水、铅芯</w:t>
            </w:r>
          </w:p>
        </w:tc>
        <w:tc>
          <w:tcPr>
            <w:tcW w:w="755"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油墨/墨水、彩色液体、铅芯；笔杆（包括笔套）的印、刷、涂部分</w:t>
            </w:r>
          </w:p>
        </w:tc>
        <w:tc>
          <w:tcPr>
            <w:tcW w:w="763" w:type="pct"/>
            <w:vAlign w:val="center"/>
          </w:tcPr>
          <w:p>
            <w:pPr>
              <w:spacing w:line="360" w:lineRule="exact"/>
              <w:jc w:val="center"/>
              <w:rPr>
                <w:rFonts w:hint="eastAsia" w:ascii="仿宋" w:hAnsi="仿宋" w:eastAsia="仿宋" w:cs="仿宋"/>
                <w:b/>
                <w:bCs/>
                <w:sz w:val="24"/>
                <w:szCs w:val="24"/>
              </w:rPr>
            </w:pPr>
            <w:r>
              <w:rPr>
                <w:rFonts w:hint="eastAsia" w:ascii="仿宋" w:hAnsi="仿宋" w:eastAsia="仿宋" w:cs="仿宋"/>
                <w:bCs/>
                <w:sz w:val="24"/>
                <w:szCs w:val="24"/>
              </w:rPr>
              <w:t>重金属8项</w:t>
            </w:r>
          </w:p>
        </w:tc>
        <w:tc>
          <w:tcPr>
            <w:tcW w:w="837" w:type="pct"/>
            <w:vAlign w:val="center"/>
          </w:tcPr>
          <w:p>
            <w:pPr>
              <w:spacing w:line="360" w:lineRule="exact"/>
              <w:jc w:val="center"/>
              <w:rPr>
                <w:rFonts w:hint="eastAsia" w:ascii="仿宋" w:hAnsi="仿宋" w:eastAsia="仿宋" w:cs="仿宋"/>
                <w:b/>
                <w:bCs/>
                <w:sz w:val="24"/>
                <w:szCs w:val="24"/>
              </w:rPr>
            </w:pPr>
            <w:r>
              <w:rPr>
                <w:rFonts w:hint="eastAsia" w:ascii="仿宋" w:hAnsi="仿宋" w:eastAsia="仿宋" w:cs="仿宋"/>
                <w:sz w:val="24"/>
                <w:szCs w:val="24"/>
              </w:rPr>
              <w:t>GB 6675.4-2014</w:t>
            </w:r>
          </w:p>
        </w:tc>
        <w:tc>
          <w:tcPr>
            <w:tcW w:w="380" w:type="pct"/>
            <w:vAlign w:val="center"/>
          </w:tcPr>
          <w:p>
            <w:pPr>
              <w:spacing w:line="360" w:lineRule="exact"/>
              <w:jc w:val="center"/>
              <w:rPr>
                <w:rFonts w:ascii="仿宋_GB2312" w:eastAsia="仿宋_GB2312"/>
                <w:sz w:val="24"/>
                <w:szCs w:val="24"/>
              </w:rPr>
            </w:pPr>
            <w:r>
              <w:rPr>
                <w:rFonts w:hint="eastAsia" w:ascii="仿宋_GB2312" w:eastAsia="仿宋_GB2312"/>
                <w:sz w:val="24"/>
                <w:szCs w:val="24"/>
              </w:rPr>
              <w:t>●</w:t>
            </w:r>
          </w:p>
        </w:tc>
        <w:tc>
          <w:tcPr>
            <w:tcW w:w="317" w:type="pct"/>
            <w:vAlign w:val="center"/>
          </w:tcPr>
          <w:p>
            <w:pPr>
              <w:spacing w:line="360" w:lineRule="exact"/>
              <w:jc w:val="center"/>
              <w:rPr>
                <w:rFonts w:ascii="仿宋_GB2312" w:eastAsia="仿宋_GB2312"/>
                <w:sz w:val="24"/>
                <w:szCs w:val="24"/>
              </w:rPr>
            </w:pPr>
          </w:p>
        </w:tc>
        <w:tc>
          <w:tcPr>
            <w:tcW w:w="319" w:type="pct"/>
            <w:vAlign w:val="center"/>
          </w:tcPr>
          <w:p>
            <w:pPr>
              <w:spacing w:line="360" w:lineRule="exact"/>
              <w:jc w:val="center"/>
              <w:rPr>
                <w:rFonts w:ascii="仿宋_GB2312" w:eastAsia="仿宋_GB2312"/>
                <w:sz w:val="24"/>
                <w:szCs w:val="24"/>
              </w:rPr>
            </w:pPr>
            <w:r>
              <w:rPr>
                <w:rFonts w:hint="eastAsia" w:ascii="仿宋_GB2312" w:eastAsia="仿宋_GB2312"/>
                <w:sz w:val="24"/>
                <w:szCs w:val="24"/>
              </w:rPr>
              <w:t>●</w:t>
            </w:r>
          </w:p>
        </w:tc>
        <w:tc>
          <w:tcPr>
            <w:tcW w:w="317" w:type="pct"/>
            <w:vAlign w:val="center"/>
          </w:tcPr>
          <w:p>
            <w:pPr>
              <w:spacing w:line="240" w:lineRule="exact"/>
              <w:jc w:val="center"/>
              <w:rPr>
                <w:rFonts w:ascii="仿宋_GB2312" w:eastAsia="仿宋_GB2312"/>
                <w:b/>
                <w:bCs/>
                <w:sz w:val="24"/>
                <w:szCs w:val="24"/>
              </w:rPr>
            </w:pPr>
          </w:p>
        </w:tc>
        <w:tc>
          <w:tcPr>
            <w:tcW w:w="240" w:type="pct"/>
            <w:vAlign w:val="center"/>
          </w:tcPr>
          <w:p>
            <w:pPr>
              <w:spacing w:line="36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39" w:type="pct"/>
            <w:vMerge w:val="restart"/>
            <w:vAlign w:val="center"/>
          </w:tcPr>
          <w:p>
            <w:pPr>
              <w:pStyle w:val="17"/>
              <w:numPr>
                <w:ilvl w:val="0"/>
                <w:numId w:val="2"/>
              </w:numPr>
              <w:spacing w:line="240" w:lineRule="exact"/>
              <w:ind w:firstLineChars="0"/>
              <w:jc w:val="center"/>
              <w:rPr>
                <w:rFonts w:ascii="仿宋_GB2312" w:eastAsia="仿宋_GB2312"/>
                <w:sz w:val="24"/>
                <w:szCs w:val="24"/>
              </w:rPr>
            </w:pPr>
          </w:p>
        </w:tc>
        <w:tc>
          <w:tcPr>
            <w:tcW w:w="829" w:type="pct"/>
            <w:vMerge w:val="restar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书包、笔袋</w:t>
            </w:r>
          </w:p>
        </w:tc>
        <w:tc>
          <w:tcPr>
            <w:tcW w:w="755" w:type="pct"/>
            <w:vMerge w:val="restar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面料和辅料</w:t>
            </w:r>
          </w:p>
        </w:tc>
        <w:tc>
          <w:tcPr>
            <w:tcW w:w="763"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游离甲醛</w:t>
            </w:r>
          </w:p>
        </w:tc>
        <w:tc>
          <w:tcPr>
            <w:tcW w:w="837" w:type="pct"/>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GB/T 32606-2016</w:t>
            </w:r>
          </w:p>
        </w:tc>
        <w:tc>
          <w:tcPr>
            <w:tcW w:w="380" w:type="pct"/>
            <w:vAlign w:val="center"/>
          </w:tcPr>
          <w:p>
            <w:pPr>
              <w:spacing w:line="360" w:lineRule="exact"/>
              <w:jc w:val="center"/>
              <w:rPr>
                <w:rFonts w:ascii="仿宋_GB2312" w:eastAsia="仿宋_GB2312"/>
                <w:sz w:val="24"/>
                <w:szCs w:val="24"/>
              </w:rPr>
            </w:pPr>
            <w:r>
              <w:rPr>
                <w:rFonts w:hint="eastAsia" w:ascii="仿宋_GB2312" w:eastAsia="仿宋_GB2312"/>
                <w:sz w:val="24"/>
                <w:szCs w:val="24"/>
              </w:rPr>
              <w:t>●</w:t>
            </w:r>
          </w:p>
        </w:tc>
        <w:tc>
          <w:tcPr>
            <w:tcW w:w="317" w:type="pct"/>
            <w:vAlign w:val="center"/>
          </w:tcPr>
          <w:p>
            <w:pPr>
              <w:spacing w:line="360" w:lineRule="exact"/>
              <w:jc w:val="center"/>
              <w:rPr>
                <w:rFonts w:ascii="仿宋_GB2312" w:eastAsia="仿宋_GB2312"/>
                <w:sz w:val="24"/>
                <w:szCs w:val="24"/>
              </w:rPr>
            </w:pPr>
          </w:p>
        </w:tc>
        <w:tc>
          <w:tcPr>
            <w:tcW w:w="319" w:type="pct"/>
            <w:vAlign w:val="center"/>
          </w:tcPr>
          <w:p>
            <w:pPr>
              <w:spacing w:line="360" w:lineRule="exact"/>
              <w:jc w:val="center"/>
              <w:rPr>
                <w:rFonts w:ascii="仿宋_GB2312" w:eastAsia="仿宋_GB2312"/>
                <w:sz w:val="24"/>
                <w:szCs w:val="24"/>
              </w:rPr>
            </w:pPr>
            <w:r>
              <w:rPr>
                <w:rFonts w:hint="eastAsia" w:ascii="仿宋_GB2312" w:eastAsia="仿宋_GB2312"/>
                <w:sz w:val="24"/>
                <w:szCs w:val="24"/>
              </w:rPr>
              <w:t>●</w:t>
            </w:r>
          </w:p>
        </w:tc>
        <w:tc>
          <w:tcPr>
            <w:tcW w:w="317" w:type="pct"/>
            <w:vAlign w:val="center"/>
          </w:tcPr>
          <w:p>
            <w:pPr>
              <w:spacing w:line="360" w:lineRule="exact"/>
              <w:jc w:val="center"/>
              <w:rPr>
                <w:rFonts w:ascii="仿宋_GB2312" w:eastAsia="仿宋_GB2312"/>
                <w:sz w:val="24"/>
                <w:szCs w:val="24"/>
              </w:rPr>
            </w:pPr>
          </w:p>
        </w:tc>
        <w:tc>
          <w:tcPr>
            <w:tcW w:w="240" w:type="pct"/>
            <w:vAlign w:val="center"/>
          </w:tcPr>
          <w:p>
            <w:pPr>
              <w:spacing w:line="36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39" w:type="pct"/>
            <w:vMerge w:val="continue"/>
            <w:vAlign w:val="center"/>
          </w:tcPr>
          <w:p>
            <w:pPr>
              <w:spacing w:line="360" w:lineRule="exact"/>
              <w:jc w:val="center"/>
              <w:rPr>
                <w:rFonts w:ascii="仿宋_GB2312" w:eastAsia="仿宋_GB2312"/>
                <w:sz w:val="24"/>
                <w:szCs w:val="24"/>
              </w:rPr>
            </w:pPr>
          </w:p>
        </w:tc>
        <w:tc>
          <w:tcPr>
            <w:tcW w:w="829" w:type="pct"/>
            <w:vMerge w:val="continue"/>
            <w:vAlign w:val="center"/>
          </w:tcPr>
          <w:p>
            <w:pPr>
              <w:jc w:val="center"/>
              <w:rPr>
                <w:rFonts w:hint="eastAsia" w:ascii="仿宋" w:hAnsi="仿宋" w:eastAsia="仿宋" w:cs="仿宋"/>
                <w:bCs/>
                <w:sz w:val="24"/>
                <w:szCs w:val="24"/>
              </w:rPr>
            </w:pPr>
          </w:p>
        </w:tc>
        <w:tc>
          <w:tcPr>
            <w:tcW w:w="755" w:type="pct"/>
            <w:vMerge w:val="continue"/>
            <w:vAlign w:val="center"/>
          </w:tcPr>
          <w:p>
            <w:pPr>
              <w:jc w:val="center"/>
              <w:rPr>
                <w:rFonts w:hint="eastAsia" w:ascii="仿宋" w:hAnsi="仿宋" w:eastAsia="仿宋" w:cs="仿宋"/>
                <w:bCs/>
                <w:sz w:val="24"/>
                <w:szCs w:val="24"/>
              </w:rPr>
            </w:pPr>
          </w:p>
        </w:tc>
        <w:tc>
          <w:tcPr>
            <w:tcW w:w="763"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芳香胺染料</w:t>
            </w:r>
          </w:p>
        </w:tc>
        <w:tc>
          <w:tcPr>
            <w:tcW w:w="837" w:type="pct"/>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GB/T 17592-2011</w:t>
            </w:r>
          </w:p>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GB/T 23344-2009</w:t>
            </w:r>
          </w:p>
        </w:tc>
        <w:tc>
          <w:tcPr>
            <w:tcW w:w="380" w:type="pct"/>
            <w:vAlign w:val="center"/>
          </w:tcPr>
          <w:p>
            <w:pPr>
              <w:spacing w:line="360" w:lineRule="exact"/>
              <w:jc w:val="center"/>
              <w:rPr>
                <w:rFonts w:ascii="仿宋_GB2312" w:eastAsia="仿宋_GB2312"/>
                <w:sz w:val="24"/>
                <w:szCs w:val="24"/>
              </w:rPr>
            </w:pPr>
            <w:r>
              <w:rPr>
                <w:rFonts w:hint="eastAsia" w:ascii="仿宋_GB2312" w:eastAsia="仿宋_GB2312"/>
                <w:sz w:val="24"/>
                <w:szCs w:val="24"/>
              </w:rPr>
              <w:t>●</w:t>
            </w:r>
          </w:p>
        </w:tc>
        <w:tc>
          <w:tcPr>
            <w:tcW w:w="317" w:type="pct"/>
            <w:vAlign w:val="center"/>
          </w:tcPr>
          <w:p>
            <w:pPr>
              <w:spacing w:line="360" w:lineRule="exact"/>
              <w:jc w:val="center"/>
              <w:rPr>
                <w:rFonts w:ascii="仿宋_GB2312" w:eastAsia="仿宋_GB2312"/>
                <w:sz w:val="24"/>
                <w:szCs w:val="24"/>
              </w:rPr>
            </w:pPr>
          </w:p>
        </w:tc>
        <w:tc>
          <w:tcPr>
            <w:tcW w:w="319" w:type="pct"/>
            <w:vAlign w:val="center"/>
          </w:tcPr>
          <w:p>
            <w:pPr>
              <w:spacing w:line="360" w:lineRule="exact"/>
              <w:jc w:val="center"/>
              <w:rPr>
                <w:rFonts w:ascii="仿宋_GB2312" w:eastAsia="仿宋_GB2312"/>
                <w:sz w:val="24"/>
                <w:szCs w:val="24"/>
              </w:rPr>
            </w:pPr>
            <w:r>
              <w:rPr>
                <w:rFonts w:hint="eastAsia" w:ascii="仿宋_GB2312" w:eastAsia="仿宋_GB2312"/>
                <w:sz w:val="24"/>
                <w:szCs w:val="24"/>
              </w:rPr>
              <w:t>●</w:t>
            </w:r>
          </w:p>
        </w:tc>
        <w:tc>
          <w:tcPr>
            <w:tcW w:w="317" w:type="pct"/>
            <w:vAlign w:val="center"/>
          </w:tcPr>
          <w:p>
            <w:pPr>
              <w:spacing w:line="360" w:lineRule="exact"/>
              <w:jc w:val="center"/>
              <w:rPr>
                <w:rFonts w:ascii="仿宋_GB2312" w:eastAsia="仿宋_GB2312"/>
                <w:sz w:val="24"/>
                <w:szCs w:val="24"/>
              </w:rPr>
            </w:pPr>
          </w:p>
        </w:tc>
        <w:tc>
          <w:tcPr>
            <w:tcW w:w="240" w:type="pct"/>
            <w:vAlign w:val="center"/>
          </w:tcPr>
          <w:p>
            <w:pPr>
              <w:spacing w:line="36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39" w:type="pct"/>
            <w:vAlign w:val="center"/>
          </w:tcPr>
          <w:p>
            <w:pPr>
              <w:pStyle w:val="17"/>
              <w:numPr>
                <w:ilvl w:val="0"/>
                <w:numId w:val="2"/>
              </w:numPr>
              <w:spacing w:line="240" w:lineRule="exact"/>
              <w:ind w:firstLineChars="0"/>
              <w:jc w:val="center"/>
              <w:rPr>
                <w:rFonts w:ascii="仿宋_GB2312" w:eastAsia="仿宋_GB2312"/>
                <w:sz w:val="24"/>
                <w:szCs w:val="24"/>
              </w:rPr>
            </w:pPr>
          </w:p>
        </w:tc>
        <w:tc>
          <w:tcPr>
            <w:tcW w:w="829"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全部产品</w:t>
            </w:r>
          </w:p>
        </w:tc>
        <w:tc>
          <w:tcPr>
            <w:tcW w:w="755"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可触及塑料件</w:t>
            </w:r>
          </w:p>
        </w:tc>
        <w:tc>
          <w:tcPr>
            <w:tcW w:w="763"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塑化剂3项</w:t>
            </w:r>
          </w:p>
        </w:tc>
        <w:tc>
          <w:tcPr>
            <w:tcW w:w="837" w:type="pct"/>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GB/T 22048-2022</w:t>
            </w:r>
          </w:p>
        </w:tc>
        <w:tc>
          <w:tcPr>
            <w:tcW w:w="380" w:type="pct"/>
            <w:vAlign w:val="center"/>
          </w:tcPr>
          <w:p>
            <w:pPr>
              <w:spacing w:line="360" w:lineRule="exact"/>
              <w:jc w:val="center"/>
              <w:rPr>
                <w:rFonts w:ascii="仿宋_GB2312" w:eastAsia="仿宋_GB2312"/>
                <w:sz w:val="24"/>
                <w:szCs w:val="24"/>
              </w:rPr>
            </w:pPr>
            <w:r>
              <w:rPr>
                <w:rFonts w:hint="eastAsia" w:ascii="仿宋_GB2312" w:eastAsia="仿宋_GB2312"/>
                <w:sz w:val="24"/>
                <w:szCs w:val="24"/>
              </w:rPr>
              <w:t>●</w:t>
            </w:r>
          </w:p>
        </w:tc>
        <w:tc>
          <w:tcPr>
            <w:tcW w:w="317" w:type="pct"/>
            <w:vAlign w:val="center"/>
          </w:tcPr>
          <w:p>
            <w:pPr>
              <w:spacing w:line="360" w:lineRule="exact"/>
              <w:rPr>
                <w:rFonts w:ascii="仿宋_GB2312" w:eastAsia="仿宋_GB2312"/>
                <w:sz w:val="24"/>
                <w:szCs w:val="24"/>
              </w:rPr>
            </w:pPr>
          </w:p>
        </w:tc>
        <w:tc>
          <w:tcPr>
            <w:tcW w:w="319" w:type="pct"/>
            <w:vAlign w:val="center"/>
          </w:tcPr>
          <w:p>
            <w:pPr>
              <w:spacing w:line="360" w:lineRule="exact"/>
              <w:jc w:val="center"/>
              <w:rPr>
                <w:rFonts w:ascii="仿宋_GB2312" w:eastAsia="仿宋_GB2312"/>
                <w:sz w:val="24"/>
                <w:szCs w:val="24"/>
              </w:rPr>
            </w:pPr>
            <w:r>
              <w:rPr>
                <w:rFonts w:hint="eastAsia" w:ascii="仿宋_GB2312" w:eastAsia="仿宋_GB2312"/>
                <w:sz w:val="24"/>
                <w:szCs w:val="24"/>
              </w:rPr>
              <w:t>●</w:t>
            </w:r>
          </w:p>
        </w:tc>
        <w:tc>
          <w:tcPr>
            <w:tcW w:w="317" w:type="pct"/>
            <w:vAlign w:val="center"/>
          </w:tcPr>
          <w:p>
            <w:pPr>
              <w:spacing w:line="360" w:lineRule="exact"/>
              <w:jc w:val="center"/>
              <w:rPr>
                <w:rFonts w:ascii="仿宋_GB2312" w:eastAsia="仿宋_GB2312"/>
                <w:sz w:val="24"/>
                <w:szCs w:val="24"/>
              </w:rPr>
            </w:pPr>
          </w:p>
        </w:tc>
        <w:tc>
          <w:tcPr>
            <w:tcW w:w="240" w:type="pct"/>
            <w:vAlign w:val="center"/>
          </w:tcPr>
          <w:p>
            <w:pPr>
              <w:spacing w:line="36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39" w:type="pct"/>
            <w:vAlign w:val="center"/>
          </w:tcPr>
          <w:p>
            <w:pPr>
              <w:pStyle w:val="17"/>
              <w:numPr>
                <w:ilvl w:val="0"/>
                <w:numId w:val="2"/>
              </w:numPr>
              <w:spacing w:line="240" w:lineRule="exact"/>
              <w:ind w:firstLineChars="0"/>
              <w:jc w:val="center"/>
              <w:rPr>
                <w:rFonts w:ascii="仿宋_GB2312" w:eastAsia="仿宋_GB2312"/>
                <w:sz w:val="24"/>
                <w:szCs w:val="24"/>
              </w:rPr>
            </w:pPr>
          </w:p>
        </w:tc>
        <w:tc>
          <w:tcPr>
            <w:tcW w:w="829"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全部产品</w:t>
            </w:r>
          </w:p>
        </w:tc>
        <w:tc>
          <w:tcPr>
            <w:tcW w:w="755"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标识</w:t>
            </w:r>
          </w:p>
        </w:tc>
        <w:tc>
          <w:tcPr>
            <w:tcW w:w="763" w:type="pct"/>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w:t>
            </w:r>
          </w:p>
        </w:tc>
        <w:tc>
          <w:tcPr>
            <w:tcW w:w="837" w:type="pct"/>
            <w:vAlign w:val="center"/>
          </w:tcPr>
          <w:p>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GB 21027-2020</w:t>
            </w:r>
          </w:p>
        </w:tc>
        <w:tc>
          <w:tcPr>
            <w:tcW w:w="380" w:type="pct"/>
            <w:vAlign w:val="center"/>
          </w:tcPr>
          <w:p>
            <w:pPr>
              <w:spacing w:line="360" w:lineRule="exact"/>
              <w:jc w:val="center"/>
              <w:rPr>
                <w:rFonts w:ascii="仿宋_GB2312" w:eastAsia="仿宋_GB2312"/>
                <w:sz w:val="24"/>
                <w:szCs w:val="24"/>
              </w:rPr>
            </w:pPr>
            <w:r>
              <w:rPr>
                <w:rFonts w:hint="eastAsia" w:ascii="仿宋_GB2312" w:eastAsia="仿宋_GB2312"/>
                <w:sz w:val="24"/>
                <w:szCs w:val="24"/>
              </w:rPr>
              <w:t>●</w:t>
            </w:r>
          </w:p>
        </w:tc>
        <w:tc>
          <w:tcPr>
            <w:tcW w:w="317" w:type="pct"/>
            <w:vAlign w:val="center"/>
          </w:tcPr>
          <w:p>
            <w:pPr>
              <w:spacing w:line="360" w:lineRule="exact"/>
              <w:rPr>
                <w:rFonts w:ascii="仿宋_GB2312" w:eastAsia="仿宋_GB2312"/>
                <w:sz w:val="24"/>
                <w:szCs w:val="24"/>
              </w:rPr>
            </w:pPr>
          </w:p>
        </w:tc>
        <w:tc>
          <w:tcPr>
            <w:tcW w:w="319" w:type="pct"/>
            <w:vAlign w:val="center"/>
          </w:tcPr>
          <w:p>
            <w:pPr>
              <w:spacing w:line="360" w:lineRule="exact"/>
              <w:jc w:val="center"/>
              <w:rPr>
                <w:rFonts w:ascii="仿宋_GB2312" w:eastAsia="仿宋_GB2312"/>
                <w:sz w:val="24"/>
                <w:szCs w:val="24"/>
              </w:rPr>
            </w:pPr>
          </w:p>
        </w:tc>
        <w:tc>
          <w:tcPr>
            <w:tcW w:w="317" w:type="pct"/>
            <w:vAlign w:val="center"/>
          </w:tcPr>
          <w:p>
            <w:pPr>
              <w:spacing w:line="360" w:lineRule="exact"/>
              <w:jc w:val="center"/>
              <w:rPr>
                <w:rFonts w:ascii="仿宋_GB2312" w:eastAsia="仿宋_GB2312"/>
                <w:sz w:val="24"/>
                <w:szCs w:val="24"/>
              </w:rPr>
            </w:pPr>
            <w:r>
              <w:rPr>
                <w:rFonts w:hint="eastAsia" w:ascii="仿宋_GB2312" w:eastAsia="仿宋_GB2312"/>
                <w:sz w:val="24"/>
                <w:szCs w:val="24"/>
              </w:rPr>
              <w:t>●</w:t>
            </w:r>
          </w:p>
        </w:tc>
        <w:tc>
          <w:tcPr>
            <w:tcW w:w="240" w:type="pct"/>
            <w:vAlign w:val="center"/>
          </w:tcPr>
          <w:p>
            <w:pPr>
              <w:spacing w:line="360" w:lineRule="exact"/>
              <w:jc w:val="center"/>
              <w:rPr>
                <w:rFonts w:ascii="仿宋_GB2312" w:eastAsia="仿宋_GB2312"/>
                <w:sz w:val="24"/>
                <w:szCs w:val="24"/>
              </w:rPr>
            </w:pPr>
          </w:p>
        </w:tc>
      </w:tr>
    </w:tbl>
    <w:p>
      <w:pPr>
        <w:rPr>
          <w:rFonts w:eastAsia="黑体"/>
          <w:sz w:val="24"/>
          <w:szCs w:val="24"/>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eastAsia="黑体"/>
        </w:rPr>
      </w:pPr>
      <w:r>
        <w:rPr>
          <w:rFonts w:hint="eastAsia" w:eastAsia="黑体"/>
        </w:rPr>
        <w:t>三、判定规则</w:t>
      </w:r>
    </w:p>
    <w:p>
      <w:pPr>
        <w:autoSpaceDE w:val="0"/>
        <w:autoSpaceDN w:val="0"/>
        <w:spacing w:line="600" w:lineRule="exact"/>
        <w:ind w:firstLine="640" w:firstLineChars="200"/>
        <w:jc w:val="left"/>
        <w:rPr>
          <w:rFonts w:hint="eastAsia" w:ascii="楷体_GB2312" w:hAnsi="楷体_GB2312" w:eastAsia="楷体_GB2312" w:cs="楷体_GB2312"/>
          <w:kern w:val="0"/>
        </w:rPr>
      </w:pPr>
      <w:r>
        <w:rPr>
          <w:rFonts w:hint="eastAsia" w:ascii="楷体_GB2312" w:hAnsi="楷体_GB2312" w:eastAsia="楷体_GB2312" w:cs="楷体_GB2312"/>
          <w:kern w:val="0"/>
        </w:rPr>
        <w:t>（一）依据标准</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GB 21027-2020《学生用品的安全通用要求》</w:t>
      </w:r>
    </w:p>
    <w:p>
      <w:pPr>
        <w:autoSpaceDE w:val="0"/>
        <w:autoSpaceDN w:val="0"/>
        <w:spacing w:line="600" w:lineRule="exact"/>
        <w:ind w:firstLine="640" w:firstLineChars="200"/>
        <w:jc w:val="left"/>
        <w:rPr>
          <w:rFonts w:hint="eastAsia" w:ascii="仿宋" w:hAnsi="仿宋" w:eastAsia="仿宋" w:cs="仿宋"/>
          <w:kern w:val="0"/>
        </w:rPr>
      </w:pPr>
      <w:bookmarkStart w:id="0" w:name="_GoBack"/>
      <w:bookmarkEnd w:id="0"/>
      <w:r>
        <w:rPr>
          <w:rFonts w:hint="eastAsia" w:ascii="仿宋" w:hAnsi="仿宋" w:eastAsia="仿宋" w:cs="仿宋"/>
          <w:kern w:val="0"/>
        </w:rPr>
        <w:t>相关的法律法规、部门规章和规范、现行有效的企业标准、团体标准、地方标准及产品明示质量要求。</w:t>
      </w:r>
    </w:p>
    <w:p>
      <w:pPr>
        <w:autoSpaceDE w:val="0"/>
        <w:autoSpaceDN w:val="0"/>
        <w:spacing w:line="600" w:lineRule="exact"/>
        <w:ind w:firstLine="640" w:firstLineChars="200"/>
        <w:jc w:val="left"/>
        <w:rPr>
          <w:rFonts w:hint="eastAsia" w:ascii="楷体_GB2312" w:hAnsi="楷体_GB2312" w:eastAsia="楷体_GB2312" w:cs="楷体_GB2312"/>
          <w:kern w:val="0"/>
        </w:rPr>
      </w:pPr>
      <w:r>
        <w:rPr>
          <w:rFonts w:hint="eastAsia" w:ascii="楷体_GB2312" w:hAnsi="楷体_GB2312" w:eastAsia="楷体_GB2312" w:cs="楷体_GB2312"/>
          <w:kern w:val="0"/>
        </w:rPr>
        <w:t>（二）判定原则</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经检验，检验项目全部合格，判定为被抽查产品合格；检验项目中任一项或一项以上不合格，判定为被抽查产品不合格。</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当被检产品明示的质量要求高于本细则中检验项目依据的标准要求时，应按被检产品明示的质量要求判定。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当被检产品明示的质量要求低于本细则中检验项目依据的强制性标准要求时，应按照强制性标准要求判定。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当被检产品明示的质量要求缺少本细则中检验项目依据的强制性标准要求时，应按照强制性标准要求判定。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当被检样品标签标识中执行标准信息和产品类别信息不明或有误，影响检测和判定时，可根据产品特点等信息判断和选择相关标准进行检验，并应在检验报告中作出相关说明。</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按照产品质量相关法律法规的规定判定。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检验中发现因样品失效或者其他原因致使检验无法进行的，检验人员应如实记录，并提供相关证明材料，报送组织监督抽查的市场监管部门。</w:t>
      </w:r>
    </w:p>
    <w:sectPr>
      <w:pgSz w:w="11906" w:h="16838"/>
      <w:pgMar w:top="1701" w:right="1304" w:bottom="1701"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E0625"/>
    <w:multiLevelType w:val="multilevel"/>
    <w:tmpl w:val="381E0625"/>
    <w:lvl w:ilvl="0" w:tentative="0">
      <w:start w:val="1"/>
      <w:numFmt w:val="decimal"/>
      <w:suff w:val="nothing"/>
      <w:lvlText w:val="%1"/>
      <w:lvlJc w:val="right"/>
      <w:pPr>
        <w:ind w:left="0" w:firstLine="0"/>
      </w:pPr>
      <w:rPr>
        <w:rFonts w:hint="eastAsia"/>
        <w:spacing w:val="0"/>
        <w:w w:val="10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1F1593F"/>
    <w:multiLevelType w:val="multilevel"/>
    <w:tmpl w:val="51F1593F"/>
    <w:lvl w:ilvl="0" w:tentative="0">
      <w:start w:val="1"/>
      <w:numFmt w:val="decimal"/>
      <w:suff w:val="nothing"/>
      <w:lvlText w:val="%1"/>
      <w:lvlJc w:val="left"/>
      <w:pPr>
        <w:ind w:left="0" w:firstLine="0"/>
      </w:pPr>
      <w:rPr>
        <w:rFonts w:hint="default" w:ascii="仿宋" w:hAnsi="仿宋" w:eastAsia="仿宋" w:cs="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36BC7"/>
    <w:rsid w:val="0005045D"/>
    <w:rsid w:val="00063BD5"/>
    <w:rsid w:val="00092ABD"/>
    <w:rsid w:val="000F510C"/>
    <w:rsid w:val="00116270"/>
    <w:rsid w:val="00120EFB"/>
    <w:rsid w:val="001221DB"/>
    <w:rsid w:val="00131BC3"/>
    <w:rsid w:val="001746FD"/>
    <w:rsid w:val="00190A4A"/>
    <w:rsid w:val="00192BBD"/>
    <w:rsid w:val="001F5DD4"/>
    <w:rsid w:val="00201CDD"/>
    <w:rsid w:val="00223348"/>
    <w:rsid w:val="00250DFA"/>
    <w:rsid w:val="00287D40"/>
    <w:rsid w:val="002923B9"/>
    <w:rsid w:val="00294579"/>
    <w:rsid w:val="00310C73"/>
    <w:rsid w:val="0039338B"/>
    <w:rsid w:val="003948E2"/>
    <w:rsid w:val="003B4127"/>
    <w:rsid w:val="003B4D2F"/>
    <w:rsid w:val="003F01AF"/>
    <w:rsid w:val="004015F5"/>
    <w:rsid w:val="0040611A"/>
    <w:rsid w:val="00407973"/>
    <w:rsid w:val="004757C1"/>
    <w:rsid w:val="004A5090"/>
    <w:rsid w:val="004B2573"/>
    <w:rsid w:val="004E65DD"/>
    <w:rsid w:val="00540131"/>
    <w:rsid w:val="00544BE4"/>
    <w:rsid w:val="0058004C"/>
    <w:rsid w:val="00592C01"/>
    <w:rsid w:val="005A0994"/>
    <w:rsid w:val="005E5541"/>
    <w:rsid w:val="006238A1"/>
    <w:rsid w:val="00624315"/>
    <w:rsid w:val="00695250"/>
    <w:rsid w:val="006A1299"/>
    <w:rsid w:val="006D4F7A"/>
    <w:rsid w:val="006D505E"/>
    <w:rsid w:val="006D76D5"/>
    <w:rsid w:val="006F4E7D"/>
    <w:rsid w:val="00732793"/>
    <w:rsid w:val="00735F9B"/>
    <w:rsid w:val="0074286E"/>
    <w:rsid w:val="00752F93"/>
    <w:rsid w:val="0075545D"/>
    <w:rsid w:val="007850A4"/>
    <w:rsid w:val="007914F7"/>
    <w:rsid w:val="007A0EE2"/>
    <w:rsid w:val="007A10C3"/>
    <w:rsid w:val="007B0EC6"/>
    <w:rsid w:val="007F204B"/>
    <w:rsid w:val="00840D3A"/>
    <w:rsid w:val="00841ED0"/>
    <w:rsid w:val="00895950"/>
    <w:rsid w:val="008C102E"/>
    <w:rsid w:val="008C280B"/>
    <w:rsid w:val="008F7334"/>
    <w:rsid w:val="008F74C7"/>
    <w:rsid w:val="00926BC7"/>
    <w:rsid w:val="00947BD5"/>
    <w:rsid w:val="009C5DA0"/>
    <w:rsid w:val="009F07C3"/>
    <w:rsid w:val="00A022AB"/>
    <w:rsid w:val="00A02A33"/>
    <w:rsid w:val="00A056D0"/>
    <w:rsid w:val="00A32D78"/>
    <w:rsid w:val="00A40122"/>
    <w:rsid w:val="00A66D10"/>
    <w:rsid w:val="00A97411"/>
    <w:rsid w:val="00AC1C38"/>
    <w:rsid w:val="00B25DB1"/>
    <w:rsid w:val="00B7736F"/>
    <w:rsid w:val="00BA2151"/>
    <w:rsid w:val="00BA664E"/>
    <w:rsid w:val="00BB0B4C"/>
    <w:rsid w:val="00BC667E"/>
    <w:rsid w:val="00BD50D2"/>
    <w:rsid w:val="00C070D8"/>
    <w:rsid w:val="00C17D35"/>
    <w:rsid w:val="00C4082C"/>
    <w:rsid w:val="00C450FD"/>
    <w:rsid w:val="00C512B6"/>
    <w:rsid w:val="00C6606C"/>
    <w:rsid w:val="00CC19A7"/>
    <w:rsid w:val="00CF29FA"/>
    <w:rsid w:val="00D128D9"/>
    <w:rsid w:val="00D1464E"/>
    <w:rsid w:val="00D224DD"/>
    <w:rsid w:val="00D357A6"/>
    <w:rsid w:val="00D45266"/>
    <w:rsid w:val="00D554F8"/>
    <w:rsid w:val="00D629E1"/>
    <w:rsid w:val="00D97F17"/>
    <w:rsid w:val="00DA6B9D"/>
    <w:rsid w:val="00E54840"/>
    <w:rsid w:val="00E56737"/>
    <w:rsid w:val="00E61CE3"/>
    <w:rsid w:val="00E70A2F"/>
    <w:rsid w:val="00E72969"/>
    <w:rsid w:val="00E94DFB"/>
    <w:rsid w:val="00E9624B"/>
    <w:rsid w:val="00E977EC"/>
    <w:rsid w:val="00EC3EBE"/>
    <w:rsid w:val="00EE24A1"/>
    <w:rsid w:val="00F1323C"/>
    <w:rsid w:val="00F47EA8"/>
    <w:rsid w:val="00F50377"/>
    <w:rsid w:val="00F5376E"/>
    <w:rsid w:val="00F60942"/>
    <w:rsid w:val="00F8007C"/>
    <w:rsid w:val="00FA7094"/>
    <w:rsid w:val="00FA791E"/>
    <w:rsid w:val="00FB22F7"/>
    <w:rsid w:val="00FD7840"/>
    <w:rsid w:val="00FE61DD"/>
    <w:rsid w:val="00FE6536"/>
    <w:rsid w:val="25D40D9D"/>
    <w:rsid w:val="2892191C"/>
    <w:rsid w:val="3BD578E0"/>
    <w:rsid w:val="3FD32F42"/>
    <w:rsid w:val="4FB07F85"/>
    <w:rsid w:val="5247533C"/>
    <w:rsid w:val="5BEB6052"/>
    <w:rsid w:val="5F8F207A"/>
    <w:rsid w:val="65EB3A19"/>
    <w:rsid w:val="668E3AB2"/>
    <w:rsid w:val="74761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10"/>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unhideWhenUsed/>
    <w:qFormat/>
    <w:uiPriority w:val="0"/>
    <w:rPr>
      <w:rFonts w:ascii="宋体" w:hAnsi="Courier New" w:eastAsia="宋体" w:cs="Courier New"/>
      <w:sz w:val="21"/>
      <w:szCs w:val="21"/>
    </w:rPr>
  </w:style>
  <w:style w:type="paragraph" w:styleId="4">
    <w:name w:val="footer"/>
    <w:basedOn w:val="1"/>
    <w:link w:val="16"/>
    <w:qFormat/>
    <w:uiPriority w:val="0"/>
    <w:pPr>
      <w:tabs>
        <w:tab w:val="center" w:pos="4153"/>
        <w:tab w:val="right" w:pos="8306"/>
      </w:tabs>
      <w:snapToGrid w:val="0"/>
      <w:jc w:val="left"/>
    </w:pPr>
    <w:rPr>
      <w:rFonts w:eastAsia="仿宋_GB2312"/>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uiPriority w:val="99"/>
    <w:rPr>
      <w:color w:val="0000FF"/>
      <w:u w:val="single"/>
    </w:rPr>
  </w:style>
  <w:style w:type="character" w:customStyle="1" w:styleId="10">
    <w:name w:val="标题 1 Char"/>
    <w:basedOn w:val="8"/>
    <w:link w:val="2"/>
    <w:qFormat/>
    <w:uiPriority w:val="0"/>
    <w:rPr>
      <w:rFonts w:ascii="方正小标宋简体" w:eastAsia="方正小标宋简体"/>
      <w:kern w:val="44"/>
      <w:sz w:val="38"/>
      <w:szCs w:val="24"/>
    </w:rPr>
  </w:style>
  <w:style w:type="character" w:customStyle="1" w:styleId="11">
    <w:name w:val="纯文本 Char"/>
    <w:basedOn w:val="8"/>
    <w:link w:val="3"/>
    <w:qFormat/>
    <w:uiPriority w:val="0"/>
    <w:rPr>
      <w:rFonts w:ascii="宋体" w:hAnsi="Courier New" w:cs="Courier New"/>
      <w:kern w:val="2"/>
      <w:sz w:val="21"/>
      <w:szCs w:val="21"/>
    </w:rPr>
  </w:style>
  <w:style w:type="table" w:customStyle="1" w:styleId="12">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_Style 14"/>
    <w:basedOn w:val="1"/>
    <w:qFormat/>
    <w:uiPriority w:val="34"/>
    <w:pPr>
      <w:ind w:firstLine="420" w:firstLineChars="200"/>
    </w:pPr>
    <w:rPr>
      <w:rFonts w:eastAsia="仿宋_GB2312"/>
      <w:sz w:val="30"/>
      <w:szCs w:val="24"/>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5">
    <w:name w:val="页眉 Char"/>
    <w:basedOn w:val="8"/>
    <w:link w:val="5"/>
    <w:qFormat/>
    <w:uiPriority w:val="0"/>
    <w:rPr>
      <w:rFonts w:eastAsia="仿宋_GB2312"/>
      <w:kern w:val="2"/>
      <w:sz w:val="18"/>
      <w:szCs w:val="18"/>
    </w:rPr>
  </w:style>
  <w:style w:type="character" w:customStyle="1" w:styleId="16">
    <w:name w:val="页脚 Char"/>
    <w:basedOn w:val="8"/>
    <w:link w:val="4"/>
    <w:qFormat/>
    <w:uiPriority w:val="0"/>
    <w:rPr>
      <w:rFonts w:eastAsia="仿宋_GB2312"/>
      <w:kern w:val="2"/>
      <w:sz w:val="18"/>
      <w:szCs w:val="18"/>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291</Words>
  <Characters>1662</Characters>
  <Lines>13</Lines>
  <Paragraphs>3</Paragraphs>
  <TotalTime>1</TotalTime>
  <ScaleCrop>false</ScaleCrop>
  <LinksUpToDate>false</LinksUpToDate>
  <CharactersWithSpaces>1950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2022-02-28T00:03:00Z</dcterms:created>
  <dc:creator>范士平</dc:creator>
  <cp:lastModifiedBy>刘赞</cp:lastModifiedBy>
  <dcterms:modified xsi:type="dcterms:W3CDTF">2023-05-11T09:47:38Z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B0D44ACE4D8242DC96286E119FCA02AC</vt:lpwstr>
  </property>
</Properties>
</file>