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val="0"/>
        <w:bidi w:val="0"/>
        <w:adjustRightInd/>
        <w:snapToGrid/>
        <w:spacing w:line="604" w:lineRule="exact"/>
        <w:jc w:val="center"/>
        <w:textAlignment w:val="auto"/>
        <w:rPr>
          <w:rFonts w:hint="eastAsia" w:ascii="方正小标宋简体" w:hAnsi="方正小标宋简体" w:eastAsia="方正小标宋简体" w:cs="方正小标宋简体"/>
          <w:sz w:val="44"/>
          <w:szCs w:val="44"/>
        </w:rPr>
      </w:pPr>
      <w:bookmarkStart w:id="0" w:name="_MON_1679943142"/>
      <w:bookmarkEnd w:id="0"/>
      <w:bookmarkStart w:id="1" w:name="OLE_LINK1"/>
    </w:p>
    <w:p>
      <w:pPr>
        <w:pStyle w:val="2"/>
        <w:keepNext w:val="0"/>
        <w:keepLines w:val="0"/>
        <w:pageBreakBefore w:val="0"/>
        <w:widowControl w:val="0"/>
        <w:kinsoku/>
        <w:overflowPunct/>
        <w:topLinePunct w:val="0"/>
        <w:autoSpaceDE/>
        <w:bidi w:val="0"/>
        <w:adjustRightInd/>
        <w:snapToGrid/>
        <w:spacing w:after="0" w:line="604" w:lineRule="exact"/>
        <w:textAlignment w:val="auto"/>
        <w:rPr>
          <w:rFonts w:hint="eastAsia"/>
        </w:rPr>
      </w:pPr>
    </w:p>
    <w:p>
      <w:pPr>
        <w:keepNext w:val="0"/>
        <w:keepLines w:val="0"/>
        <w:pageBreakBefore w:val="0"/>
        <w:widowControl w:val="0"/>
        <w:kinsoku/>
        <w:wordWrap/>
        <w:overflowPunct/>
        <w:topLinePunct w:val="0"/>
        <w:autoSpaceDE/>
        <w:autoSpaceDN w:val="0"/>
        <w:bidi w:val="0"/>
        <w:adjustRightInd/>
        <w:snapToGrid/>
        <w:spacing w:line="604" w:lineRule="exact"/>
        <w:ind w:left="0" w:leftChars="0" w:right="0" w:rightChars="0"/>
        <w:jc w:val="righ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珠府办函〔</w:t>
      </w:r>
      <w:r>
        <w:rPr>
          <w:rFonts w:hint="eastAsia" w:ascii="仿宋_GB2312" w:hAnsi="仿宋_GB2312" w:eastAsia="仿宋_GB2312" w:cs="仿宋_GB2312"/>
          <w:sz w:val="32"/>
          <w:szCs w:val="32"/>
          <w:lang w:val="en-US" w:eastAsia="zh-CN"/>
        </w:rPr>
        <w:t>2021〕103号</w:t>
      </w:r>
    </w:p>
    <w:p>
      <w:pPr>
        <w:keepNext w:val="0"/>
        <w:keepLines w:val="0"/>
        <w:pageBreakBefore w:val="0"/>
        <w:widowControl w:val="0"/>
        <w:kinsoku/>
        <w:wordWrap/>
        <w:overflowPunct/>
        <w:topLinePunct w:val="0"/>
        <w:autoSpaceDE/>
        <w:autoSpaceDN w:val="0"/>
        <w:bidi w:val="0"/>
        <w:adjustRightInd/>
        <w:snapToGrid/>
        <w:spacing w:line="604"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val="0"/>
        <w:bidi w:val="0"/>
        <w:adjustRightInd/>
        <w:snapToGrid/>
        <w:spacing w:line="604"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珠海市人民政府办公室</w:t>
      </w:r>
      <w:r>
        <w:rPr>
          <w:rFonts w:hint="eastAsia" w:ascii="方正小标宋简体" w:hAnsi="方正小标宋简体" w:eastAsia="方正小标宋简体" w:cs="方正小标宋简体"/>
          <w:sz w:val="44"/>
          <w:szCs w:val="44"/>
        </w:rPr>
        <w:t>关于在全市复制</w:t>
      </w:r>
    </w:p>
    <w:p>
      <w:pPr>
        <w:keepNext w:val="0"/>
        <w:keepLines w:val="0"/>
        <w:pageBreakBefore w:val="0"/>
        <w:widowControl w:val="0"/>
        <w:kinsoku/>
        <w:wordWrap/>
        <w:overflowPunct/>
        <w:topLinePunct w:val="0"/>
        <w:autoSpaceDE/>
        <w:autoSpaceDN w:val="0"/>
        <w:bidi w:val="0"/>
        <w:adjustRightInd/>
        <w:snapToGrid/>
        <w:spacing w:line="604"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推广横琴自贸试验片区第</w:t>
      </w:r>
      <w:r>
        <w:rPr>
          <w:rFonts w:hint="eastAsia" w:ascii="方正小标宋简体" w:hAnsi="方正小标宋简体" w:eastAsia="方正小标宋简体" w:cs="方正小标宋简体"/>
          <w:sz w:val="44"/>
          <w:szCs w:val="44"/>
          <w:lang w:eastAsia="zh-CN"/>
        </w:rPr>
        <w:t>五</w:t>
      </w:r>
      <w:r>
        <w:rPr>
          <w:rFonts w:hint="eastAsia" w:ascii="方正小标宋简体" w:hAnsi="方正小标宋简体" w:eastAsia="方正小标宋简体" w:cs="方正小标宋简体"/>
          <w:sz w:val="44"/>
          <w:szCs w:val="44"/>
        </w:rPr>
        <w:t>批</w:t>
      </w:r>
    </w:p>
    <w:p>
      <w:pPr>
        <w:keepNext w:val="0"/>
        <w:keepLines w:val="0"/>
        <w:pageBreakBefore w:val="0"/>
        <w:widowControl w:val="0"/>
        <w:kinsoku/>
        <w:wordWrap/>
        <w:overflowPunct/>
        <w:topLinePunct w:val="0"/>
        <w:autoSpaceDE/>
        <w:autoSpaceDN w:val="0"/>
        <w:bidi w:val="0"/>
        <w:adjustRightInd/>
        <w:snapToGrid/>
        <w:spacing w:line="604"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改革创新措施的通知</w:t>
      </w:r>
    </w:p>
    <w:p>
      <w:pPr>
        <w:keepNext w:val="0"/>
        <w:keepLines w:val="0"/>
        <w:pageBreakBefore w:val="0"/>
        <w:widowControl w:val="0"/>
        <w:kinsoku/>
        <w:wordWrap/>
        <w:overflowPunct/>
        <w:topLinePunct w:val="0"/>
        <w:autoSpaceDE/>
        <w:autoSpaceDN w:val="0"/>
        <w:bidi w:val="0"/>
        <w:adjustRightInd/>
        <w:snapToGrid/>
        <w:spacing w:line="604"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overflowPunct/>
        <w:topLinePunct w:val="0"/>
        <w:autoSpaceDE/>
        <w:autoSpaceDN w:val="0"/>
        <w:bidi w:val="0"/>
        <w:adjustRightInd/>
        <w:snapToGrid/>
        <w:spacing w:line="604" w:lineRule="exact"/>
        <w:jc w:val="left"/>
        <w:textAlignment w:val="auto"/>
        <w:rPr>
          <w:rFonts w:hint="eastAsia" w:ascii="仿宋" w:hAnsi="仿宋" w:eastAsia="仿宋" w:cs="仿宋"/>
          <w:sz w:val="32"/>
          <w:szCs w:val="32"/>
        </w:rPr>
      </w:pPr>
      <w:r>
        <w:rPr>
          <w:rFonts w:hint="eastAsia" w:ascii="仿宋" w:hAnsi="仿宋" w:eastAsia="仿宋" w:cs="仿宋"/>
          <w:sz w:val="32"/>
          <w:szCs w:val="32"/>
        </w:rPr>
        <w:t>横琴新区管委会，各区政府（管委会），市</w:t>
      </w:r>
      <w:r>
        <w:rPr>
          <w:rFonts w:hint="eastAsia" w:ascii="仿宋" w:hAnsi="仿宋" w:eastAsia="仿宋" w:cs="仿宋"/>
          <w:sz w:val="32"/>
          <w:szCs w:val="32"/>
          <w:lang w:eastAsia="zh-CN"/>
        </w:rPr>
        <w:t>政府各部门、各直属机构</w:t>
      </w:r>
      <w:r>
        <w:rPr>
          <w:rFonts w:hint="eastAsia" w:ascii="仿宋" w:hAnsi="仿宋" w:eastAsia="仿宋" w:cs="仿宋"/>
          <w:sz w:val="32"/>
          <w:szCs w:val="32"/>
        </w:rPr>
        <w:t>：</w:t>
      </w:r>
    </w:p>
    <w:p>
      <w:pPr>
        <w:keepNext w:val="0"/>
        <w:keepLines w:val="0"/>
        <w:pageBreakBefore w:val="0"/>
        <w:widowControl w:val="0"/>
        <w:kinsoku/>
        <w:overflowPunct/>
        <w:topLinePunct w:val="0"/>
        <w:autoSpaceDE/>
        <w:bidi w:val="0"/>
        <w:adjustRightInd/>
        <w:snapToGrid/>
        <w:spacing w:line="604"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sz w:val="32"/>
          <w:szCs w:val="32"/>
        </w:rPr>
        <w:t>为充分发挥横琴自贸试验片区的示范引领作用，按照市委、市政府工作部署，</w:t>
      </w:r>
      <w:r>
        <w:rPr>
          <w:rFonts w:hint="eastAsia" w:ascii="仿宋" w:hAnsi="仿宋" w:eastAsia="仿宋" w:cs="仿宋"/>
          <w:sz w:val="32"/>
        </w:rPr>
        <w:t>现将横琴自贸试验片区第</w:t>
      </w:r>
      <w:r>
        <w:rPr>
          <w:rFonts w:hint="eastAsia" w:ascii="仿宋" w:hAnsi="仿宋" w:eastAsia="仿宋" w:cs="仿宋"/>
          <w:spacing w:val="0"/>
          <w:sz w:val="32"/>
        </w:rPr>
        <w:t>五</w:t>
      </w:r>
      <w:r>
        <w:rPr>
          <w:rFonts w:hint="eastAsia" w:ascii="仿宋" w:hAnsi="仿宋" w:eastAsia="仿宋" w:cs="仿宋"/>
          <w:sz w:val="32"/>
        </w:rPr>
        <w:t>批（共</w:t>
      </w:r>
      <w:r>
        <w:rPr>
          <w:rFonts w:hint="eastAsia" w:ascii="仿宋" w:hAnsi="仿宋" w:eastAsia="仿宋" w:cs="仿宋"/>
          <w:spacing w:val="0"/>
          <w:sz w:val="32"/>
        </w:rPr>
        <w:t>12</w:t>
      </w:r>
      <w:r>
        <w:rPr>
          <w:rFonts w:hint="eastAsia" w:ascii="仿宋" w:hAnsi="仿宋" w:eastAsia="仿宋" w:cs="仿宋"/>
          <w:sz w:val="32"/>
        </w:rPr>
        <w:t>项）较为成熟的改革创新措施向全市复制推广。各区、各有关单位要高度重视横琴自贸试验片区改革创新措施的复制推广工作，各牵头单位要抓紧制订相应的工作方案，确保复制推广工作落到实处、取得实效。市商务局、市自贸办和有关责任单位要认真做好政策宣传解读工作，引导市场主体用足用好相关政策。市自贸办要加强统筹协调，抓好督促落实，及时向</w:t>
      </w:r>
      <w:r>
        <w:rPr>
          <w:rFonts w:hint="eastAsia" w:ascii="仿宋" w:hAnsi="仿宋" w:eastAsia="仿宋" w:cs="仿宋"/>
          <w:sz w:val="32"/>
          <w:szCs w:val="32"/>
        </w:rPr>
        <w:t>横琴自贸试验片区建设工作领导小组汇报</w:t>
      </w:r>
      <w:r>
        <w:rPr>
          <w:rFonts w:hint="eastAsia" w:ascii="仿宋" w:hAnsi="仿宋" w:eastAsia="仿宋" w:cs="仿宋"/>
          <w:sz w:val="32"/>
        </w:rPr>
        <w:t>工作进度，积极做好经验总结，为将改革创新措施向全省乃至全国推广做好前期准备。</w:t>
      </w:r>
    </w:p>
    <w:p>
      <w:pPr>
        <w:keepNext w:val="0"/>
        <w:keepLines w:val="0"/>
        <w:pageBreakBefore w:val="0"/>
        <w:widowControl w:val="0"/>
        <w:kinsoku/>
        <w:overflowPunct/>
        <w:topLinePunct w:val="0"/>
        <w:autoSpaceDE/>
        <w:bidi w:val="0"/>
        <w:adjustRightInd/>
        <w:snapToGrid/>
        <w:spacing w:line="604" w:lineRule="exact"/>
        <w:ind w:left="1590" w:leftChars="300" w:hanging="960" w:hangingChars="300"/>
        <w:textAlignment w:val="auto"/>
        <w:rPr>
          <w:rFonts w:hint="eastAsia" w:ascii="仿宋" w:hAnsi="仿宋" w:eastAsia="仿宋" w:cs="仿宋"/>
          <w:kern w:val="0"/>
          <w:sz w:val="32"/>
          <w:szCs w:val="32"/>
        </w:rPr>
        <w:sectPr>
          <w:footerReference r:id="rId3" w:type="default"/>
          <w:pgSz w:w="11906" w:h="16838"/>
          <w:pgMar w:top="2041" w:right="1531" w:bottom="2041" w:left="1531" w:header="851" w:footer="1531" w:gutter="0"/>
          <w:pgNumType w:fmt="decimal" w:start="2"/>
          <w:cols w:space="720" w:num="1"/>
          <w:rtlGutter w:val="0"/>
          <w:docGrid w:type="lines" w:linePitch="554" w:charSpace="0"/>
        </w:sectPr>
      </w:pPr>
    </w:p>
    <w:p>
      <w:pPr>
        <w:keepNext w:val="0"/>
        <w:keepLines w:val="0"/>
        <w:pageBreakBefore w:val="0"/>
        <w:widowControl w:val="0"/>
        <w:kinsoku/>
        <w:overflowPunct/>
        <w:topLinePunct w:val="0"/>
        <w:autoSpaceDE/>
        <w:bidi w:val="0"/>
        <w:adjustRightInd/>
        <w:snapToGrid/>
        <w:spacing w:line="604" w:lineRule="exact"/>
        <w:ind w:left="1590" w:leftChars="300" w:hanging="960" w:hangingChars="300"/>
        <w:textAlignment w:val="auto"/>
        <w:rPr>
          <w:rFonts w:hint="eastAsia" w:ascii="仿宋" w:hAnsi="仿宋" w:eastAsia="仿宋" w:cs="仿宋"/>
          <w:sz w:val="32"/>
        </w:rPr>
      </w:pPr>
      <w:r>
        <w:rPr>
          <w:rFonts w:hint="eastAsia" w:ascii="仿宋" w:hAnsi="仿宋" w:eastAsia="仿宋" w:cs="仿宋"/>
          <w:kern w:val="0"/>
          <w:sz w:val="32"/>
          <w:szCs w:val="32"/>
        </w:rPr>
        <w:t>附件：</w:t>
      </w:r>
      <w:r>
        <w:rPr>
          <w:rFonts w:hint="eastAsia" w:ascii="仿宋" w:hAnsi="仿宋" w:eastAsia="仿宋" w:cs="仿宋"/>
          <w:sz w:val="32"/>
        </w:rPr>
        <w:t>横琴自贸试验片区第</w:t>
      </w:r>
      <w:r>
        <w:rPr>
          <w:rFonts w:hint="eastAsia" w:ascii="仿宋" w:hAnsi="仿宋" w:eastAsia="仿宋" w:cs="仿宋"/>
          <w:spacing w:val="0"/>
          <w:sz w:val="32"/>
        </w:rPr>
        <w:t>五</w:t>
      </w:r>
      <w:r>
        <w:rPr>
          <w:rFonts w:hint="eastAsia" w:ascii="仿宋" w:hAnsi="仿宋" w:eastAsia="仿宋" w:cs="仿宋"/>
          <w:sz w:val="32"/>
        </w:rPr>
        <w:t>批可在全市复制推广的改革创新措施</w:t>
      </w:r>
    </w:p>
    <w:p>
      <w:pPr>
        <w:keepNext w:val="0"/>
        <w:keepLines w:val="0"/>
        <w:pageBreakBefore w:val="0"/>
        <w:widowControl w:val="0"/>
        <w:kinsoku/>
        <w:overflowPunct/>
        <w:topLinePunct w:val="0"/>
        <w:autoSpaceDE/>
        <w:bidi w:val="0"/>
        <w:adjustRightInd/>
        <w:snapToGrid/>
        <w:spacing w:line="604" w:lineRule="exact"/>
        <w:ind w:firstLine="0" w:firstLineChars="0"/>
        <w:textAlignment w:val="auto"/>
        <w:rPr>
          <w:rFonts w:hint="eastAsia" w:ascii="仿宋" w:hAnsi="仿宋" w:eastAsia="仿宋" w:cs="仿宋"/>
          <w:sz w:val="32"/>
          <w:szCs w:val="32"/>
        </w:rPr>
      </w:pPr>
    </w:p>
    <w:p>
      <w:pPr>
        <w:keepNext w:val="0"/>
        <w:keepLines w:val="0"/>
        <w:pageBreakBefore w:val="0"/>
        <w:widowControl w:val="0"/>
        <w:tabs>
          <w:tab w:val="left" w:pos="7426"/>
          <w:tab w:val="left" w:pos="7584"/>
          <w:tab w:val="left" w:pos="7900"/>
        </w:tabs>
        <w:kinsoku/>
        <w:wordWrap w:val="0"/>
        <w:overflowPunct/>
        <w:topLinePunct w:val="0"/>
        <w:autoSpaceDE/>
        <w:bidi w:val="0"/>
        <w:adjustRightInd/>
        <w:snapToGrid/>
        <w:spacing w:line="604" w:lineRule="exact"/>
        <w:ind w:firstLine="0" w:firstLineChars="0"/>
        <w:jc w:val="right"/>
        <w:textAlignment w:val="auto"/>
        <w:rPr>
          <w:rFonts w:hint="eastAsia" w:ascii="仿宋" w:hAnsi="仿宋" w:eastAsia="仿宋" w:cs="仿宋"/>
          <w:sz w:val="32"/>
          <w:szCs w:val="32"/>
        </w:rPr>
      </w:pPr>
    </w:p>
    <w:p>
      <w:pPr>
        <w:keepNext w:val="0"/>
        <w:keepLines w:val="0"/>
        <w:pageBreakBefore w:val="0"/>
        <w:widowControl w:val="0"/>
        <w:tabs>
          <w:tab w:val="left" w:pos="7426"/>
          <w:tab w:val="left" w:pos="7584"/>
          <w:tab w:val="left" w:pos="7900"/>
        </w:tabs>
        <w:kinsoku/>
        <w:wordWrap w:val="0"/>
        <w:overflowPunct/>
        <w:topLinePunct w:val="0"/>
        <w:autoSpaceDE/>
        <w:bidi w:val="0"/>
        <w:adjustRightInd/>
        <w:snapToGrid/>
        <w:spacing w:line="604" w:lineRule="exact"/>
        <w:ind w:firstLine="0" w:firstLineChars="0"/>
        <w:jc w:val="right"/>
        <w:textAlignment w:val="auto"/>
        <w:rPr>
          <w:rFonts w:hint="eastAsia" w:ascii="仿宋" w:hAnsi="仿宋" w:eastAsia="仿宋" w:cs="仿宋"/>
          <w:sz w:val="32"/>
          <w:szCs w:val="32"/>
        </w:rPr>
      </w:pPr>
    </w:p>
    <w:p>
      <w:pPr>
        <w:keepNext w:val="0"/>
        <w:keepLines w:val="0"/>
        <w:pageBreakBefore w:val="0"/>
        <w:widowControl w:val="0"/>
        <w:tabs>
          <w:tab w:val="left" w:pos="7426"/>
          <w:tab w:val="left" w:pos="7584"/>
          <w:tab w:val="left" w:pos="7900"/>
        </w:tabs>
        <w:kinsoku/>
        <w:wordWrap w:val="0"/>
        <w:overflowPunct/>
        <w:topLinePunct w:val="0"/>
        <w:autoSpaceDE/>
        <w:bidi w:val="0"/>
        <w:adjustRightInd/>
        <w:snapToGrid/>
        <w:spacing w:line="604" w:lineRule="exact"/>
        <w:ind w:firstLine="0" w:firstLineChars="0"/>
        <w:jc w:val="right"/>
        <w:textAlignment w:val="auto"/>
        <w:rPr>
          <w:rFonts w:hint="eastAsia" w:ascii="仿宋" w:hAnsi="仿宋" w:eastAsia="仿宋" w:cs="仿宋"/>
          <w:sz w:val="32"/>
          <w:szCs w:val="32"/>
        </w:rPr>
      </w:pPr>
      <w:r>
        <w:rPr>
          <w:rFonts w:hint="eastAsia" w:ascii="仿宋" w:hAnsi="仿宋" w:eastAsia="仿宋" w:cs="仿宋"/>
          <w:sz w:val="32"/>
          <w:szCs w:val="32"/>
        </w:rPr>
        <w:t>珠海市人民政府办公室</w:t>
      </w:r>
      <w:r>
        <w:rPr>
          <w:rFonts w:hint="eastAsia" w:ascii="仿宋" w:hAnsi="仿宋" w:eastAsia="仿宋" w:cs="仿宋"/>
          <w:sz w:val="32"/>
          <w:szCs w:val="32"/>
          <w:lang w:eastAsia="zh-CN"/>
        </w:rPr>
        <w:t>　　　</w:t>
      </w:r>
    </w:p>
    <w:p>
      <w:pPr>
        <w:keepNext w:val="0"/>
        <w:keepLines w:val="0"/>
        <w:pageBreakBefore w:val="0"/>
        <w:widowControl w:val="0"/>
        <w:tabs>
          <w:tab w:val="left" w:pos="7584"/>
          <w:tab w:val="left" w:pos="7742"/>
        </w:tabs>
        <w:kinsoku/>
        <w:wordWrap w:val="0"/>
        <w:overflowPunct/>
        <w:topLinePunct w:val="0"/>
        <w:autoSpaceDE/>
        <w:bidi w:val="0"/>
        <w:adjustRightInd/>
        <w:snapToGrid/>
        <w:spacing w:line="604" w:lineRule="exact"/>
        <w:ind w:right="0" w:rightChars="0" w:firstLine="0" w:firstLineChars="0"/>
        <w:jc w:val="right"/>
        <w:textAlignment w:val="auto"/>
        <w:rPr>
          <w:rFonts w:hint="eastAsia" w:ascii="仿宋" w:hAnsi="仿宋" w:eastAsia="仿宋" w:cs="仿宋"/>
          <w:sz w:val="32"/>
          <w:szCs w:val="32"/>
        </w:rPr>
      </w:pPr>
      <w:r>
        <w:rPr>
          <w:rFonts w:hint="eastAsia" w:ascii="仿宋" w:hAnsi="仿宋" w:eastAsia="仿宋" w:cs="仿宋"/>
          <w:spacing w:val="0"/>
          <w:sz w:val="32"/>
          <w:szCs w:val="32"/>
        </w:rPr>
        <w:t>2021</w:t>
      </w:r>
      <w:r>
        <w:rPr>
          <w:rFonts w:hint="eastAsia" w:ascii="仿宋" w:hAnsi="仿宋" w:eastAsia="仿宋" w:cs="仿宋"/>
          <w:sz w:val="32"/>
          <w:szCs w:val="32"/>
        </w:rPr>
        <w:t>年</w:t>
      </w:r>
      <w:r>
        <w:rPr>
          <w:rFonts w:hint="eastAsia" w:ascii="仿宋" w:hAnsi="仿宋" w:eastAsia="仿宋" w:cs="仿宋"/>
          <w:spacing w:val="0"/>
          <w:sz w:val="32"/>
          <w:szCs w:val="32"/>
        </w:rPr>
        <w:t>7</w:t>
      </w:r>
      <w:r>
        <w:rPr>
          <w:rFonts w:hint="eastAsia" w:ascii="仿宋" w:hAnsi="仿宋" w:eastAsia="仿宋" w:cs="仿宋"/>
          <w:sz w:val="32"/>
          <w:szCs w:val="32"/>
        </w:rPr>
        <w:t>月</w:t>
      </w:r>
      <w:r>
        <w:rPr>
          <w:rFonts w:hint="eastAsia" w:ascii="仿宋" w:hAnsi="仿宋" w:eastAsia="仿宋" w:cs="仿宋"/>
          <w:spacing w:val="0"/>
          <w:sz w:val="32"/>
          <w:szCs w:val="32"/>
          <w:lang w:val="en-US" w:eastAsia="zh-CN"/>
        </w:rPr>
        <w:t>30</w:t>
      </w:r>
      <w:r>
        <w:rPr>
          <w:rFonts w:hint="eastAsia" w:ascii="仿宋" w:hAnsi="仿宋" w:eastAsia="仿宋" w:cs="仿宋"/>
          <w:sz w:val="32"/>
          <w:szCs w:val="32"/>
        </w:rPr>
        <w:t>日</w:t>
      </w:r>
      <w:r>
        <w:rPr>
          <w:rFonts w:hint="eastAsia" w:ascii="仿宋" w:hAnsi="仿宋" w:eastAsia="仿宋" w:cs="仿宋"/>
          <w:sz w:val="32"/>
          <w:szCs w:val="32"/>
          <w:lang w:eastAsia="zh-CN"/>
        </w:rPr>
        <w:t>　　　　</w:t>
      </w:r>
    </w:p>
    <w:p>
      <w:pPr>
        <w:keepNext w:val="0"/>
        <w:keepLines w:val="0"/>
        <w:pageBreakBefore w:val="0"/>
        <w:widowControl w:val="0"/>
        <w:kinsoku/>
        <w:overflowPunct/>
        <w:topLinePunct w:val="0"/>
        <w:autoSpaceDE/>
        <w:bidi w:val="0"/>
        <w:adjustRightInd/>
        <w:snapToGrid/>
        <w:spacing w:line="579" w:lineRule="exact"/>
        <w:jc w:val="left"/>
        <w:textAlignment w:val="auto"/>
        <w:rPr>
          <w:rFonts w:ascii="黑体" w:hAnsi="黑体" w:eastAsia="黑体" w:cs="黑体"/>
          <w:color w:val="000000"/>
          <w:spacing w:val="0"/>
          <w:sz w:val="32"/>
          <w:szCs w:val="32"/>
        </w:rPr>
        <w:sectPr>
          <w:footerReference r:id="rId4" w:type="default"/>
          <w:pgSz w:w="11906" w:h="16838"/>
          <w:pgMar w:top="2041" w:right="1531" w:bottom="2041" w:left="1531" w:header="851" w:footer="1531" w:gutter="0"/>
          <w:pgNumType w:fmt="decimal" w:start="2"/>
          <w:cols w:space="720" w:num="1"/>
          <w:rtlGutter w:val="0"/>
          <w:docGrid w:type="lines" w:linePitch="554" w:charSpace="0"/>
        </w:sectPr>
      </w:pPr>
    </w:p>
    <w:p>
      <w:pPr>
        <w:keepNext w:val="0"/>
        <w:keepLines w:val="0"/>
        <w:pageBreakBefore w:val="0"/>
        <w:widowControl w:val="0"/>
        <w:kinsoku/>
        <w:wordWrap/>
        <w:overflowPunct/>
        <w:topLinePunct w:val="0"/>
        <w:autoSpaceDE/>
        <w:autoSpaceDN/>
        <w:bidi w:val="0"/>
        <w:adjustRightInd/>
        <w:snapToGrid w:val="0"/>
        <w:spacing w:line="240" w:lineRule="auto"/>
        <w:rPr>
          <w:rFonts w:ascii="黑体" w:hAnsi="黑体" w:eastAsia="黑体" w:cs="黑体"/>
          <w:color w:val="000000"/>
          <w:sz w:val="32"/>
          <w:szCs w:val="32"/>
        </w:rPr>
      </w:pPr>
      <w:r>
        <w:rPr>
          <w:rFonts w:hint="eastAsia" w:ascii="黑体" w:hAnsi="黑体" w:eastAsia="黑体" w:cs="黑体"/>
          <w:color w:val="000000"/>
          <w:sz w:val="32"/>
          <w:szCs w:val="32"/>
        </w:rPr>
        <w:t>附件</w:t>
      </w:r>
    </w:p>
    <w:p>
      <w:pPr>
        <w:keepNext w:val="0"/>
        <w:keepLines w:val="0"/>
        <w:pageBreakBefore w:val="0"/>
        <w:widowControl w:val="0"/>
        <w:kinsoku/>
        <w:wordWrap/>
        <w:overflowPunct/>
        <w:topLinePunct w:val="0"/>
        <w:autoSpaceDE/>
        <w:autoSpaceDN/>
        <w:bidi w:val="0"/>
        <w:adjustRightInd/>
        <w:snapToGrid w:val="0"/>
        <w:spacing w:line="240" w:lineRule="auto"/>
        <w:ind w:firstLine="420"/>
        <w:jc w:val="center"/>
        <w:rPr>
          <w:rFonts w:ascii="方正小标宋简体" w:hAnsi="方正小标宋简体" w:eastAsia="方正小标宋简体" w:cs="方正小标宋简体"/>
          <w:color w:val="000000"/>
          <w:spacing w:val="0"/>
          <w:kern w:val="0"/>
          <w:sz w:val="44"/>
          <w:szCs w:val="44"/>
        </w:rPr>
      </w:pPr>
      <w:r>
        <w:rPr>
          <w:rFonts w:hint="eastAsia" w:ascii="方正小标宋简体" w:hAnsi="方正小标宋简体" w:eastAsia="方正小标宋简体" w:cs="方正小标宋简体"/>
          <w:color w:val="000000"/>
          <w:spacing w:val="0"/>
          <w:kern w:val="0"/>
          <w:sz w:val="44"/>
          <w:szCs w:val="44"/>
        </w:rPr>
        <w:t>横琴自贸试验片区第五批可在全市复制推广的改革创新措施</w:t>
      </w:r>
    </w:p>
    <w:tbl>
      <w:tblPr>
        <w:tblStyle w:val="7"/>
        <w:tblW w:w="16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1037"/>
        <w:gridCol w:w="5"/>
        <w:gridCol w:w="985"/>
        <w:gridCol w:w="5"/>
        <w:gridCol w:w="945"/>
        <w:gridCol w:w="5"/>
        <w:gridCol w:w="5495"/>
        <w:gridCol w:w="5"/>
        <w:gridCol w:w="4465"/>
        <w:gridCol w:w="1235"/>
        <w:gridCol w:w="1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1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黑体" w:hAnsi="黑体" w:eastAsia="黑体" w:cs="黑体"/>
                <w:b w:val="0"/>
                <w:bCs/>
                <w:color w:val="000000"/>
                <w:spacing w:val="0"/>
                <w:sz w:val="24"/>
                <w:szCs w:val="24"/>
              </w:rPr>
            </w:pPr>
            <w:r>
              <w:rPr>
                <w:rFonts w:hint="eastAsia" w:ascii="黑体" w:hAnsi="黑体" w:eastAsia="黑体" w:cs="黑体"/>
                <w:b w:val="0"/>
                <w:bCs/>
                <w:color w:val="000000"/>
                <w:spacing w:val="0"/>
                <w:sz w:val="24"/>
                <w:szCs w:val="24"/>
              </w:rPr>
              <w:t>序号</w:t>
            </w:r>
          </w:p>
        </w:tc>
        <w:tc>
          <w:tcPr>
            <w:tcW w:w="1042"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黑体" w:hAnsi="黑体" w:eastAsia="黑体" w:cs="黑体"/>
                <w:b w:val="0"/>
                <w:bCs/>
                <w:color w:val="000000"/>
                <w:spacing w:val="0"/>
                <w:sz w:val="24"/>
                <w:szCs w:val="24"/>
              </w:rPr>
            </w:pPr>
            <w:r>
              <w:rPr>
                <w:rFonts w:hint="eastAsia" w:ascii="黑体" w:hAnsi="黑体" w:eastAsia="黑体" w:cs="黑体"/>
                <w:b w:val="0"/>
                <w:bCs/>
                <w:color w:val="000000"/>
                <w:spacing w:val="0"/>
                <w:sz w:val="24"/>
                <w:szCs w:val="24"/>
              </w:rPr>
              <w:t>项目名称</w:t>
            </w:r>
          </w:p>
        </w:tc>
        <w:tc>
          <w:tcPr>
            <w:tcW w:w="990" w:type="dxa"/>
            <w:gridSpan w:val="2"/>
            <w:noWrap w:val="0"/>
            <w:vAlign w:val="center"/>
          </w:tcPr>
          <w:p>
            <w:pPr>
              <w:keepNext w:val="0"/>
              <w:keepLines w:val="0"/>
              <w:pageBreakBefore w:val="0"/>
              <w:widowControl w:val="0"/>
              <w:tabs>
                <w:tab w:val="left" w:pos="490"/>
              </w:tabs>
              <w:kinsoku/>
              <w:wordWrap/>
              <w:overflowPunct/>
              <w:topLinePunct w:val="0"/>
              <w:autoSpaceDE/>
              <w:autoSpaceDN/>
              <w:bidi w:val="0"/>
              <w:adjustRightInd/>
              <w:snapToGrid w:val="0"/>
              <w:spacing w:line="240" w:lineRule="auto"/>
              <w:jc w:val="center"/>
              <w:rPr>
                <w:rFonts w:hint="eastAsia" w:ascii="黑体" w:hAnsi="黑体" w:eastAsia="黑体" w:cs="黑体"/>
                <w:b w:val="0"/>
                <w:bCs/>
                <w:color w:val="000000"/>
                <w:spacing w:val="0"/>
                <w:sz w:val="24"/>
                <w:szCs w:val="24"/>
              </w:rPr>
            </w:pPr>
            <w:r>
              <w:rPr>
                <w:rFonts w:hint="eastAsia" w:ascii="黑体" w:hAnsi="黑体" w:eastAsia="黑体" w:cs="黑体"/>
                <w:b w:val="0"/>
                <w:bCs/>
                <w:color w:val="000000"/>
                <w:spacing w:val="0"/>
                <w:sz w:val="24"/>
                <w:szCs w:val="24"/>
              </w:rPr>
              <w:t>建议市牵头部门</w:t>
            </w:r>
          </w:p>
        </w:tc>
        <w:tc>
          <w:tcPr>
            <w:tcW w:w="94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黑体" w:hAnsi="黑体" w:eastAsia="黑体" w:cs="黑体"/>
                <w:b w:val="0"/>
                <w:bCs/>
                <w:color w:val="000000"/>
                <w:spacing w:val="0"/>
                <w:sz w:val="24"/>
                <w:szCs w:val="24"/>
              </w:rPr>
            </w:pPr>
            <w:r>
              <w:rPr>
                <w:rFonts w:hint="eastAsia" w:ascii="黑体" w:hAnsi="黑体" w:eastAsia="黑体" w:cs="黑体"/>
                <w:b w:val="0"/>
                <w:bCs/>
                <w:color w:val="000000"/>
                <w:spacing w:val="0"/>
                <w:sz w:val="24"/>
                <w:szCs w:val="24"/>
              </w:rPr>
              <w:t>区牵头部门</w:t>
            </w:r>
          </w:p>
        </w:tc>
        <w:tc>
          <w:tcPr>
            <w:tcW w:w="550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黑体" w:hAnsi="黑体" w:eastAsia="黑体" w:cs="黑体"/>
                <w:b w:val="0"/>
                <w:bCs/>
                <w:color w:val="000000"/>
                <w:spacing w:val="0"/>
                <w:sz w:val="24"/>
                <w:szCs w:val="24"/>
              </w:rPr>
            </w:pPr>
            <w:r>
              <w:rPr>
                <w:rFonts w:hint="eastAsia" w:ascii="黑体" w:hAnsi="黑体" w:eastAsia="黑体" w:cs="黑体"/>
                <w:b w:val="0"/>
                <w:bCs/>
                <w:color w:val="000000"/>
                <w:spacing w:val="0"/>
                <w:sz w:val="24"/>
                <w:szCs w:val="24"/>
              </w:rPr>
              <w:t>项目内容</w:t>
            </w:r>
          </w:p>
        </w:tc>
        <w:tc>
          <w:tcPr>
            <w:tcW w:w="446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黑体" w:hAnsi="黑体" w:eastAsia="黑体" w:cs="黑体"/>
                <w:b w:val="0"/>
                <w:bCs/>
                <w:color w:val="000000"/>
                <w:spacing w:val="0"/>
                <w:sz w:val="24"/>
                <w:szCs w:val="24"/>
              </w:rPr>
            </w:pPr>
            <w:r>
              <w:rPr>
                <w:rFonts w:hint="eastAsia" w:ascii="黑体" w:hAnsi="黑体" w:eastAsia="黑体" w:cs="黑体"/>
                <w:b w:val="0"/>
                <w:bCs/>
                <w:color w:val="000000"/>
                <w:spacing w:val="0"/>
                <w:sz w:val="24"/>
                <w:szCs w:val="24"/>
              </w:rPr>
              <w:t>项目的</w:t>
            </w:r>
          </w:p>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黑体" w:hAnsi="黑体" w:eastAsia="黑体" w:cs="黑体"/>
                <w:b w:val="0"/>
                <w:bCs/>
                <w:color w:val="000000"/>
                <w:spacing w:val="0"/>
                <w:sz w:val="24"/>
                <w:szCs w:val="24"/>
              </w:rPr>
            </w:pPr>
            <w:r>
              <w:rPr>
                <w:rFonts w:hint="eastAsia" w:ascii="黑体" w:hAnsi="黑体" w:eastAsia="黑体" w:cs="黑体"/>
                <w:b w:val="0"/>
                <w:bCs/>
                <w:color w:val="000000"/>
                <w:spacing w:val="0"/>
                <w:sz w:val="24"/>
                <w:szCs w:val="24"/>
              </w:rPr>
              <w:t>率先性或示范性</w:t>
            </w:r>
          </w:p>
        </w:tc>
        <w:tc>
          <w:tcPr>
            <w:tcW w:w="1235" w:type="dxa"/>
            <w:noWrap w:val="0"/>
            <w:tcMar>
              <w:top w:w="0" w:type="dxa"/>
              <w:left w:w="57" w:type="dxa"/>
              <w:bottom w:w="0" w:type="dxa"/>
              <w:right w:w="57" w:type="dxa"/>
            </w:tcMar>
            <w:vAlign w:val="top"/>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黑体" w:hAnsi="黑体" w:eastAsia="黑体" w:cs="黑体"/>
                <w:b w:val="0"/>
                <w:bCs/>
                <w:color w:val="000000"/>
                <w:spacing w:val="0"/>
                <w:sz w:val="24"/>
                <w:szCs w:val="24"/>
              </w:rPr>
            </w:pPr>
            <w:r>
              <w:rPr>
                <w:rFonts w:hint="eastAsia" w:ascii="黑体" w:hAnsi="黑体" w:eastAsia="黑体" w:cs="黑体"/>
                <w:b w:val="0"/>
                <w:bCs/>
                <w:color w:val="000000"/>
                <w:spacing w:val="0"/>
                <w:sz w:val="24"/>
                <w:szCs w:val="24"/>
              </w:rPr>
              <w:t>项目可复制可推广区域</w:t>
            </w:r>
          </w:p>
        </w:tc>
        <w:tc>
          <w:tcPr>
            <w:tcW w:w="131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黑体" w:hAnsi="黑体" w:eastAsia="黑体" w:cs="黑体"/>
                <w:b w:val="0"/>
                <w:bCs/>
                <w:color w:val="000000"/>
                <w:spacing w:val="0"/>
                <w:sz w:val="24"/>
                <w:szCs w:val="24"/>
              </w:rPr>
            </w:pPr>
            <w:r>
              <w:rPr>
                <w:rFonts w:hint="eastAsia" w:ascii="黑体" w:hAnsi="黑体" w:eastAsia="黑体" w:cs="黑体"/>
                <w:b w:val="0"/>
                <w:bCs/>
                <w:color w:val="000000"/>
                <w:spacing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0"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1</w:t>
            </w:r>
          </w:p>
        </w:tc>
        <w:tc>
          <w:tcPr>
            <w:tcW w:w="104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b/>
                <w:bCs/>
                <w:color w:val="000000"/>
                <w:spacing w:val="0"/>
                <w:kern w:val="0"/>
                <w:sz w:val="24"/>
                <w:szCs w:val="24"/>
                <w:lang w:val="zh-CN" w:bidi="ar"/>
              </w:rPr>
            </w:pPr>
            <w:r>
              <w:rPr>
                <w:rFonts w:hint="eastAsia" w:ascii="仿宋" w:hAnsi="仿宋" w:eastAsia="仿宋" w:cs="仿宋"/>
                <w:b/>
                <w:bCs/>
                <w:color w:val="000000"/>
                <w:spacing w:val="0"/>
                <w:kern w:val="0"/>
                <w:sz w:val="24"/>
                <w:szCs w:val="24"/>
                <w:lang w:bidi="ar"/>
              </w:rPr>
              <w:t>港澳人士购买一手房全程线上自助缴税新模式</w:t>
            </w:r>
          </w:p>
        </w:tc>
        <w:tc>
          <w:tcPr>
            <w:tcW w:w="99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珠海市税务局</w:t>
            </w:r>
          </w:p>
        </w:tc>
        <w:tc>
          <w:tcPr>
            <w:tcW w:w="9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横琴新区税务局</w:t>
            </w:r>
          </w:p>
        </w:tc>
        <w:tc>
          <w:tcPr>
            <w:tcW w:w="550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解决港澳居民网上办税实名认证所使用的港澳通行证与签订购房合同使用的港澳居民身份证两证不同，且系统无法自动识别匹配所导致的无法线上办理一手房涉税业务的问题。横琴新区税务局与横琴新区不动产登记等部门联合，通过认证港澳通行证实名信息，采集“粤税通”登录入口实名信息，改造房产交易智能办税系统流程页面，以及对金税三期税收管理系统、不动产登记信息管理系统等多个数据接口的开发和服务调用，对跨部门跨平台的工作流、数据流进行了有效整合，成功对港澳通行证和港澳居民身份证信息进行匹配，最终实现港澳人士购买一手房全程线上自助缴税。</w:t>
            </w:r>
          </w:p>
        </w:tc>
        <w:tc>
          <w:tcPr>
            <w:tcW w:w="44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color w:val="000000"/>
                <w:spacing w:val="0"/>
                <w:kern w:val="0"/>
                <w:sz w:val="24"/>
                <w:szCs w:val="24"/>
                <w:lang w:bidi="ar"/>
              </w:rPr>
              <w:t>港澳人士购房（一手房）全程线上自助缴税模式具有首创性。购房纳税人只需通过“粤税通”官方小程序录入港澳身份证号码及相关必要信息，系统即可自动集成信息并审核校验，生成税款明细并弹出缴费信息，在线即时缴纳税费便可获取电子完税凭证，成功做到全程系统自动处理，无需人工审核，实现“指尖微动、自助办结”。该模式有利于进一步降低港澳人士来珠置业的成本，大幅提升办事效率，为探索港澳人士来粤办理相关涉税业务提供了经验参考。</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全市</w:t>
            </w:r>
          </w:p>
        </w:tc>
        <w:tc>
          <w:tcPr>
            <w:tcW w:w="13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2</w:t>
            </w:r>
          </w:p>
        </w:tc>
        <w:tc>
          <w:tcPr>
            <w:tcW w:w="104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b/>
                <w:bCs/>
                <w:color w:val="000000"/>
                <w:spacing w:val="0"/>
                <w:kern w:val="0"/>
                <w:sz w:val="24"/>
                <w:szCs w:val="24"/>
                <w:lang w:val="zh-CN" w:bidi="ar"/>
              </w:rPr>
            </w:pPr>
            <w:r>
              <w:rPr>
                <w:rFonts w:hint="eastAsia" w:ascii="仿宋" w:hAnsi="仿宋" w:eastAsia="仿宋" w:cs="仿宋"/>
                <w:b/>
                <w:bCs/>
                <w:color w:val="000000"/>
                <w:spacing w:val="0"/>
                <w:kern w:val="0"/>
                <w:sz w:val="24"/>
                <w:szCs w:val="24"/>
                <w:lang w:val="zh-CN" w:bidi="ar"/>
              </w:rPr>
              <w:t>税政企信用全周期管理服务体系</w:t>
            </w:r>
          </w:p>
        </w:tc>
        <w:tc>
          <w:tcPr>
            <w:tcW w:w="99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珠海市税务局</w:t>
            </w:r>
          </w:p>
        </w:tc>
        <w:tc>
          <w:tcPr>
            <w:tcW w:w="9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横琴新区税务局</w:t>
            </w:r>
          </w:p>
        </w:tc>
        <w:tc>
          <w:tcPr>
            <w:tcW w:w="550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left"/>
              <w:textAlignment w:val="center"/>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横琴新区税务部门对标国外先进国家和地区，借鉴港澳社会信用建设方面的先进经验，创新税收治理思路，将纳税信用评级结果应用贯穿于企业管理服务全周期，以税务诚信报告免责体系、税收遵从指数模式和容缺办理机制为税收管理服务纵向线条，以税银信用“e”贷和税政企大数据智慧共享应用新模式等跨部门联动管理服务举措为横向线条，构建纵横连贯的税政企信用全周期管理服务体系，有效拓展纳税信用评价结果共享应用层面，引导纳税人提升税法遵从度，推进诚信社会建设。</w:t>
            </w:r>
          </w:p>
        </w:tc>
        <w:tc>
          <w:tcPr>
            <w:tcW w:w="44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color w:val="000000"/>
                <w:spacing w:val="0"/>
                <w:sz w:val="24"/>
                <w:szCs w:val="24"/>
                <w:lang w:val="zh-CN"/>
              </w:rPr>
              <w:t>该体系创新了税收治理思路，重点围绕企业运营，促进跨部门信息共享，拓展纳税信用增值运用。诚信导向服务机制建立后，使企业纳税信用结果影响企业全生命周期，同时也可适配信用级别提供差异化、针对性的信用服务。</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全市</w:t>
            </w:r>
          </w:p>
        </w:tc>
        <w:tc>
          <w:tcPr>
            <w:tcW w:w="13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3</w:t>
            </w:r>
          </w:p>
        </w:tc>
        <w:tc>
          <w:tcPr>
            <w:tcW w:w="104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b/>
                <w:bCs/>
                <w:color w:val="000000"/>
                <w:spacing w:val="0"/>
                <w:kern w:val="0"/>
                <w:sz w:val="24"/>
                <w:szCs w:val="24"/>
                <w:lang w:val="zh-CN" w:bidi="ar"/>
              </w:rPr>
              <w:t>跨境人民币全程电子办税缴费新模式</w:t>
            </w:r>
          </w:p>
        </w:tc>
        <w:tc>
          <w:tcPr>
            <w:tcW w:w="99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珠海市税务局</w:t>
            </w:r>
          </w:p>
        </w:tc>
        <w:tc>
          <w:tcPr>
            <w:tcW w:w="9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横琴新区税务局</w:t>
            </w:r>
          </w:p>
        </w:tc>
        <w:tc>
          <w:tcPr>
            <w:tcW w:w="550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left"/>
              <w:textAlignment w:val="center"/>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横琴新区税务部门联合人民银行珠海市中心支行、澳门金管局、中国银行澳门分行及珠海分行、横琴中行、横琴社保部门、澳门粤澳工商服务中心等单位，开展系统集成化创新，持续拓展“非接触式”办税缴费，率先推行“网上办税为主、自助办税为辅、V-Tax可视化办税兜底”的跨境人民币全程电子办税缴费新模式。通过升级技术应用、集成数据管理、优化人力调配，精简资料报送、优化办税流程，提供境内外涉税业务网上办、自助办服务，创新可视化定制服务，开展跨境视频咨询实时连线、涉税疑难实时处理等“云端办税缴费服务”。</w:t>
            </w:r>
          </w:p>
        </w:tc>
        <w:tc>
          <w:tcPr>
            <w:tcW w:w="44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color w:val="000000"/>
                <w:spacing w:val="0"/>
                <w:kern w:val="0"/>
                <w:sz w:val="24"/>
                <w:szCs w:val="24"/>
                <w:lang w:val="zh-CN" w:bidi="ar"/>
              </w:rPr>
              <w:t>“网上办税为主、自助办税为辅、V-Tax可视化办税兜底”的跨境人民币全程电子办税缴费新模式具有首创性，进一步深化了内地与港澳的实务合作，大幅提升了港澳纳税人、缴费人的便利度、满意度与获得感，有利于推进湾区内民生领域的融合创新，推动协同治税，促进政务服务“最多跑一次”乃至“一次不用跑”，为进一步促进粤港澳大湾区要素资源的便捷流动提供了更多可复制推广经验。</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全市</w:t>
            </w:r>
          </w:p>
        </w:tc>
        <w:tc>
          <w:tcPr>
            <w:tcW w:w="13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2"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4</w:t>
            </w:r>
          </w:p>
        </w:tc>
        <w:tc>
          <w:tcPr>
            <w:tcW w:w="104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b/>
                <w:bCs/>
                <w:color w:val="000000"/>
                <w:spacing w:val="0"/>
                <w:kern w:val="0"/>
                <w:sz w:val="24"/>
                <w:szCs w:val="24"/>
                <w:lang w:bidi="ar"/>
              </w:rPr>
            </w:pPr>
            <w:r>
              <w:rPr>
                <w:rFonts w:hint="eastAsia" w:ascii="仿宋" w:hAnsi="仿宋" w:eastAsia="仿宋" w:cs="仿宋"/>
                <w:b/>
                <w:bCs/>
                <w:color w:val="000000"/>
                <w:spacing w:val="0"/>
                <w:kern w:val="0"/>
                <w:sz w:val="24"/>
                <w:szCs w:val="24"/>
                <w:lang w:bidi="ar"/>
              </w:rPr>
              <w:t>税务注销“智能预检”实现全流程网上办</w:t>
            </w:r>
          </w:p>
        </w:tc>
        <w:tc>
          <w:tcPr>
            <w:tcW w:w="99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珠海市税务局</w:t>
            </w:r>
          </w:p>
        </w:tc>
        <w:tc>
          <w:tcPr>
            <w:tcW w:w="9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横琴新区税务局</w:t>
            </w:r>
          </w:p>
        </w:tc>
        <w:tc>
          <w:tcPr>
            <w:tcW w:w="550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横琴新区深入贯彻落实国家和税务系统“放管服”要求，优化推进企业税务注销办理改革。通过数据化手段实行常态化“智能预检”，定期对辖区企业进行全面“体检”，及时解决征管问题，避免注销时堆积问题影响业务办理时长。联合多部门推进“一门受理、信息共享、并行办理、全程监控”的商事注销集成服务。梳理形成简明清晰的注销流程图，辅助企业办事咨询。各相关部门在“注销网上服务专区”共享商事主体注销信息，迅速办理未结事项，强化部门联动机制加速非正常户出清。出台税务检查办法，力求执法效率和纳税人满意度双提升。探索税务注销后补缴税款、稳健审慎的承诺容缺注销机制等，实现税务注销流程办理质效的全面优化。</w:t>
            </w:r>
          </w:p>
        </w:tc>
        <w:tc>
          <w:tcPr>
            <w:tcW w:w="44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税务注销“智能预检”实现全流程网上办，通过优化注销流程、完善制度、优化办理方式等，有效地解决了以往注销办理流程复杂、提交材料繁多、检查风险较大、注销效率较低等堵点痛点，切实为税务注销业务提速增效。</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sz w:val="24"/>
                <w:szCs w:val="24"/>
              </w:rPr>
            </w:pPr>
            <w:r>
              <w:rPr>
                <w:rFonts w:hint="eastAsia" w:ascii="仿宋" w:hAnsi="仿宋" w:eastAsia="仿宋" w:cs="仿宋"/>
                <w:color w:val="000000"/>
                <w:spacing w:val="0"/>
                <w:kern w:val="0"/>
                <w:sz w:val="24"/>
                <w:szCs w:val="24"/>
                <w:lang w:bidi="ar"/>
              </w:rPr>
              <w:t>全市</w:t>
            </w:r>
          </w:p>
        </w:tc>
        <w:tc>
          <w:tcPr>
            <w:tcW w:w="13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5</w:t>
            </w:r>
          </w:p>
        </w:tc>
        <w:tc>
          <w:tcPr>
            <w:tcW w:w="104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b/>
                <w:bCs/>
                <w:color w:val="000000"/>
                <w:spacing w:val="0"/>
                <w:kern w:val="0"/>
                <w:sz w:val="24"/>
                <w:szCs w:val="24"/>
                <w:lang w:val="zh-CN" w:bidi="ar"/>
              </w:rPr>
            </w:pPr>
            <w:r>
              <w:rPr>
                <w:rFonts w:hint="eastAsia" w:ascii="仿宋" w:hAnsi="仿宋" w:eastAsia="仿宋" w:cs="仿宋"/>
                <w:b/>
                <w:bCs/>
                <w:color w:val="000000"/>
                <w:spacing w:val="0"/>
                <w:kern w:val="0"/>
                <w:sz w:val="24"/>
                <w:szCs w:val="24"/>
                <w:lang w:val="zh-CN" w:bidi="ar"/>
              </w:rPr>
              <w:t>创新实现个人股权转让涉税业务全程“链”上办</w:t>
            </w:r>
          </w:p>
        </w:tc>
        <w:tc>
          <w:tcPr>
            <w:tcW w:w="99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珠海市税务局</w:t>
            </w:r>
          </w:p>
        </w:tc>
        <w:tc>
          <w:tcPr>
            <w:tcW w:w="9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横琴新区税务局</w:t>
            </w:r>
          </w:p>
        </w:tc>
        <w:tc>
          <w:tcPr>
            <w:tcW w:w="550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left"/>
              <w:textAlignment w:val="center"/>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横琴新区税务部门创新运用区块链技术分布式数据存储、点对点传输、共识机制、加密算法等特点，让纳税人在确保数据安全可靠的基础上突破时空限制办理个人股权转让涉税业务。税务人员通过自然人电子税务局、V-Tax远程可视化办税平台接单完成申报缴款业务后，系统自动基于“区块链”技术生成“个人股东股权转让查验信息表”以代替“税款数额”等涉密字段数据，并通过赋予工商局查验权限，以部门间“数据流”代替“人跑腿”。</w:t>
            </w:r>
          </w:p>
        </w:tc>
        <w:tc>
          <w:tcPr>
            <w:tcW w:w="44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color w:val="000000"/>
                <w:spacing w:val="0"/>
                <w:kern w:val="0"/>
                <w:sz w:val="24"/>
                <w:szCs w:val="24"/>
                <w:lang w:val="zh-CN" w:bidi="ar"/>
              </w:rPr>
              <w:t>个人股权转让涉税业务“链上办”，最大程度减少了纳税人办税成本，简便和优化了个人股东股权转让涉税业务的流程。税务部门、市场主体登记部门与纳税人三方的信息共享，既保障了纳税人涉税信息的安全，又大幅压缩了三方办理业务时间成本，优化了个人股权转让“先完税</w:t>
            </w:r>
            <w:r>
              <w:rPr>
                <w:rFonts w:hint="eastAsia" w:ascii="仿宋" w:hAnsi="仿宋" w:eastAsia="仿宋" w:cs="仿宋"/>
                <w:color w:val="000000"/>
                <w:spacing w:val="-6"/>
                <w:kern w:val="0"/>
                <w:sz w:val="24"/>
                <w:szCs w:val="24"/>
                <w:lang w:val="zh-CN" w:bidi="ar"/>
              </w:rPr>
              <w:t>后登记”模式后续管理服务工作，强化了税务部门与市场主体登记部门间的监管合力。</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全市</w:t>
            </w:r>
          </w:p>
        </w:tc>
        <w:tc>
          <w:tcPr>
            <w:tcW w:w="13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6</w:t>
            </w:r>
          </w:p>
        </w:tc>
        <w:tc>
          <w:tcPr>
            <w:tcW w:w="1042"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b/>
                <w:bCs/>
                <w:color w:val="000000"/>
                <w:spacing w:val="0"/>
                <w:kern w:val="0"/>
                <w:sz w:val="24"/>
                <w:szCs w:val="24"/>
                <w:lang w:val="zh-CN" w:bidi="ar"/>
              </w:rPr>
            </w:pPr>
            <w:r>
              <w:rPr>
                <w:rFonts w:hint="eastAsia" w:ascii="仿宋" w:hAnsi="仿宋" w:eastAsia="仿宋" w:cs="仿宋"/>
                <w:b/>
                <w:bCs/>
                <w:color w:val="000000"/>
                <w:spacing w:val="0"/>
                <w:kern w:val="0"/>
                <w:sz w:val="24"/>
                <w:szCs w:val="24"/>
                <w:lang w:val="zh-CN" w:bidi="ar"/>
              </w:rPr>
              <w:t>不动产租赁全程线上委托代开发票新模式</w:t>
            </w:r>
          </w:p>
        </w:tc>
        <w:tc>
          <w:tcPr>
            <w:tcW w:w="99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珠海市税务局</w:t>
            </w:r>
          </w:p>
        </w:tc>
        <w:tc>
          <w:tcPr>
            <w:tcW w:w="94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横琴新区税务局</w:t>
            </w:r>
          </w:p>
        </w:tc>
        <w:tc>
          <w:tcPr>
            <w:tcW w:w="5505" w:type="dxa"/>
            <w:gridSpan w:val="3"/>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left"/>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横琴新区税务局结合横琴不动产租赁代开发票实际情况，经过向广东省税务局沟通争取，通过在电子税务局开发不动产租赁委托代开发票功能，全省首个试点实现优化不动产租赁代开发票业务全程网上办。在原有的基础上，增加授权申请与确认功能，明晰授权与被授权权责关系，业主可通过该功能授权给承租方或第三方代理人，由承租方或第三方代理人代为申请开具不动产租赁发票。</w:t>
            </w:r>
          </w:p>
        </w:tc>
        <w:tc>
          <w:tcPr>
            <w:tcW w:w="446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color w:val="000000"/>
                <w:spacing w:val="0"/>
                <w:kern w:val="0"/>
                <w:sz w:val="24"/>
                <w:szCs w:val="24"/>
                <w:lang w:val="zh-CN" w:bidi="ar"/>
              </w:rPr>
              <w:t>不动产租赁委托代开发票新模式，从纳税人需求出发，针对纳税人办税的实际情况，践行了最大限度便利纳税人的理念，突破线下办理的限制，开创发票代开新方式，减轻纳税人的交易时间、人力成本，有力推进粤港澳大湾区内资本要素的自由流动，推动大湾区融合发展，为港澳居民在横琴置业发展提供便利。</w:t>
            </w:r>
          </w:p>
        </w:tc>
        <w:tc>
          <w:tcPr>
            <w:tcW w:w="123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全市</w:t>
            </w:r>
          </w:p>
        </w:tc>
        <w:tc>
          <w:tcPr>
            <w:tcW w:w="1316"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center" w:pos="109"/>
              </w:tabs>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spacing w:val="0"/>
                <w:sz w:val="24"/>
                <w:szCs w:val="24"/>
              </w:rPr>
            </w:pPr>
            <w:r>
              <w:rPr>
                <w:rFonts w:hint="eastAsia" w:ascii="仿宋" w:hAnsi="仿宋" w:eastAsia="仿宋" w:cs="仿宋"/>
                <w:color w:val="000000"/>
                <w:spacing w:val="0"/>
                <w:kern w:val="0"/>
                <w:sz w:val="24"/>
                <w:szCs w:val="24"/>
                <w:lang w:bidi="ar"/>
              </w:rPr>
              <w:t>7</w:t>
            </w:r>
          </w:p>
        </w:tc>
        <w:tc>
          <w:tcPr>
            <w:tcW w:w="1042"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b/>
                <w:bCs/>
                <w:color w:val="000000"/>
                <w:spacing w:val="0"/>
                <w:kern w:val="0"/>
                <w:sz w:val="24"/>
                <w:szCs w:val="24"/>
                <w:lang w:val="zh-CN" w:bidi="ar"/>
              </w:rPr>
            </w:pPr>
            <w:r>
              <w:rPr>
                <w:rFonts w:hint="eastAsia" w:ascii="仿宋" w:hAnsi="仿宋" w:eastAsia="仿宋" w:cs="仿宋"/>
                <w:b/>
                <w:bCs/>
                <w:color w:val="000000"/>
                <w:spacing w:val="0"/>
                <w:kern w:val="0"/>
                <w:sz w:val="24"/>
                <w:szCs w:val="24"/>
                <w:lang w:val="zh-CN" w:bidi="ar"/>
              </w:rPr>
              <w:t>首创内地赴澳门务工人员可在横琴参加职工基本养老保险</w:t>
            </w:r>
          </w:p>
        </w:tc>
        <w:tc>
          <w:tcPr>
            <w:tcW w:w="99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市人力资源社会保障局，</w:t>
            </w:r>
          </w:p>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珠海市税务局</w:t>
            </w:r>
          </w:p>
        </w:tc>
        <w:tc>
          <w:tcPr>
            <w:tcW w:w="94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横琴新区社会事业局，</w:t>
            </w:r>
          </w:p>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横琴新区税务局</w:t>
            </w:r>
          </w:p>
        </w:tc>
        <w:tc>
          <w:tcPr>
            <w:tcW w:w="5505" w:type="dxa"/>
            <w:gridSpan w:val="3"/>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color w:val="000000"/>
                <w:spacing w:val="0"/>
                <w:kern w:val="0"/>
                <w:sz w:val="24"/>
                <w:szCs w:val="24"/>
                <w:lang w:val="zh-CN" w:bidi="ar"/>
              </w:rPr>
              <w:t>横琴新区积极推动粤澳人社领域互利合作，落实湾区“社保通”工程，将内地赴澳门务工人员在澳门工作经历视同在大湾区工作经历，允许其选择在横琴以灵活就业人员身份参加职工基本养老保险，弥补澳门人力资源短缺现状，支持澳门更好融入国家发展大局。横琴新区税务部门通过设立专项办理通道、提供邮寄服务、指定接收资料点等多种具体措施，确保内地赴澳门务工人员参保业务快速办结。</w:t>
            </w:r>
          </w:p>
        </w:tc>
        <w:tc>
          <w:tcPr>
            <w:tcW w:w="446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16" w:lineRule="auto"/>
              <w:ind w:firstLine="480" w:firstLineChars="200"/>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color w:val="000000"/>
                <w:spacing w:val="0"/>
                <w:kern w:val="0"/>
                <w:sz w:val="24"/>
                <w:szCs w:val="24"/>
                <w:lang w:val="zh-CN" w:bidi="ar"/>
              </w:rPr>
              <w:t>该项创新突破以往因内地城市（珠海市外）赴澳门务工人员劳动关系在澳门，受既有规定限制无法通过珠海市用工企业代扣代缴职工基本养老保险，或不能参照珠海市户籍居民以灵活就业人员身份在珠海市内办理职工基本养老保险参保的限制，率先开展内地赴澳门务工人员参保试点工作，支持内地赴澳门务工人员可凭本人有效期内的澳门特别行政区外地雇员身份认别证以及身份证明材料，在横琴新区以灵活就业人员身份参加企业职工基本养老保险。</w:t>
            </w:r>
          </w:p>
        </w:tc>
        <w:tc>
          <w:tcPr>
            <w:tcW w:w="123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全市</w:t>
            </w:r>
          </w:p>
        </w:tc>
        <w:tc>
          <w:tcPr>
            <w:tcW w:w="1316"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spacing w:val="0"/>
                <w:sz w:val="24"/>
                <w:szCs w:val="24"/>
              </w:rPr>
            </w:pPr>
            <w:r>
              <w:rPr>
                <w:rFonts w:hint="eastAsia" w:ascii="仿宋" w:hAnsi="仿宋" w:eastAsia="仿宋" w:cs="仿宋"/>
                <w:color w:val="000000"/>
                <w:spacing w:val="0"/>
                <w:kern w:val="0"/>
                <w:sz w:val="24"/>
                <w:szCs w:val="24"/>
                <w:lang w:bidi="ar"/>
              </w:rPr>
              <w:t>8</w:t>
            </w:r>
          </w:p>
        </w:tc>
        <w:tc>
          <w:tcPr>
            <w:tcW w:w="1042"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b/>
                <w:bCs/>
                <w:color w:val="000000"/>
                <w:spacing w:val="0"/>
                <w:kern w:val="0"/>
                <w:sz w:val="24"/>
                <w:szCs w:val="24"/>
                <w:lang w:val="zh-CN" w:bidi="ar"/>
              </w:rPr>
            </w:pPr>
            <w:r>
              <w:rPr>
                <w:rFonts w:hint="eastAsia" w:ascii="仿宋" w:hAnsi="仿宋" w:eastAsia="仿宋" w:cs="仿宋"/>
                <w:b/>
                <w:bCs/>
                <w:color w:val="000000"/>
                <w:spacing w:val="0"/>
                <w:kern w:val="0"/>
                <w:sz w:val="24"/>
                <w:szCs w:val="24"/>
                <w:lang w:val="zh-CN" w:bidi="ar"/>
              </w:rPr>
              <w:t>常住横琴澳门居民医保中银“一站通”业务</w:t>
            </w:r>
          </w:p>
        </w:tc>
        <w:tc>
          <w:tcPr>
            <w:tcW w:w="99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市医保局，</w:t>
            </w:r>
          </w:p>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珠海市税务局</w:t>
            </w:r>
          </w:p>
        </w:tc>
        <w:tc>
          <w:tcPr>
            <w:tcW w:w="94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横琴新区社会</w:t>
            </w:r>
            <w:r>
              <w:rPr>
                <w:rFonts w:hint="eastAsia" w:ascii="仿宋" w:hAnsi="仿宋" w:eastAsia="仿宋" w:cs="仿宋"/>
                <w:color w:val="000000"/>
                <w:kern w:val="0"/>
                <w:sz w:val="24"/>
                <w:szCs w:val="24"/>
                <w:highlight w:val="none"/>
                <w:lang w:bidi="ar"/>
              </w:rPr>
              <w:t>事业局</w:t>
            </w:r>
            <w:r>
              <w:rPr>
                <w:rFonts w:hint="eastAsia" w:ascii="仿宋" w:hAnsi="仿宋" w:eastAsia="仿宋" w:cs="仿宋"/>
                <w:color w:val="auto"/>
                <w:spacing w:val="0"/>
                <w:kern w:val="0"/>
                <w:sz w:val="24"/>
                <w:szCs w:val="24"/>
                <w:lang w:bidi="ar"/>
              </w:rPr>
              <w:t>，</w:t>
            </w:r>
          </w:p>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横琴新区税务局</w:t>
            </w:r>
          </w:p>
        </w:tc>
        <w:tc>
          <w:tcPr>
            <w:tcW w:w="5505" w:type="dxa"/>
            <w:gridSpan w:val="3"/>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color w:val="000000"/>
                <w:spacing w:val="0"/>
                <w:kern w:val="0"/>
                <w:sz w:val="24"/>
                <w:szCs w:val="24"/>
                <w:lang w:val="zh-CN" w:bidi="ar"/>
              </w:rPr>
              <w:t>为落实2019年6月珠海市人民政府印发的《关于常住横琴的澳门居民参加珠海市基本医疗保险试点有关问题的通知》，中国银行横琴分行率先为常住横琴的澳门居民办理社会保障卡提供银行医保“一站式”服务，澳门居民在珠海参保由原来需跑“社保局、税务局、银行、定点门诊”等4个部门、耗时20余个工作日，整合为医保中银“一站通”服务，办理时长缩减至1小时，极大便利澳门居民来横琴学习、就业、创业及生活。</w:t>
            </w:r>
          </w:p>
        </w:tc>
        <w:tc>
          <w:tcPr>
            <w:tcW w:w="446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color w:val="000000"/>
                <w:spacing w:val="0"/>
                <w:kern w:val="0"/>
                <w:sz w:val="24"/>
                <w:szCs w:val="24"/>
                <w:lang w:val="zh-CN" w:bidi="ar"/>
              </w:rPr>
              <w:t>该创新举措作为全国首个相关试点工程，将澳门居民参保原先需分别到社保局、税务局、银行、定点门诊办理手续，统一整合到横琴中行“一站式“办理，解决传统业务流程繁琐难点，参保居民由原来需等待20余个工作日缩短为1小时内办妥用卡，极大便利参保居民生活就医，吸引更多澳门居民来横琴生活工作。</w:t>
            </w:r>
          </w:p>
        </w:tc>
        <w:tc>
          <w:tcPr>
            <w:tcW w:w="123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全市</w:t>
            </w:r>
          </w:p>
        </w:tc>
        <w:tc>
          <w:tcPr>
            <w:tcW w:w="1316"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8"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sz w:val="24"/>
                <w:szCs w:val="24"/>
              </w:rPr>
            </w:pPr>
            <w:r>
              <w:rPr>
                <w:rFonts w:hint="eastAsia" w:ascii="仿宋" w:hAnsi="仿宋" w:eastAsia="仿宋" w:cs="仿宋"/>
                <w:color w:val="000000"/>
                <w:spacing w:val="0"/>
                <w:sz w:val="24"/>
                <w:szCs w:val="24"/>
              </w:rPr>
              <w:t>9</w:t>
            </w:r>
          </w:p>
        </w:tc>
        <w:tc>
          <w:tcPr>
            <w:tcW w:w="1042"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b/>
                <w:bCs/>
                <w:color w:val="000000"/>
                <w:spacing w:val="0"/>
                <w:kern w:val="0"/>
                <w:sz w:val="24"/>
                <w:szCs w:val="24"/>
                <w:lang w:val="zh-CN" w:bidi="ar"/>
              </w:rPr>
            </w:pPr>
            <w:r>
              <w:rPr>
                <w:rFonts w:hint="eastAsia" w:ascii="仿宋" w:hAnsi="仿宋" w:eastAsia="仿宋" w:cs="仿宋"/>
                <w:b/>
                <w:bCs/>
                <w:color w:val="000000"/>
                <w:spacing w:val="0"/>
                <w:kern w:val="0"/>
                <w:sz w:val="24"/>
                <w:szCs w:val="24"/>
                <w:lang w:val="zh-CN" w:bidi="ar"/>
              </w:rPr>
              <w:t>横琴携手澳门构建国际化知识产权全链条保护体系</w:t>
            </w:r>
          </w:p>
        </w:tc>
        <w:tc>
          <w:tcPr>
            <w:tcW w:w="99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val="zh-CN" w:bidi="ar"/>
              </w:rPr>
              <w:t>市市场监管局</w:t>
            </w:r>
          </w:p>
        </w:tc>
        <w:tc>
          <w:tcPr>
            <w:tcW w:w="94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val="zh-CN" w:bidi="ar"/>
              </w:rPr>
              <w:t>横琴新区市场监管局</w:t>
            </w:r>
          </w:p>
        </w:tc>
        <w:tc>
          <w:tcPr>
            <w:tcW w:w="5505" w:type="dxa"/>
            <w:gridSpan w:val="3"/>
            <w:tcBorders>
              <w:left w:val="single" w:color="auto" w:sz="4" w:space="0"/>
              <w:right w:val="single" w:color="auto" w:sz="4" w:space="0"/>
            </w:tcBorders>
            <w:noWrap w:val="0"/>
            <w:vAlign w:val="center"/>
          </w:tcPr>
          <w:p>
            <w:pPr>
              <w:widowControl w:val="0"/>
              <w:snapToGrid w:val="0"/>
              <w:spacing w:line="240" w:lineRule="auto"/>
              <w:ind w:firstLine="480" w:firstLineChars="200"/>
              <w:textAlignment w:val="center"/>
              <w:rPr>
                <w:rFonts w:hint="eastAsia" w:ascii="仿宋" w:hAnsi="仿宋" w:eastAsia="仿宋" w:cs="仿宋"/>
                <w:color w:val="000000"/>
                <w:kern w:val="0"/>
                <w:sz w:val="24"/>
                <w:szCs w:val="24"/>
                <w:lang w:val="zh-CN" w:bidi="ar"/>
              </w:rPr>
            </w:pPr>
            <w:r>
              <w:rPr>
                <w:rFonts w:hint="eastAsia" w:ascii="仿宋" w:hAnsi="仿宋" w:eastAsia="仿宋" w:cs="仿宋"/>
                <w:color w:val="000000"/>
                <w:spacing w:val="0"/>
                <w:kern w:val="0"/>
                <w:sz w:val="24"/>
                <w:szCs w:val="24"/>
                <w:lang w:val="zh-CN" w:bidi="ar"/>
              </w:rPr>
              <w:t>横琴新区携手澳门构建国际化知识产权全链条保护体系，推进琴澳知识产权保护规则“软联通”，打造横琴粤澳深度合作知识产权保护高地。通过对标“知识产权创造、运用、保护、管理、服务全链条”保护，进一步深化知识产权注册、培育、使用和交易、保护、法治保障五环节工作；在加强跨境知识产权保护协作机制建设方面，建立健全琴澳知识产权领域规则对接制度，充分发挥澳门社团组织在知识产权保护中的作用，推进粤澳深度合作区建设；通过完善知识产权保护与服务，支撑横琴科技创新、特色金融、医疗健康、跨境商贸、文旅会展、专业服务为代表的现代产业创新发展；在完善知识产权保护和服务、建立多元化知识产权纠纷调解和维权援助机制、健全知识产权侵权赔偿性制度、行政保护与司法保护相衔接等方面的具体举措。</w:t>
            </w:r>
          </w:p>
        </w:tc>
        <w:tc>
          <w:tcPr>
            <w:tcW w:w="446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color w:val="000000"/>
                <w:spacing w:val="0"/>
                <w:kern w:val="0"/>
                <w:sz w:val="24"/>
                <w:szCs w:val="24"/>
                <w:lang w:val="zh-CN" w:bidi="ar"/>
              </w:rPr>
              <w:t>在该体系下，横琴携手澳门构建起国际化知识产权全链条保护体系，成效显著。一是构建了“政府引导、企业主体、社会参与、国际联动”的知识产权联合保护机制。二是知识产权注册、培育、使用和交易、保护及法制保障取得明显成效。</w:t>
            </w:r>
          </w:p>
          <w:p>
            <w:pPr>
              <w:widowControl w:val="0"/>
              <w:snapToGrid w:val="0"/>
              <w:spacing w:line="240" w:lineRule="auto"/>
              <w:ind w:firstLine="480" w:firstLineChars="200"/>
              <w:textAlignment w:val="center"/>
              <w:rPr>
                <w:rFonts w:hint="eastAsia" w:ascii="仿宋" w:hAnsi="仿宋" w:eastAsia="仿宋" w:cs="仿宋"/>
                <w:color w:val="000000"/>
                <w:kern w:val="0"/>
                <w:sz w:val="24"/>
                <w:szCs w:val="24"/>
                <w:lang w:val="zh-CN" w:bidi="ar"/>
              </w:rPr>
            </w:pPr>
            <w:r>
              <w:rPr>
                <w:rFonts w:hint="eastAsia" w:ascii="仿宋" w:hAnsi="仿宋" w:eastAsia="仿宋" w:cs="仿宋"/>
                <w:color w:val="000000"/>
                <w:spacing w:val="0"/>
                <w:kern w:val="0"/>
                <w:sz w:val="24"/>
                <w:szCs w:val="24"/>
                <w:lang w:val="zh-CN" w:bidi="ar"/>
              </w:rPr>
              <w:t>截至2020年底，横琴商标受理窗口共受理商标注册业务7853件，受理涉澳商标申请业务577件，其中上线首个金融创新知识产权运营交易国家平台，建立了线上知识产权质押融资业务模块，探索建立覆盖澳门的知识产权质押融资市场化业务</w:t>
            </w:r>
            <w:r>
              <w:rPr>
                <w:rFonts w:hint="eastAsia" w:ascii="仿宋" w:hAnsi="仿宋" w:eastAsia="仿宋" w:cs="仿宋"/>
                <w:color w:val="000000"/>
                <w:spacing w:val="0"/>
                <w:kern w:val="0"/>
                <w:sz w:val="24"/>
                <w:szCs w:val="24"/>
                <w:lang w:bidi="ar"/>
              </w:rPr>
              <w:t>新</w:t>
            </w:r>
            <w:r>
              <w:rPr>
                <w:rFonts w:hint="eastAsia" w:ascii="仿宋" w:hAnsi="仿宋" w:eastAsia="仿宋" w:cs="仿宋"/>
                <w:color w:val="000000"/>
                <w:spacing w:val="0"/>
                <w:kern w:val="0"/>
                <w:sz w:val="24"/>
                <w:szCs w:val="24"/>
                <w:lang w:val="zh-CN" w:bidi="ar"/>
              </w:rPr>
              <w:t>模式。</w:t>
            </w:r>
          </w:p>
        </w:tc>
        <w:tc>
          <w:tcPr>
            <w:tcW w:w="123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全市</w:t>
            </w:r>
          </w:p>
        </w:tc>
        <w:tc>
          <w:tcPr>
            <w:tcW w:w="1316"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10</w:t>
            </w:r>
          </w:p>
        </w:tc>
        <w:tc>
          <w:tcPr>
            <w:tcW w:w="1042"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center"/>
              <w:rPr>
                <w:rFonts w:hint="eastAsia" w:ascii="仿宋" w:hAnsi="仿宋" w:eastAsia="仿宋" w:cs="仿宋"/>
                <w:b/>
                <w:bCs/>
                <w:color w:val="000000"/>
                <w:spacing w:val="0"/>
                <w:kern w:val="0"/>
                <w:sz w:val="24"/>
                <w:szCs w:val="24"/>
                <w:lang w:val="zh-CN" w:bidi="ar"/>
              </w:rPr>
            </w:pPr>
            <w:r>
              <w:rPr>
                <w:rFonts w:hint="eastAsia" w:ascii="仿宋" w:hAnsi="仿宋" w:eastAsia="仿宋" w:cs="仿宋"/>
                <w:b/>
                <w:bCs/>
                <w:color w:val="000000"/>
                <w:spacing w:val="0"/>
                <w:kern w:val="0"/>
                <w:sz w:val="24"/>
                <w:szCs w:val="24"/>
                <w:lang w:val="zh-CN" w:bidi="ar"/>
              </w:rPr>
              <w:t>横琴“跨境消费通”公益咨询</w:t>
            </w:r>
          </w:p>
        </w:tc>
        <w:tc>
          <w:tcPr>
            <w:tcW w:w="99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val="zh-CN" w:bidi="ar"/>
              </w:rPr>
              <w:t>市市场监管局</w:t>
            </w:r>
          </w:p>
        </w:tc>
        <w:tc>
          <w:tcPr>
            <w:tcW w:w="94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color w:val="000000"/>
                <w:spacing w:val="0"/>
                <w:kern w:val="0"/>
                <w:sz w:val="24"/>
                <w:szCs w:val="24"/>
                <w:lang w:val="zh-CN" w:bidi="ar"/>
              </w:rPr>
              <w:t>横琴新区市场监管局</w:t>
            </w:r>
          </w:p>
        </w:tc>
        <w:tc>
          <w:tcPr>
            <w:tcW w:w="5505" w:type="dxa"/>
            <w:gridSpan w:val="3"/>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color w:val="000000"/>
                <w:spacing w:val="0"/>
                <w:kern w:val="0"/>
                <w:sz w:val="24"/>
                <w:szCs w:val="24"/>
                <w:lang w:val="zh-CN" w:bidi="ar"/>
              </w:rPr>
              <w:t>为突出横琴新区粤澳深度合作区的功能定位，及时帮助粤港澳三地消费者解答跨境消费咨询等法律问题，把矛盾纠纷尽量解决在消费前端，并为消费者发生跨境纠纷后提供维权指引，由横琴消协和内地与港澳联营的律师事务所签订合作协议，聘请粤港澳三地消费领域法律专家团队，对港澳居民在内地以及内地居民在港澳地区进行跨境消费时，及时提供公益咨询服务及维权程序指引，消费者可通过热线电话0756-8823315及珠海市横琴新区消费者协会微信公众咨询端口和留言页面进行留言咨询，将有粤港澳三地消费领域律师团队进行接待咨询，提出解决方案以及进行现场消费调解。</w:t>
            </w:r>
          </w:p>
        </w:tc>
        <w:tc>
          <w:tcPr>
            <w:tcW w:w="446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color w:val="000000"/>
                <w:spacing w:val="0"/>
                <w:kern w:val="0"/>
                <w:sz w:val="24"/>
                <w:szCs w:val="24"/>
                <w:lang w:val="zh-CN" w:bidi="ar"/>
              </w:rPr>
              <w:t>该项目是横琴新区充分</w:t>
            </w:r>
            <w:r>
              <w:rPr>
                <w:rFonts w:hint="eastAsia" w:ascii="仿宋" w:hAnsi="仿宋" w:eastAsia="仿宋" w:cs="仿宋"/>
                <w:color w:val="000000"/>
                <w:spacing w:val="0"/>
                <w:kern w:val="0"/>
                <w:sz w:val="24"/>
                <w:szCs w:val="24"/>
                <w:lang w:bidi="ar"/>
              </w:rPr>
              <w:t>发挥</w:t>
            </w:r>
            <w:r>
              <w:rPr>
                <w:rFonts w:hint="eastAsia" w:ascii="仿宋" w:hAnsi="仿宋" w:eastAsia="仿宋" w:cs="仿宋"/>
                <w:color w:val="000000"/>
                <w:spacing w:val="0"/>
                <w:kern w:val="0"/>
                <w:sz w:val="24"/>
                <w:szCs w:val="24"/>
                <w:lang w:val="zh-CN" w:bidi="ar"/>
              </w:rPr>
              <w:t>自贸区制度创新优势，在与澳门跨境消费维权领域共商共建共管新机制的基础上，推出的又一项跨境消费便民服务创新举措。一是深化了内地与港澳消费者进行跨境消费时自身利益保护，提升跨境消费体验、畅通跨境消费，促进横琴与港澳要素便捷流动。二是横琴新区贯彻落实党中央、国务院关于完善促进消费体制机制，建立高标准市场体系等决策部署的重要举措，在推动琴澳民生加快融合发展等方面具有重要意义。</w:t>
            </w:r>
          </w:p>
        </w:tc>
        <w:tc>
          <w:tcPr>
            <w:tcW w:w="123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全市</w:t>
            </w:r>
          </w:p>
        </w:tc>
        <w:tc>
          <w:tcPr>
            <w:tcW w:w="1316"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rPr>
                <w:rFonts w:hint="eastAsia" w:ascii="仿宋" w:hAnsi="仿宋" w:eastAsia="仿宋" w:cs="仿宋"/>
                <w:color w:val="000000"/>
                <w:spacing w:val="0"/>
                <w:kern w:val="0"/>
                <w:sz w:val="24"/>
                <w:szCs w:val="24"/>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center" w:pos="109"/>
              </w:tabs>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11</w:t>
            </w:r>
          </w:p>
        </w:tc>
        <w:tc>
          <w:tcPr>
            <w:tcW w:w="1037"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b/>
                <w:bCs/>
                <w:color w:val="000000"/>
                <w:spacing w:val="0"/>
                <w:kern w:val="0"/>
                <w:sz w:val="24"/>
                <w:szCs w:val="24"/>
                <w:lang w:val="zh-CN" w:bidi="ar"/>
              </w:rPr>
            </w:pPr>
            <w:r>
              <w:rPr>
                <w:rFonts w:hint="eastAsia" w:ascii="仿宋" w:hAnsi="仿宋" w:eastAsia="仿宋" w:cs="仿宋"/>
                <w:b/>
                <w:bCs/>
                <w:color w:val="000000"/>
                <w:spacing w:val="0"/>
                <w:kern w:val="0"/>
                <w:sz w:val="24"/>
                <w:szCs w:val="24"/>
                <w:lang w:val="zh-CN" w:bidi="ar"/>
              </w:rPr>
              <w:t>横琴新区“跨境政务服务平台”</w:t>
            </w:r>
          </w:p>
        </w:tc>
        <w:tc>
          <w:tcPr>
            <w:tcW w:w="99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市政务服务数据管理局</w:t>
            </w:r>
          </w:p>
        </w:tc>
        <w:tc>
          <w:tcPr>
            <w:tcW w:w="955" w:type="dxa"/>
            <w:gridSpan w:val="3"/>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横琴新区科技创新和商务局</w:t>
            </w:r>
          </w:p>
        </w:tc>
        <w:tc>
          <w:tcPr>
            <w:tcW w:w="550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color w:val="000000"/>
                <w:spacing w:val="0"/>
                <w:kern w:val="0"/>
                <w:sz w:val="24"/>
                <w:szCs w:val="24"/>
                <w:lang w:val="zh-CN" w:bidi="ar"/>
              </w:rPr>
              <w:t>横琴新区“跨境政务服务平台”由珠海横琴新区科技创新和商务局联手港澳打破地域界限，突破三地政务的“行政壁垒”，倾力打造全国首个面向港澳企业及群众提供一站式通办的线上政务服务平台。该平台作为全国优化营商环境案例的跨境服务延伸，旨在便利澳门、香港企业及居民在横琴享用与内地居民相同的政务服务、公共服务及方便其在港澳办公、生活等。目前，港澳企业及个人通过这个平台，足不</w:t>
            </w:r>
            <w:r>
              <w:rPr>
                <w:rFonts w:hint="eastAsia" w:ascii="仿宋" w:hAnsi="仿宋" w:eastAsia="仿宋" w:cs="仿宋"/>
                <w:color w:val="000000"/>
                <w:spacing w:val="0"/>
                <w:kern w:val="0"/>
                <w:sz w:val="24"/>
                <w:szCs w:val="24"/>
                <w:lang w:bidi="ar"/>
              </w:rPr>
              <w:t>出</w:t>
            </w:r>
            <w:r>
              <w:rPr>
                <w:rFonts w:hint="eastAsia" w:ascii="仿宋" w:hAnsi="仿宋" w:eastAsia="仿宋" w:cs="仿宋"/>
                <w:color w:val="000000"/>
                <w:spacing w:val="0"/>
                <w:kern w:val="0"/>
                <w:sz w:val="24"/>
                <w:szCs w:val="24"/>
                <w:lang w:val="zh-CN" w:bidi="ar"/>
              </w:rPr>
              <w:t>境即可线上办理澳门单牌车申请、不动产登记、人才奖励、公证等240项政务服务事项。</w:t>
            </w:r>
          </w:p>
        </w:tc>
        <w:tc>
          <w:tcPr>
            <w:tcW w:w="446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16" w:lineRule="auto"/>
              <w:ind w:firstLine="480" w:firstLineChars="200"/>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color w:val="000000"/>
                <w:spacing w:val="0"/>
                <w:kern w:val="0"/>
                <w:sz w:val="24"/>
                <w:szCs w:val="24"/>
                <w:lang w:val="zh-CN" w:bidi="ar"/>
              </w:rPr>
              <w:t>“跨境政务服务平台”作为全国首个面向港澳企业及群众提供一站式通办的线上政务服务平台，通过创新政务跨境区块链应用，凭借其去中心化存储,信息高度透明,不宜篡改，加密安全性高等特点,起到了推动政务服务更加智能化,促进政府信息的公开、共享与业务协同办理,深化“最多跑一次”改革,为港澳居民带来更好的政务服务体验。同时，</w:t>
            </w:r>
            <w:r>
              <w:rPr>
                <w:rFonts w:hint="eastAsia" w:ascii="仿宋" w:hAnsi="仿宋" w:eastAsia="仿宋" w:cs="仿宋"/>
                <w:color w:val="000000"/>
                <w:spacing w:val="0"/>
                <w:kern w:val="0"/>
                <w:sz w:val="24"/>
                <w:szCs w:val="24"/>
                <w:lang w:bidi="ar"/>
              </w:rPr>
              <w:t>该平台</w:t>
            </w:r>
            <w:r>
              <w:rPr>
                <w:rFonts w:hint="eastAsia" w:ascii="仿宋" w:hAnsi="仿宋" w:eastAsia="仿宋" w:cs="仿宋"/>
                <w:color w:val="000000"/>
                <w:spacing w:val="0"/>
                <w:kern w:val="0"/>
                <w:sz w:val="24"/>
                <w:szCs w:val="24"/>
                <w:lang w:val="zh-CN" w:bidi="ar"/>
              </w:rPr>
              <w:t>初步实现了政务服务的跨区域合作，为粤港澳大湾区城市群政务服务合作探索路径、积累经验，助力大湾区各城市政务服务上的全面对接，推进更深层次的产业协作和协同创新，跨境政务服务新模式的政务数据共享，建立跨部门、跨领域、全链条的联动机制，助推各行业各部门整合职能优势，切实推进大湾区城市间的深度融合。</w:t>
            </w:r>
          </w:p>
        </w:tc>
        <w:tc>
          <w:tcPr>
            <w:tcW w:w="123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全市</w:t>
            </w:r>
          </w:p>
        </w:tc>
        <w:tc>
          <w:tcPr>
            <w:tcW w:w="1316"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kern w:val="0"/>
                <w:sz w:val="24"/>
                <w:szCs w:val="24"/>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center" w:pos="109"/>
              </w:tabs>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12</w:t>
            </w:r>
          </w:p>
        </w:tc>
        <w:tc>
          <w:tcPr>
            <w:tcW w:w="1042"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b/>
                <w:bCs/>
                <w:color w:val="000000"/>
                <w:spacing w:val="0"/>
                <w:kern w:val="0"/>
                <w:sz w:val="24"/>
                <w:szCs w:val="24"/>
                <w:lang w:val="zh-CN" w:bidi="ar"/>
              </w:rPr>
            </w:pPr>
            <w:r>
              <w:rPr>
                <w:rFonts w:hint="eastAsia" w:ascii="仿宋" w:hAnsi="仿宋" w:eastAsia="仿宋" w:cs="仿宋"/>
                <w:b/>
                <w:bCs/>
                <w:color w:val="000000"/>
                <w:spacing w:val="0"/>
                <w:kern w:val="0"/>
                <w:sz w:val="24"/>
                <w:szCs w:val="24"/>
                <w:lang w:val="zh-CN" w:bidi="ar"/>
              </w:rPr>
              <w:t>跨境纠纷联合调解机制</w:t>
            </w:r>
          </w:p>
        </w:tc>
        <w:tc>
          <w:tcPr>
            <w:tcW w:w="99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市中级人民法院</w:t>
            </w:r>
          </w:p>
        </w:tc>
        <w:tc>
          <w:tcPr>
            <w:tcW w:w="94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横琴法院</w:t>
            </w:r>
          </w:p>
        </w:tc>
        <w:tc>
          <w:tcPr>
            <w:tcW w:w="550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color w:val="000000"/>
                <w:spacing w:val="0"/>
                <w:kern w:val="0"/>
                <w:sz w:val="24"/>
                <w:szCs w:val="24"/>
                <w:lang w:val="zh-CN" w:bidi="ar"/>
              </w:rPr>
              <w:t>创新推出跨境纠纷联合调解机制。紧跟粤港澳融合发展趋势，探索实践“内地调解员+港澳调解员”联合调解的工作模式，更加精准地</w:t>
            </w:r>
            <w:r>
              <w:rPr>
                <w:rFonts w:hint="eastAsia" w:ascii="仿宋" w:hAnsi="仿宋" w:eastAsia="仿宋" w:cs="仿宋"/>
                <w:color w:val="000000"/>
                <w:spacing w:val="0"/>
                <w:kern w:val="0"/>
                <w:sz w:val="24"/>
                <w:szCs w:val="24"/>
                <w:lang w:bidi="ar"/>
              </w:rPr>
              <w:t>响应</w:t>
            </w:r>
            <w:r>
              <w:rPr>
                <w:rFonts w:hint="eastAsia" w:ascii="仿宋" w:hAnsi="仿宋" w:eastAsia="仿宋" w:cs="仿宋"/>
                <w:color w:val="000000"/>
                <w:spacing w:val="0"/>
                <w:kern w:val="0"/>
                <w:sz w:val="24"/>
                <w:szCs w:val="24"/>
                <w:lang w:val="zh-CN" w:bidi="ar"/>
              </w:rPr>
              <w:t>境内外当事人的解纷需求。由横琴新区法院邀请内地调解员对接境内当事人，邀请港澳调解员对接境外当事人，通过线上或线下的方式同时做说服解释工作，增进当事人对调解员的信任，携手助推纠纷化解。</w:t>
            </w:r>
          </w:p>
        </w:tc>
        <w:tc>
          <w:tcPr>
            <w:tcW w:w="447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kern w:val="0"/>
                <w:sz w:val="24"/>
                <w:szCs w:val="24"/>
                <w:lang w:val="zh-CN" w:bidi="ar"/>
              </w:rPr>
            </w:pPr>
            <w:r>
              <w:rPr>
                <w:rFonts w:hint="eastAsia" w:ascii="仿宋" w:hAnsi="仿宋" w:eastAsia="仿宋" w:cs="仿宋"/>
                <w:color w:val="000000"/>
                <w:spacing w:val="0"/>
                <w:kern w:val="0"/>
                <w:sz w:val="24"/>
                <w:szCs w:val="24"/>
                <w:lang w:val="zh-CN" w:bidi="ar"/>
              </w:rPr>
              <w:t>跨境纠纷联合调解机制，通过精准地对接境内外当事人的多元司法需求，利于建立境外当事人对调解员的信任，营造公平、贴心的调解氛围，为未来粤澳合作中可能出现的跨境纠纷高效便捷化解作出了重要示范。</w:t>
            </w:r>
          </w:p>
        </w:tc>
        <w:tc>
          <w:tcPr>
            <w:tcW w:w="1235"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hint="eastAsia" w:ascii="仿宋" w:hAnsi="仿宋" w:eastAsia="仿宋" w:cs="仿宋"/>
                <w:color w:val="000000"/>
                <w:spacing w:val="0"/>
                <w:kern w:val="0"/>
                <w:sz w:val="24"/>
                <w:szCs w:val="24"/>
                <w:lang w:bidi="ar"/>
              </w:rPr>
            </w:pPr>
            <w:r>
              <w:rPr>
                <w:rFonts w:hint="eastAsia" w:ascii="仿宋" w:hAnsi="仿宋" w:eastAsia="仿宋" w:cs="仿宋"/>
                <w:color w:val="000000"/>
                <w:spacing w:val="0"/>
                <w:kern w:val="0"/>
                <w:sz w:val="24"/>
                <w:szCs w:val="24"/>
                <w:lang w:bidi="ar"/>
              </w:rPr>
              <w:t>全市</w:t>
            </w:r>
          </w:p>
        </w:tc>
        <w:tc>
          <w:tcPr>
            <w:tcW w:w="1316"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center"/>
              <w:rPr>
                <w:rFonts w:hint="eastAsia" w:ascii="仿宋" w:hAnsi="仿宋" w:eastAsia="仿宋" w:cs="仿宋"/>
                <w:color w:val="000000"/>
                <w:spacing w:val="0"/>
                <w:kern w:val="0"/>
                <w:sz w:val="24"/>
                <w:szCs w:val="24"/>
                <w:lang w:val="zh-CN" w:bidi="ar"/>
              </w:rPr>
            </w:pPr>
          </w:p>
        </w:tc>
      </w:tr>
      <w:bookmarkEnd w:id="1"/>
    </w:tbl>
    <w:p>
      <w:pPr>
        <w:keepNext w:val="0"/>
        <w:keepLines w:val="0"/>
        <w:pageBreakBefore w:val="0"/>
        <w:widowControl w:val="0"/>
        <w:kinsoku/>
        <w:wordWrap/>
        <w:overflowPunct/>
        <w:topLinePunct w:val="0"/>
        <w:autoSpaceDE/>
        <w:autoSpaceDN/>
        <w:bidi w:val="0"/>
        <w:adjustRightInd/>
        <w:snapToGrid w:val="0"/>
        <w:spacing w:line="240" w:lineRule="auto"/>
        <w:rPr>
          <w:rFonts w:hint="eastAsia" w:ascii="仿宋" w:hAnsi="仿宋" w:eastAsia="仿宋" w:cs="仿宋"/>
          <w:color w:val="000000"/>
          <w:sz w:val="24"/>
          <w:szCs w:val="24"/>
        </w:rPr>
      </w:pPr>
    </w:p>
    <w:p>
      <w:pPr>
        <w:pStyle w:val="2"/>
        <w:rPr>
          <w:rFonts w:hint="eastAsia" w:ascii="仿宋" w:hAnsi="仿宋" w:eastAsia="仿宋" w:cs="仿宋"/>
          <w:color w:val="000000"/>
          <w:sz w:val="24"/>
          <w:szCs w:val="24"/>
        </w:rPr>
      </w:pPr>
    </w:p>
    <w:p>
      <w:pPr>
        <w:pStyle w:val="2"/>
        <w:rPr>
          <w:rFonts w:hint="eastAsia" w:ascii="仿宋" w:hAnsi="仿宋" w:eastAsia="仿宋" w:cs="仿宋"/>
          <w:color w:val="000000"/>
          <w:sz w:val="24"/>
          <w:szCs w:val="24"/>
        </w:rPr>
      </w:pPr>
    </w:p>
    <w:p>
      <w:pPr>
        <w:pStyle w:val="2"/>
        <w:rPr>
          <w:rFonts w:hint="eastAsia" w:ascii="仿宋" w:hAnsi="仿宋" w:eastAsia="仿宋" w:cs="仿宋"/>
          <w:color w:val="000000"/>
          <w:sz w:val="24"/>
          <w:szCs w:val="24"/>
        </w:rPr>
      </w:pPr>
    </w:p>
    <w:p>
      <w:pPr>
        <w:pStyle w:val="2"/>
        <w:rPr>
          <w:rFonts w:hint="eastAsia" w:ascii="仿宋" w:hAnsi="仿宋" w:eastAsia="仿宋" w:cs="仿宋"/>
          <w:color w:val="000000"/>
          <w:sz w:val="24"/>
          <w:szCs w:val="24"/>
        </w:rPr>
      </w:pPr>
    </w:p>
    <w:p>
      <w:pPr>
        <w:pStyle w:val="2"/>
        <w:rPr>
          <w:rFonts w:hint="eastAsia" w:ascii="仿宋" w:hAnsi="仿宋" w:eastAsia="仿宋" w:cs="仿宋"/>
          <w:color w:val="000000"/>
          <w:sz w:val="24"/>
          <w:szCs w:val="24"/>
        </w:rPr>
      </w:pPr>
    </w:p>
    <w:p>
      <w:pPr>
        <w:pStyle w:val="2"/>
        <w:rPr>
          <w:rFonts w:hint="eastAsia" w:ascii="仿宋" w:hAnsi="仿宋" w:eastAsia="仿宋" w:cs="仿宋"/>
          <w:color w:val="000000"/>
          <w:sz w:val="24"/>
          <w:szCs w:val="24"/>
        </w:rPr>
      </w:pPr>
    </w:p>
    <w:p>
      <w:pPr>
        <w:pStyle w:val="2"/>
        <w:rPr>
          <w:rFonts w:hint="eastAsia" w:ascii="仿宋" w:hAnsi="仿宋" w:eastAsia="仿宋" w:cs="仿宋"/>
          <w:color w:val="000000"/>
          <w:sz w:val="24"/>
          <w:szCs w:val="24"/>
        </w:rPr>
      </w:pPr>
    </w:p>
    <w:p>
      <w:pPr>
        <w:pStyle w:val="2"/>
        <w:rPr>
          <w:rFonts w:hint="eastAsia" w:ascii="仿宋" w:hAnsi="仿宋" w:eastAsia="仿宋" w:cs="仿宋"/>
          <w:color w:val="000000"/>
          <w:sz w:val="24"/>
          <w:szCs w:val="24"/>
        </w:rPr>
      </w:pPr>
    </w:p>
    <w:p>
      <w:pPr>
        <w:pStyle w:val="2"/>
        <w:rPr>
          <w:rFonts w:hint="eastAsia" w:ascii="仿宋" w:hAnsi="仿宋" w:eastAsia="仿宋" w:cs="仿宋"/>
          <w:color w:val="000000"/>
          <w:sz w:val="24"/>
          <w:szCs w:val="24"/>
        </w:rPr>
        <w:sectPr>
          <w:footerReference r:id="rId5" w:type="default"/>
          <w:pgSz w:w="16838" w:h="11906" w:orient="landscape"/>
          <w:pgMar w:top="1134" w:right="567" w:bottom="1134" w:left="567" w:header="567" w:footer="567" w:gutter="0"/>
          <w:pgNumType w:fmt="decimal"/>
          <w:cols w:space="720" w:num="1"/>
          <w:rtlGutter w:val="0"/>
          <w:docGrid w:linePitch="312" w:charSpace="0"/>
        </w:sectPr>
      </w:pPr>
      <w:bookmarkStart w:id="2" w:name="_GoBack"/>
      <w:bookmarkEnd w:id="2"/>
    </w:p>
    <w:p>
      <w:pPr>
        <w:tabs>
          <w:tab w:val="left" w:pos="7584"/>
          <w:tab w:val="left" w:pos="7742"/>
        </w:tabs>
        <w:spacing w:line="579" w:lineRule="exact"/>
        <w:ind w:right="0" w:rightChars="0"/>
        <w:rPr>
          <w:rFonts w:hint="eastAsia" w:ascii="仿宋" w:hAnsi="仿宋" w:eastAsia="仿宋" w:cs="仿宋"/>
          <w:color w:val="000000"/>
          <w:sz w:val="24"/>
          <w:szCs w:val="24"/>
        </w:rPr>
      </w:pPr>
    </w:p>
    <w:sectPr>
      <w:footerReference r:id="rId6" w:type="default"/>
      <w:pgSz w:w="11906" w:h="16838"/>
      <w:pgMar w:top="567" w:right="1134" w:bottom="567" w:left="1134" w:header="567" w:footer="567" w:gutter="0"/>
      <w:pgNumType w:fmt="decimal"/>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pPr>
                      <w:pStyle w:val="5"/>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AXbURNwIAAG8EAAAOAAAAAAAAAAEAIAAAAB8BAABkcnMvZTJvRG9jLnht&#10;bFBLBQYAAAAABgAGAFkBAADIBQAAAAA=&#10;">
              <v:fill on="f" focussize="0,0"/>
              <v:stroke on="f" weight="0.5pt"/>
              <v:imagedata o:title=""/>
              <o:lock v:ext="edit" aspectratio="f"/>
              <v:textbox inset="0mm,0mm,0mm,0mm" style="mso-fit-shape-to-text:t;">
                <w:txbxContent>
                  <w:p>
                    <w:pPr>
                      <w:pStyle w:val="5"/>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nforcement="0"/>
  <w:defaultTabStop w:val="420"/>
  <w:hyphenationZone w:val="360"/>
  <w:drawingGridHorizontalSpacing w:val="210"/>
  <w:drawingGridVerticalSpacing w:val="156"/>
  <w:displayHorizontalDrawingGridEvery w:val="1"/>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71B"/>
    <w:rsid w:val="00233E26"/>
    <w:rsid w:val="0027196A"/>
    <w:rsid w:val="00332C7D"/>
    <w:rsid w:val="00451458"/>
    <w:rsid w:val="0046634A"/>
    <w:rsid w:val="004B308D"/>
    <w:rsid w:val="00535B86"/>
    <w:rsid w:val="00571D5C"/>
    <w:rsid w:val="006239F1"/>
    <w:rsid w:val="006B797E"/>
    <w:rsid w:val="006D1C28"/>
    <w:rsid w:val="00804BC6"/>
    <w:rsid w:val="008B5727"/>
    <w:rsid w:val="0093572E"/>
    <w:rsid w:val="009E1C9B"/>
    <w:rsid w:val="00A32B62"/>
    <w:rsid w:val="00A974C7"/>
    <w:rsid w:val="00AB127A"/>
    <w:rsid w:val="00AF3F31"/>
    <w:rsid w:val="00B86789"/>
    <w:rsid w:val="00C031A2"/>
    <w:rsid w:val="00D00929"/>
    <w:rsid w:val="00D319ED"/>
    <w:rsid w:val="00DD571B"/>
    <w:rsid w:val="00E2752F"/>
    <w:rsid w:val="00E80389"/>
    <w:rsid w:val="00F3770E"/>
    <w:rsid w:val="00F554E8"/>
    <w:rsid w:val="04583149"/>
    <w:rsid w:val="04AA6A10"/>
    <w:rsid w:val="0584348F"/>
    <w:rsid w:val="07EC6AA2"/>
    <w:rsid w:val="08F0212A"/>
    <w:rsid w:val="09A95E1E"/>
    <w:rsid w:val="0A4A457B"/>
    <w:rsid w:val="0A9A5E1B"/>
    <w:rsid w:val="0AF62B21"/>
    <w:rsid w:val="10486F7F"/>
    <w:rsid w:val="11CA01C9"/>
    <w:rsid w:val="12E52DEF"/>
    <w:rsid w:val="13B123A8"/>
    <w:rsid w:val="14401EDB"/>
    <w:rsid w:val="1467449D"/>
    <w:rsid w:val="170F37C9"/>
    <w:rsid w:val="19271ABB"/>
    <w:rsid w:val="195167D9"/>
    <w:rsid w:val="19ED4CB5"/>
    <w:rsid w:val="1AA9313E"/>
    <w:rsid w:val="1B3F691A"/>
    <w:rsid w:val="1BD71381"/>
    <w:rsid w:val="1C3E6110"/>
    <w:rsid w:val="1C682480"/>
    <w:rsid w:val="1CB84838"/>
    <w:rsid w:val="1D3D483A"/>
    <w:rsid w:val="1E5C0309"/>
    <w:rsid w:val="1E655DF4"/>
    <w:rsid w:val="1FD27E37"/>
    <w:rsid w:val="20EA34A9"/>
    <w:rsid w:val="21145F5E"/>
    <w:rsid w:val="22C21DC8"/>
    <w:rsid w:val="2306175F"/>
    <w:rsid w:val="23B22EF4"/>
    <w:rsid w:val="2496546E"/>
    <w:rsid w:val="24CA24B5"/>
    <w:rsid w:val="25C37D57"/>
    <w:rsid w:val="263E7EC5"/>
    <w:rsid w:val="28074274"/>
    <w:rsid w:val="285C59F4"/>
    <w:rsid w:val="28B63416"/>
    <w:rsid w:val="294B68CC"/>
    <w:rsid w:val="2A0645FD"/>
    <w:rsid w:val="2A4E0942"/>
    <w:rsid w:val="2B5466D7"/>
    <w:rsid w:val="2B6F4C30"/>
    <w:rsid w:val="2C251920"/>
    <w:rsid w:val="2C4E3A66"/>
    <w:rsid w:val="2C513BD8"/>
    <w:rsid w:val="2C587D64"/>
    <w:rsid w:val="2D3D69BA"/>
    <w:rsid w:val="3091177A"/>
    <w:rsid w:val="325244FB"/>
    <w:rsid w:val="33205294"/>
    <w:rsid w:val="334955B6"/>
    <w:rsid w:val="347B7D45"/>
    <w:rsid w:val="349B6E12"/>
    <w:rsid w:val="35EC77A4"/>
    <w:rsid w:val="3AB8358F"/>
    <w:rsid w:val="3AEC3966"/>
    <w:rsid w:val="3BE429D3"/>
    <w:rsid w:val="3C2763C5"/>
    <w:rsid w:val="3E57235C"/>
    <w:rsid w:val="3E690F3F"/>
    <w:rsid w:val="3EBC6982"/>
    <w:rsid w:val="3EEB6371"/>
    <w:rsid w:val="3F0455FE"/>
    <w:rsid w:val="3F7BA56D"/>
    <w:rsid w:val="40D53423"/>
    <w:rsid w:val="41333382"/>
    <w:rsid w:val="43FA2EFE"/>
    <w:rsid w:val="45BC2384"/>
    <w:rsid w:val="45FD4D2F"/>
    <w:rsid w:val="46591C62"/>
    <w:rsid w:val="47474015"/>
    <w:rsid w:val="47654315"/>
    <w:rsid w:val="47C17B37"/>
    <w:rsid w:val="482552DC"/>
    <w:rsid w:val="49DF6AAF"/>
    <w:rsid w:val="4A99553D"/>
    <w:rsid w:val="4CDF0F15"/>
    <w:rsid w:val="4D67293B"/>
    <w:rsid w:val="525424E3"/>
    <w:rsid w:val="552E3BCC"/>
    <w:rsid w:val="577FD5A7"/>
    <w:rsid w:val="582415A7"/>
    <w:rsid w:val="58EC1D70"/>
    <w:rsid w:val="59455438"/>
    <w:rsid w:val="5A0E7C0B"/>
    <w:rsid w:val="5A1B1F90"/>
    <w:rsid w:val="5AB45EC6"/>
    <w:rsid w:val="5D345117"/>
    <w:rsid w:val="5D6358A6"/>
    <w:rsid w:val="5E11502C"/>
    <w:rsid w:val="5F182A16"/>
    <w:rsid w:val="5F7C2E4D"/>
    <w:rsid w:val="5F8958CE"/>
    <w:rsid w:val="5F934BE4"/>
    <w:rsid w:val="602C29BD"/>
    <w:rsid w:val="605925D9"/>
    <w:rsid w:val="61711A18"/>
    <w:rsid w:val="61FC4E73"/>
    <w:rsid w:val="63093BD6"/>
    <w:rsid w:val="631A3484"/>
    <w:rsid w:val="63AE6E80"/>
    <w:rsid w:val="64CF43AA"/>
    <w:rsid w:val="65906B0F"/>
    <w:rsid w:val="66C51F70"/>
    <w:rsid w:val="68611C5D"/>
    <w:rsid w:val="68956789"/>
    <w:rsid w:val="689B08CC"/>
    <w:rsid w:val="6A0B7659"/>
    <w:rsid w:val="6A2B50C3"/>
    <w:rsid w:val="6B6303F0"/>
    <w:rsid w:val="6BB75990"/>
    <w:rsid w:val="6BEF1633"/>
    <w:rsid w:val="6D237147"/>
    <w:rsid w:val="6D51195D"/>
    <w:rsid w:val="6E090E53"/>
    <w:rsid w:val="6FEF4E74"/>
    <w:rsid w:val="7012067B"/>
    <w:rsid w:val="70222E59"/>
    <w:rsid w:val="707A5921"/>
    <w:rsid w:val="71D3573C"/>
    <w:rsid w:val="73FB6AA1"/>
    <w:rsid w:val="7449332A"/>
    <w:rsid w:val="74B600E1"/>
    <w:rsid w:val="7620285D"/>
    <w:rsid w:val="7720264E"/>
    <w:rsid w:val="774D5C98"/>
    <w:rsid w:val="77A47BC8"/>
    <w:rsid w:val="77FF5A29"/>
    <w:rsid w:val="79C86DD9"/>
    <w:rsid w:val="7A144C32"/>
    <w:rsid w:val="7C195D64"/>
    <w:rsid w:val="7C4D1853"/>
    <w:rsid w:val="7CDC5AA3"/>
    <w:rsid w:val="7DB7603B"/>
    <w:rsid w:val="7F3E2EE4"/>
    <w:rsid w:val="8BF10ACF"/>
    <w:rsid w:val="BFBE9AED"/>
    <w:rsid w:val="FDBADE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2"/>
    <w:basedOn w:val="1"/>
    <w:next w:val="1"/>
    <w:link w:val="10"/>
    <w:qFormat/>
    <w:uiPriority w:val="0"/>
    <w:pPr>
      <w:keepNext/>
      <w:keepLines/>
      <w:spacing w:before="260" w:after="260" w:line="416" w:lineRule="auto"/>
      <w:outlineLvl w:val="1"/>
    </w:pPr>
    <w:rPr>
      <w:rFonts w:ascii="仿宋_GB2312" w:hAnsi="仿宋_GB2312" w:eastAsia="仿宋_GB2312"/>
      <w:bCs/>
      <w:sz w:val="32"/>
      <w:szCs w:val="32"/>
    </w:rPr>
  </w:style>
  <w:style w:type="character" w:default="1" w:styleId="8">
    <w:name w:val="Default Paragraph Font"/>
    <w:unhideWhenUsed/>
    <w:qFormat/>
    <w:uiPriority w:val="1"/>
  </w:style>
  <w:style w:type="table" w:default="1" w:styleId="7">
    <w:name w:val="Normal Table"/>
    <w:unhideWhenUsed/>
    <w:qFormat/>
    <w:uiPriority w:val="99"/>
    <w:tblPr>
      <w:tblStyle w:val="7"/>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Times New Roman" w:hAnsi="Times New Roman"/>
    </w:rPr>
  </w:style>
  <w:style w:type="paragraph" w:styleId="4">
    <w:name w:val="Normal Indent"/>
    <w:basedOn w:val="1"/>
    <w:unhideWhenUsed/>
    <w:qFormat/>
    <w:uiPriority w:val="0"/>
    <w:pPr>
      <w:ind w:firstLine="420" w:firstLineChars="200"/>
    </w:pPr>
  </w:style>
  <w:style w:type="paragraph" w:styleId="5">
    <w:name w:val="footer"/>
    <w:basedOn w:val="1"/>
    <w:link w:val="11"/>
    <w:unhideWhenUsed/>
    <w:qFormat/>
    <w:uiPriority w:val="99"/>
    <w:pPr>
      <w:tabs>
        <w:tab w:val="center" w:pos="4153"/>
        <w:tab w:val="right" w:pos="8306"/>
      </w:tabs>
      <w:snapToGrid w:val="0"/>
      <w:jc w:val="left"/>
    </w:pPr>
    <w:rPr>
      <w:rFonts w:ascii="Times New Roman" w:hAnsi="Times New Roman"/>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rFonts w:ascii="Times New Roman" w:hAnsi="Times New Roman"/>
      <w:sz w:val="18"/>
      <w:szCs w:val="18"/>
    </w:rPr>
  </w:style>
  <w:style w:type="character" w:styleId="9">
    <w:name w:val="page number"/>
    <w:basedOn w:val="8"/>
    <w:unhideWhenUsed/>
    <w:qFormat/>
    <w:uiPriority w:val="99"/>
  </w:style>
  <w:style w:type="character" w:customStyle="1" w:styleId="10">
    <w:name w:val="标题 2 字符"/>
    <w:basedOn w:val="8"/>
    <w:link w:val="3"/>
    <w:qFormat/>
    <w:uiPriority w:val="99"/>
    <w:rPr>
      <w:rFonts w:ascii="仿宋_GB2312" w:hAnsi="仿宋_GB2312" w:eastAsia="仿宋_GB2312"/>
      <w:bCs/>
      <w:sz w:val="32"/>
      <w:szCs w:val="32"/>
    </w:rPr>
  </w:style>
  <w:style w:type="character" w:customStyle="1" w:styleId="11">
    <w:name w:val="页脚 字符"/>
    <w:link w:val="5"/>
    <w:qFormat/>
    <w:uiPriority w:val="99"/>
    <w:rPr>
      <w:rFonts w:ascii="Times New Roman" w:hAnsi="Times New Roman"/>
      <w:sz w:val="18"/>
      <w:szCs w:val="18"/>
    </w:rPr>
  </w:style>
  <w:style w:type="character" w:customStyle="1" w:styleId="12">
    <w:name w:val="页眉 字符"/>
    <w:link w:val="6"/>
    <w:qFormat/>
    <w:uiPriority w:val="99"/>
    <w:rPr>
      <w:rFonts w:ascii="Times New Roman" w:hAnsi="Times New Roman"/>
      <w:sz w:val="18"/>
      <w:szCs w:val="18"/>
    </w:rPr>
  </w:style>
  <w:style w:type="character" w:customStyle="1" w:styleId="13">
    <w:name w:val="页脚 字符1"/>
    <w:basedOn w:val="8"/>
    <w:semiHidden/>
    <w:qFormat/>
    <w:uiPriority w:val="99"/>
    <w:rPr>
      <w:sz w:val="18"/>
      <w:szCs w:val="18"/>
    </w:rPr>
  </w:style>
  <w:style w:type="character" w:customStyle="1" w:styleId="14">
    <w:name w:val="页眉 字符1"/>
    <w:basedOn w:val="8"/>
    <w:semiHidden/>
    <w:qFormat/>
    <w:uiPriority w:val="99"/>
    <w:rPr>
      <w:sz w:val="18"/>
      <w:szCs w:val="18"/>
    </w:rPr>
  </w:style>
  <w:style w:type="character" w:customStyle="1" w:styleId="15">
    <w:name w:val="NormalCharacter"/>
    <w:link w:val="16"/>
    <w:qFormat/>
    <w:uiPriority w:val="0"/>
    <w:rPr>
      <w:kern w:val="0"/>
      <w:sz w:val="20"/>
      <w:szCs w:val="20"/>
    </w:rPr>
  </w:style>
  <w:style w:type="paragraph" w:customStyle="1" w:styleId="16">
    <w:name w:val="UserStyle_4"/>
    <w:basedOn w:val="1"/>
    <w:link w:val="15"/>
    <w:qFormat/>
    <w:uiPriority w:val="0"/>
    <w:pPr>
      <w:textAlignment w:val="baseline"/>
    </w:pPr>
    <w:rPr>
      <w:kern w:val="0"/>
      <w:sz w:val="20"/>
      <w:szCs w:val="20"/>
    </w:rPr>
  </w:style>
  <w:style w:type="paragraph" w:customStyle="1" w:styleId="17">
    <w:name w:val="Heading2"/>
    <w:basedOn w:val="1"/>
    <w:next w:val="1"/>
    <w:qFormat/>
    <w:uiPriority w:val="0"/>
    <w:pPr>
      <w:keepNext/>
      <w:keepLines/>
      <w:spacing w:line="579" w:lineRule="exact"/>
      <w:textAlignment w:val="baseline"/>
    </w:pPr>
    <w:rPr>
      <w:rFonts w:ascii="Arial" w:hAnsi="Arial" w:eastAsia="黑体"/>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kylin\C:\dreamsoft\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Pages>11</Pages>
  <Words>1082</Words>
  <Characters>6171</Characters>
  <Lines>51</Lines>
  <Paragraphs>14</Paragraphs>
  <TotalTime>4</TotalTime>
  <ScaleCrop>false</ScaleCrop>
  <LinksUpToDate>false</LinksUpToDate>
  <CharactersWithSpaces>7239</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2021-04-17T06:05:00Z</dcterms:created>
  <dc:creator>许 业焜</dc:creator>
  <cp:lastModifiedBy>干货小铺</cp:lastModifiedBy>
  <cp:lastPrinted>2021-04-29T19:19:00Z</cp:lastPrinted>
  <dcterms:modified xsi:type="dcterms:W3CDTF">2021-08-05T10:14:31Z</dcterms:modified>
  <dc:title>附件</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372ADE6769D145DA92DDBA1DF18D0871</vt:lpwstr>
  </property>
</Properties>
</file>