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482"/>
        <w:jc w:val="center"/>
        <w:textAlignment w:val="auto"/>
        <w:rPr>
          <w:rFonts w:ascii="方正小标宋简体" w:eastAsia="方正小标宋简体" w:cs="宋体" w:hAnsiTheme="minorEastAsia"/>
          <w:kern w:val="0"/>
          <w:sz w:val="24"/>
          <w:szCs w:val="24"/>
        </w:rPr>
      </w:pPr>
      <w:r>
        <w:rPr>
          <w:rFonts w:hint="eastAsia" w:ascii="方正小标宋简体" w:eastAsia="方正小标宋简体" w:cs="宋体" w:hAnsiTheme="minorEastAsia"/>
          <w:kern w:val="0"/>
          <w:sz w:val="44"/>
          <w:szCs w:val="44"/>
        </w:rPr>
        <w:t>珠海市征收（征用）土地青苗及地上</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482"/>
        <w:jc w:val="center"/>
        <w:textAlignment w:val="auto"/>
        <w:rPr>
          <w:rFonts w:ascii="方正小标宋简体" w:eastAsia="方正小标宋简体" w:cs="宋体" w:hAnsiTheme="minorEastAsia"/>
          <w:kern w:val="0"/>
          <w:sz w:val="44"/>
          <w:szCs w:val="44"/>
        </w:rPr>
      </w:pPr>
      <w:r>
        <w:rPr>
          <w:rFonts w:hint="eastAsia" w:ascii="方正小标宋简体" w:eastAsia="方正小标宋简体" w:cs="宋体" w:hAnsiTheme="minorEastAsia"/>
          <w:kern w:val="0"/>
          <w:sz w:val="44"/>
          <w:szCs w:val="44"/>
        </w:rPr>
        <w:t>附着物补偿办法（征求意见稿）</w:t>
      </w:r>
    </w:p>
    <w:p>
      <w:pPr>
        <w:widowControl/>
        <w:shd w:val="clear" w:color="auto" w:fill="FFFFFF"/>
        <w:wordWrap w:val="0"/>
        <w:spacing w:line="579" w:lineRule="atLeast"/>
        <w:ind w:firstLine="480"/>
        <w:jc w:val="center"/>
        <w:rPr>
          <w:rFonts w:cs="宋体" w:asciiTheme="minorEastAsia" w:hAnsiTheme="minorEastAsia"/>
          <w:b/>
          <w:kern w:val="0"/>
          <w:sz w:val="44"/>
          <w:szCs w:val="44"/>
        </w:rPr>
      </w:pPr>
    </w:p>
    <w:p>
      <w:pPr>
        <w:shd w:val="clear" w:color="auto" w:fill="FFFFFF"/>
        <w:spacing w:line="600" w:lineRule="exact"/>
        <w:ind w:firstLine="640"/>
        <w:rPr>
          <w:rFonts w:ascii="仿宋_GB2312" w:hAnsi="宋体" w:eastAsia="仿宋_GB2312" w:cs="宋体"/>
          <w:kern w:val="0"/>
          <w:sz w:val="28"/>
          <w:szCs w:val="28"/>
        </w:rPr>
      </w:pPr>
      <w:r>
        <w:rPr>
          <w:rFonts w:hint="eastAsia" w:ascii="仿宋_GB2312" w:hAnsi="黑体" w:eastAsia="仿宋_GB2312" w:cs="宋体"/>
          <w:b/>
          <w:kern w:val="0"/>
          <w:sz w:val="28"/>
          <w:szCs w:val="28"/>
        </w:rPr>
        <w:t>第一条</w:t>
      </w:r>
      <w:r>
        <w:rPr>
          <w:rFonts w:ascii="仿宋_GB2312" w:hAnsi="Calibri" w:eastAsia="仿宋_GB2312" w:cs="Calibri"/>
          <w:kern w:val="0"/>
          <w:sz w:val="28"/>
          <w:szCs w:val="28"/>
        </w:rPr>
        <w:t xml:space="preserve"> </w:t>
      </w:r>
      <w:r>
        <w:rPr>
          <w:rFonts w:hint="eastAsia" w:ascii="仿宋_GB2312" w:hAnsi="仿宋" w:eastAsia="仿宋_GB2312" w:cs="宋体"/>
          <w:kern w:val="0"/>
          <w:sz w:val="28"/>
          <w:szCs w:val="28"/>
        </w:rPr>
        <w:t>为规范青苗及地上附着物补偿，切实维护被征收人的合法权益，根据《中华人民共和国土地管理法》、</w:t>
      </w:r>
      <w:r>
        <w:rPr>
          <w:rFonts w:ascii="仿宋_GB2312" w:hAnsi="仿宋" w:eastAsia="仿宋_GB2312" w:cs="宋体"/>
          <w:kern w:val="0"/>
          <w:sz w:val="28"/>
          <w:szCs w:val="28"/>
        </w:rPr>
        <w:t>《</w:t>
      </w:r>
      <w:r>
        <w:rPr>
          <w:rFonts w:hint="eastAsia" w:ascii="仿宋_GB2312" w:hAnsi="仿宋" w:eastAsia="仿宋_GB2312" w:cs="宋体"/>
          <w:kern w:val="0"/>
          <w:sz w:val="28"/>
          <w:szCs w:val="28"/>
        </w:rPr>
        <w:t>广东省实施&lt;中华人民共和国土地管理法&gt;办法</w:t>
      </w:r>
      <w:r>
        <w:rPr>
          <w:rFonts w:ascii="仿宋_GB2312" w:hAnsi="仿宋" w:eastAsia="仿宋_GB2312" w:cs="宋体"/>
          <w:kern w:val="0"/>
          <w:sz w:val="28"/>
          <w:szCs w:val="28"/>
        </w:rPr>
        <w:t>》</w:t>
      </w:r>
      <w:r>
        <w:rPr>
          <w:rFonts w:hint="eastAsia" w:ascii="仿宋_GB2312" w:hAnsi="仿宋" w:eastAsia="仿宋_GB2312" w:cs="宋体"/>
          <w:kern w:val="0"/>
          <w:sz w:val="28"/>
          <w:szCs w:val="28"/>
        </w:rPr>
        <w:t>等法律、法规和政策文件的规定，结合我市实际，制定本办法。</w:t>
      </w:r>
    </w:p>
    <w:p>
      <w:pPr>
        <w:widowControl/>
        <w:shd w:val="clear" w:color="auto" w:fill="FFFFFF"/>
        <w:spacing w:line="600" w:lineRule="exact"/>
        <w:ind w:firstLine="640"/>
        <w:rPr>
          <w:rFonts w:ascii="仿宋_GB2312" w:hAnsi="仿宋" w:eastAsia="仿宋_GB2312" w:cs="宋体"/>
          <w:kern w:val="0"/>
          <w:sz w:val="28"/>
          <w:szCs w:val="28"/>
        </w:rPr>
      </w:pPr>
      <w:r>
        <w:rPr>
          <w:rFonts w:hint="eastAsia" w:ascii="仿宋_GB2312" w:hAnsi="黑体" w:eastAsia="仿宋_GB2312" w:cs="宋体"/>
          <w:b/>
          <w:kern w:val="0"/>
          <w:sz w:val="28"/>
          <w:szCs w:val="28"/>
        </w:rPr>
        <w:t xml:space="preserve">第二条 </w:t>
      </w:r>
      <w:r>
        <w:rPr>
          <w:rFonts w:hint="eastAsia" w:ascii="仿宋_GB2312" w:hAnsi="仿宋" w:eastAsia="仿宋_GB2312" w:cs="宋体"/>
          <w:kern w:val="0"/>
          <w:sz w:val="28"/>
          <w:szCs w:val="28"/>
        </w:rPr>
        <w:t>在我市行政区域内进行征收（征用）土地上青苗及地上附着物适用本办法</w:t>
      </w:r>
      <w:r>
        <w:rPr>
          <w:rFonts w:ascii="仿宋_GB2312" w:hAnsi="仿宋" w:eastAsia="仿宋_GB2312" w:cs="宋体"/>
          <w:kern w:val="0"/>
          <w:sz w:val="28"/>
          <w:szCs w:val="28"/>
        </w:rPr>
        <w:t>。</w:t>
      </w:r>
    </w:p>
    <w:p>
      <w:pPr>
        <w:widowControl/>
        <w:shd w:val="clear" w:color="auto" w:fill="FFFFFF"/>
        <w:spacing w:line="600" w:lineRule="exact"/>
        <w:ind w:firstLine="640"/>
        <w:rPr>
          <w:rFonts w:ascii="仿宋_GB2312" w:hAnsi="宋体" w:eastAsia="仿宋_GB2312" w:cs="宋体"/>
          <w:kern w:val="0"/>
          <w:sz w:val="28"/>
          <w:szCs w:val="28"/>
        </w:rPr>
      </w:pPr>
      <w:r>
        <w:rPr>
          <w:rFonts w:hint="eastAsia" w:ascii="仿宋_GB2312" w:hAnsi="仿宋" w:eastAsia="仿宋_GB2312" w:cs="宋体"/>
          <w:b/>
          <w:bCs/>
          <w:kern w:val="0"/>
          <w:sz w:val="28"/>
          <w:szCs w:val="28"/>
        </w:rPr>
        <w:t>第三条</w:t>
      </w:r>
      <w:r>
        <w:rPr>
          <w:rFonts w:hint="eastAsia" w:ascii="仿宋_GB2312" w:hAnsi="仿宋" w:eastAsia="仿宋_GB2312" w:cs="宋体"/>
          <w:kern w:val="0"/>
          <w:sz w:val="28"/>
          <w:szCs w:val="28"/>
        </w:rPr>
        <w:t xml:space="preserve"> 政府已统征地、预征地、围垦地、</w:t>
      </w:r>
      <w:r>
        <w:rPr>
          <w:rFonts w:ascii="仿宋_GB2312" w:hAnsi="仿宋" w:eastAsia="仿宋_GB2312" w:cs="宋体"/>
          <w:kern w:val="0"/>
          <w:sz w:val="28"/>
          <w:szCs w:val="28"/>
        </w:rPr>
        <w:t>华侨农场</w:t>
      </w:r>
      <w:r>
        <w:rPr>
          <w:rFonts w:hint="eastAsia" w:ascii="仿宋_GB2312" w:hAnsi="仿宋" w:eastAsia="仿宋_GB2312" w:cs="宋体"/>
          <w:kern w:val="0"/>
          <w:sz w:val="28"/>
          <w:szCs w:val="28"/>
        </w:rPr>
        <w:t>及</w:t>
      </w:r>
      <w:r>
        <w:rPr>
          <w:rFonts w:ascii="仿宋_GB2312" w:hAnsi="仿宋" w:eastAsia="仿宋_GB2312" w:cs="宋体"/>
          <w:kern w:val="0"/>
          <w:sz w:val="28"/>
          <w:szCs w:val="28"/>
        </w:rPr>
        <w:t>国有</w:t>
      </w:r>
      <w:r>
        <w:rPr>
          <w:rFonts w:hint="eastAsia" w:ascii="仿宋_GB2312" w:hAnsi="仿宋" w:eastAsia="仿宋_GB2312" w:cs="宋体"/>
          <w:kern w:val="0"/>
          <w:sz w:val="28"/>
          <w:szCs w:val="28"/>
        </w:rPr>
        <w:t>农场范围内的清场补偿，参照本办法执行。</w:t>
      </w:r>
    </w:p>
    <w:p>
      <w:pPr>
        <w:shd w:val="clear" w:color="auto" w:fill="FFFFFF"/>
        <w:spacing w:line="600" w:lineRule="exact"/>
        <w:ind w:firstLine="640"/>
        <w:rPr>
          <w:rFonts w:ascii="仿宋_GB2312" w:hAnsi="仿宋" w:eastAsia="仿宋_GB2312" w:cs="宋体"/>
          <w:kern w:val="0"/>
          <w:sz w:val="28"/>
          <w:szCs w:val="28"/>
        </w:rPr>
      </w:pPr>
      <w:r>
        <w:rPr>
          <w:rFonts w:hint="eastAsia" w:ascii="仿宋_GB2312" w:hAnsi="黑体" w:eastAsia="仿宋_GB2312" w:cs="宋体"/>
          <w:b/>
          <w:kern w:val="0"/>
          <w:sz w:val="28"/>
          <w:szCs w:val="28"/>
        </w:rPr>
        <w:t xml:space="preserve">第四条 </w:t>
      </w:r>
      <w:r>
        <w:rPr>
          <w:rFonts w:hint="eastAsia" w:ascii="仿宋_GB2312" w:hAnsi="仿宋" w:eastAsia="仿宋_GB2312" w:cs="宋体"/>
          <w:kern w:val="0"/>
          <w:sz w:val="28"/>
          <w:szCs w:val="28"/>
        </w:rPr>
        <w:t>本办法及附件所列各项补偿单价都已包含被征收（征用）土地范围内用于种养的各项生产工具、运输工具和各种可搬动的设备、设施、备用物料等的搬迁费用。</w:t>
      </w:r>
    </w:p>
    <w:p>
      <w:pPr>
        <w:shd w:val="clear" w:color="auto" w:fill="FFFFFF"/>
        <w:spacing w:line="600" w:lineRule="exact"/>
        <w:ind w:firstLine="640"/>
        <w:rPr>
          <w:rFonts w:ascii="仿宋_GB2312" w:hAnsi="仿宋" w:eastAsia="仿宋_GB2312" w:cs="宋体"/>
          <w:kern w:val="0"/>
          <w:sz w:val="28"/>
          <w:szCs w:val="28"/>
        </w:rPr>
      </w:pPr>
      <w:r>
        <w:rPr>
          <w:rFonts w:hint="eastAsia" w:ascii="仿宋_GB2312" w:hAnsi="黑体" w:eastAsia="仿宋_GB2312" w:cs="宋体"/>
          <w:b/>
          <w:kern w:val="0"/>
          <w:sz w:val="28"/>
          <w:szCs w:val="28"/>
        </w:rPr>
        <w:t>第五条</w:t>
      </w:r>
      <w:r>
        <w:rPr>
          <w:rFonts w:ascii="仿宋_GB2312" w:hAnsi="Calibri" w:eastAsia="仿宋_GB2312" w:cs="Calibri"/>
          <w:kern w:val="0"/>
          <w:sz w:val="28"/>
          <w:szCs w:val="28"/>
        </w:rPr>
        <w:t xml:space="preserve"> </w:t>
      </w:r>
      <w:r>
        <w:rPr>
          <w:rFonts w:hint="eastAsia" w:ascii="仿宋_GB2312" w:hAnsi="仿宋" w:eastAsia="仿宋_GB2312" w:cs="宋体"/>
          <w:kern w:val="0"/>
          <w:sz w:val="28"/>
          <w:szCs w:val="28"/>
        </w:rPr>
        <w:t>土地征收预公告发布的同时，项目用地单位应委托公证部门对征地范围内的现状进行证据保全公证。土地征收预公告发布后，任何单位和个人不得在被征收（征用）土地上再进行新增种植、养殖和新建、改建、扩建建筑物和构筑物。</w:t>
      </w:r>
    </w:p>
    <w:p>
      <w:pPr>
        <w:shd w:val="clear" w:color="auto" w:fill="FFFFFF"/>
        <w:spacing w:line="600" w:lineRule="exact"/>
        <w:ind w:firstLine="640"/>
        <w:rPr>
          <w:rFonts w:ascii="仿宋_GB2312" w:hAnsi="宋体" w:eastAsia="仿宋_GB2312" w:cs="宋体"/>
          <w:kern w:val="0"/>
          <w:sz w:val="28"/>
          <w:szCs w:val="28"/>
        </w:rPr>
      </w:pPr>
      <w:r>
        <w:rPr>
          <w:rFonts w:hint="eastAsia" w:ascii="仿宋_GB2312" w:hAnsi="黑体" w:eastAsia="仿宋_GB2312" w:cs="宋体"/>
          <w:b/>
          <w:kern w:val="0"/>
          <w:sz w:val="28"/>
          <w:szCs w:val="28"/>
        </w:rPr>
        <w:t>第六条</w:t>
      </w:r>
      <w:r>
        <w:rPr>
          <w:rFonts w:ascii="仿宋_GB2312" w:hAnsi="Calibri" w:eastAsia="仿宋_GB2312" w:cs="Calibri"/>
          <w:b/>
          <w:bCs/>
          <w:kern w:val="0"/>
          <w:sz w:val="28"/>
          <w:szCs w:val="28"/>
        </w:rPr>
        <w:t xml:space="preserve"> </w:t>
      </w:r>
      <w:r>
        <w:rPr>
          <w:rFonts w:hint="eastAsia" w:ascii="仿宋_GB2312" w:hAnsi="仿宋" w:eastAsia="仿宋_GB2312" w:cs="宋体"/>
          <w:kern w:val="0"/>
          <w:sz w:val="28"/>
          <w:szCs w:val="28"/>
        </w:rPr>
        <w:t>有下列情形的，不予补偿：</w:t>
      </w:r>
    </w:p>
    <w:p>
      <w:pPr>
        <w:shd w:val="clear" w:color="auto" w:fill="FFFFFF"/>
        <w:spacing w:line="600" w:lineRule="exact"/>
        <w:ind w:firstLine="640"/>
        <w:rPr>
          <w:rFonts w:ascii="仿宋_GB2312" w:hAnsi="宋体" w:eastAsia="仿宋_GB2312" w:cs="宋体"/>
          <w:kern w:val="0"/>
          <w:sz w:val="28"/>
          <w:szCs w:val="28"/>
        </w:rPr>
      </w:pPr>
      <w:r>
        <w:rPr>
          <w:rFonts w:hint="eastAsia" w:ascii="仿宋_GB2312" w:hAnsi="仿宋" w:eastAsia="仿宋_GB2312" w:cs="宋体"/>
          <w:kern w:val="0"/>
          <w:sz w:val="28"/>
          <w:szCs w:val="28"/>
        </w:rPr>
        <w:t>（一）在土地征收预公告发布之日起新增的青苗</w:t>
      </w:r>
      <w:r>
        <w:rPr>
          <w:rFonts w:ascii="仿宋_GB2312" w:hAnsi="仿宋" w:eastAsia="仿宋_GB2312" w:cs="宋体"/>
          <w:kern w:val="0"/>
          <w:sz w:val="28"/>
          <w:szCs w:val="28"/>
        </w:rPr>
        <w:t>及</w:t>
      </w:r>
      <w:r>
        <w:rPr>
          <w:rFonts w:hint="eastAsia" w:ascii="仿宋_GB2312" w:hAnsi="仿宋" w:eastAsia="仿宋_GB2312" w:cs="宋体"/>
          <w:kern w:val="0"/>
          <w:sz w:val="28"/>
          <w:szCs w:val="28"/>
        </w:rPr>
        <w:t>地上</w:t>
      </w:r>
      <w:r>
        <w:rPr>
          <w:rFonts w:ascii="仿宋_GB2312" w:hAnsi="仿宋" w:eastAsia="仿宋_GB2312" w:cs="宋体"/>
          <w:kern w:val="0"/>
          <w:sz w:val="28"/>
          <w:szCs w:val="28"/>
        </w:rPr>
        <w:t>附着物</w:t>
      </w:r>
      <w:r>
        <w:rPr>
          <w:rFonts w:hint="eastAsia" w:ascii="仿宋_GB2312" w:hAnsi="仿宋" w:eastAsia="仿宋_GB2312" w:cs="宋体"/>
          <w:kern w:val="0"/>
          <w:sz w:val="28"/>
          <w:szCs w:val="28"/>
        </w:rPr>
        <w:t>；</w:t>
      </w:r>
    </w:p>
    <w:p>
      <w:pPr>
        <w:shd w:val="clear" w:color="auto" w:fill="FFFFFF"/>
        <w:spacing w:line="600" w:lineRule="exact"/>
        <w:ind w:firstLine="640"/>
        <w:rPr>
          <w:rFonts w:ascii="仿宋_GB2312" w:hAnsi="宋体" w:eastAsia="仿宋_GB2312" w:cs="宋体"/>
          <w:kern w:val="0"/>
          <w:sz w:val="28"/>
          <w:szCs w:val="28"/>
        </w:rPr>
      </w:pPr>
      <w:r>
        <w:rPr>
          <w:rFonts w:hint="eastAsia" w:ascii="仿宋_GB2312" w:hAnsi="仿宋" w:eastAsia="仿宋_GB2312" w:cs="宋体"/>
          <w:kern w:val="0"/>
          <w:sz w:val="28"/>
          <w:szCs w:val="28"/>
        </w:rPr>
        <w:t>（二）采取反复移植方式申报的青苗数目；</w:t>
      </w:r>
    </w:p>
    <w:p>
      <w:pPr>
        <w:shd w:val="clear" w:color="auto" w:fill="FFFFFF"/>
        <w:spacing w:line="600" w:lineRule="exact"/>
        <w:ind w:firstLine="640"/>
        <w:rPr>
          <w:rFonts w:ascii="仿宋_GB2312" w:hAnsi="宋体" w:eastAsia="仿宋_GB2312" w:cs="宋体"/>
          <w:kern w:val="0"/>
          <w:sz w:val="28"/>
          <w:szCs w:val="28"/>
        </w:rPr>
      </w:pPr>
      <w:r>
        <w:rPr>
          <w:rFonts w:hint="eastAsia" w:ascii="仿宋_GB2312" w:hAnsi="仿宋" w:eastAsia="仿宋_GB2312" w:cs="宋体"/>
          <w:kern w:val="0"/>
          <w:sz w:val="28"/>
          <w:szCs w:val="28"/>
        </w:rPr>
        <w:t>（三）已枯死的各类种植物；</w:t>
      </w:r>
    </w:p>
    <w:p>
      <w:pPr>
        <w:shd w:val="clear" w:color="auto" w:fill="FFFFFF"/>
        <w:spacing w:line="600" w:lineRule="exact"/>
        <w:ind w:firstLine="640"/>
        <w:rPr>
          <w:rFonts w:ascii="仿宋_GB2312" w:hAnsi="宋体" w:eastAsia="仿宋_GB2312" w:cs="宋体"/>
          <w:kern w:val="0"/>
          <w:sz w:val="28"/>
          <w:szCs w:val="28"/>
        </w:rPr>
      </w:pPr>
      <w:r>
        <w:rPr>
          <w:rFonts w:hint="eastAsia" w:ascii="仿宋_GB2312" w:hAnsi="仿宋" w:eastAsia="仿宋_GB2312" w:cs="宋体"/>
          <w:kern w:val="0"/>
          <w:sz w:val="28"/>
          <w:szCs w:val="28"/>
        </w:rPr>
        <w:t>（四）登记的青苗及地上附着物核实时已减少的部分；</w:t>
      </w:r>
    </w:p>
    <w:p>
      <w:pPr>
        <w:shd w:val="clear" w:color="auto" w:fill="FFFFFF"/>
        <w:spacing w:line="600" w:lineRule="exact"/>
        <w:ind w:firstLine="640"/>
        <w:rPr>
          <w:rFonts w:ascii="仿宋_GB2312" w:hAnsi="宋体" w:eastAsia="仿宋_GB2312" w:cs="宋体"/>
          <w:kern w:val="0"/>
          <w:sz w:val="28"/>
          <w:szCs w:val="28"/>
        </w:rPr>
      </w:pPr>
      <w:r>
        <w:rPr>
          <w:rFonts w:hint="eastAsia" w:ascii="仿宋_GB2312" w:hAnsi="仿宋" w:eastAsia="仿宋_GB2312" w:cs="宋体"/>
          <w:kern w:val="0"/>
          <w:sz w:val="28"/>
          <w:szCs w:val="28"/>
        </w:rPr>
        <w:t>（五）种植物超过合理种植密度的部分；</w:t>
      </w:r>
    </w:p>
    <w:p>
      <w:pPr>
        <w:shd w:val="clear" w:color="auto" w:fill="FFFFFF"/>
        <w:spacing w:line="600" w:lineRule="exact"/>
        <w:ind w:firstLine="640"/>
        <w:rPr>
          <w:rFonts w:ascii="仿宋_GB2312" w:hAnsi="宋体" w:eastAsia="仿宋_GB2312" w:cs="宋体"/>
          <w:kern w:val="0"/>
          <w:sz w:val="28"/>
          <w:szCs w:val="28"/>
        </w:rPr>
      </w:pPr>
      <w:r>
        <w:rPr>
          <w:rFonts w:hint="eastAsia" w:ascii="仿宋_GB2312" w:hAnsi="仿宋" w:eastAsia="仿宋_GB2312" w:cs="宋体"/>
          <w:kern w:val="0"/>
          <w:sz w:val="28"/>
          <w:szCs w:val="28"/>
        </w:rPr>
        <w:t>（六）经主管执法部门认定为违法的地上附着物；</w:t>
      </w:r>
    </w:p>
    <w:p>
      <w:pPr>
        <w:shd w:val="clear" w:color="auto" w:fill="FFFFFF"/>
        <w:spacing w:line="600" w:lineRule="exact"/>
        <w:ind w:firstLine="640"/>
        <w:rPr>
          <w:rFonts w:ascii="仿宋_GB2312" w:hAnsi="仿宋" w:eastAsia="仿宋_GB2312" w:cs="宋体"/>
          <w:kern w:val="0"/>
          <w:sz w:val="28"/>
          <w:szCs w:val="28"/>
        </w:rPr>
      </w:pPr>
      <w:r>
        <w:rPr>
          <w:rFonts w:hint="eastAsia" w:ascii="仿宋_GB2312" w:hAnsi="仿宋" w:eastAsia="仿宋_GB2312" w:cs="宋体"/>
          <w:kern w:val="0"/>
          <w:sz w:val="28"/>
          <w:szCs w:val="28"/>
        </w:rPr>
        <w:t>（七）有关法律、法规和政策文件规定不予补偿的情形。</w:t>
      </w:r>
    </w:p>
    <w:p>
      <w:pPr>
        <w:shd w:val="clear" w:color="auto" w:fill="FFFFFF"/>
        <w:spacing w:line="600" w:lineRule="exact"/>
        <w:ind w:firstLine="640"/>
        <w:rPr>
          <w:rFonts w:ascii="仿宋_GB2312" w:hAnsi="宋体" w:eastAsia="仿宋_GB2312" w:cs="宋体"/>
          <w:kern w:val="0"/>
          <w:sz w:val="28"/>
          <w:szCs w:val="28"/>
        </w:rPr>
      </w:pPr>
      <w:r>
        <w:rPr>
          <w:rFonts w:hint="eastAsia" w:ascii="仿宋_GB2312" w:hAnsi="黑体" w:eastAsia="仿宋_GB2312" w:cs="宋体"/>
          <w:b/>
          <w:kern w:val="0"/>
          <w:sz w:val="28"/>
          <w:szCs w:val="28"/>
        </w:rPr>
        <w:t>第七条</w:t>
      </w:r>
      <w:r>
        <w:rPr>
          <w:rFonts w:ascii="仿宋_GB2312" w:hAnsi="Calibri" w:eastAsia="仿宋_GB2312" w:cs="Calibri"/>
          <w:b/>
          <w:bCs/>
          <w:kern w:val="0"/>
          <w:sz w:val="28"/>
          <w:szCs w:val="28"/>
        </w:rPr>
        <w:t xml:space="preserve"> </w:t>
      </w:r>
      <w:r>
        <w:rPr>
          <w:rFonts w:hint="eastAsia" w:ascii="仿宋_GB2312" w:hAnsi="仿宋" w:eastAsia="仿宋_GB2312" w:cs="宋体"/>
          <w:kern w:val="0"/>
          <w:sz w:val="28"/>
          <w:szCs w:val="28"/>
        </w:rPr>
        <w:t>以下情形的征收（征用）补偿采用个案评估确定：</w:t>
      </w:r>
    </w:p>
    <w:p>
      <w:pPr>
        <w:shd w:val="clear" w:color="auto" w:fill="FFFFFF"/>
        <w:spacing w:line="600" w:lineRule="exact"/>
        <w:ind w:firstLine="640"/>
        <w:rPr>
          <w:rFonts w:ascii="仿宋_GB2312" w:hAnsi="宋体" w:eastAsia="仿宋_GB2312" w:cs="宋体"/>
          <w:kern w:val="0"/>
          <w:sz w:val="28"/>
          <w:szCs w:val="28"/>
        </w:rPr>
      </w:pPr>
      <w:r>
        <w:rPr>
          <w:rFonts w:hint="eastAsia" w:ascii="仿宋_GB2312" w:hAnsi="仿宋" w:eastAsia="仿宋_GB2312" w:cs="宋体"/>
          <w:kern w:val="0"/>
          <w:sz w:val="28"/>
          <w:szCs w:val="28"/>
        </w:rPr>
        <w:t>（一）地上附着物中有合法产权建筑物，且未安排土地用于被征收人新建房屋的征收补偿项目；</w:t>
      </w:r>
    </w:p>
    <w:p>
      <w:pPr>
        <w:shd w:val="clear" w:color="auto" w:fill="FFFFFF"/>
        <w:spacing w:line="600" w:lineRule="exact"/>
        <w:ind w:firstLine="640"/>
        <w:rPr>
          <w:rFonts w:ascii="仿宋_GB2312" w:hAnsi="仿宋" w:eastAsia="仿宋_GB2312" w:cs="宋体"/>
          <w:kern w:val="0"/>
          <w:sz w:val="28"/>
          <w:szCs w:val="28"/>
        </w:rPr>
      </w:pPr>
      <w:r>
        <w:rPr>
          <w:rFonts w:hint="eastAsia" w:ascii="仿宋_GB2312" w:hAnsi="仿宋" w:eastAsia="仿宋_GB2312" w:cs="宋体"/>
          <w:kern w:val="0"/>
          <w:sz w:val="28"/>
          <w:szCs w:val="28"/>
        </w:rPr>
        <w:t>（二）本办法及附件中未列举的其他补偿项目。</w:t>
      </w:r>
    </w:p>
    <w:p>
      <w:pPr>
        <w:shd w:val="clear" w:color="auto" w:fill="FFFFFF"/>
        <w:spacing w:line="600" w:lineRule="exact"/>
        <w:ind w:firstLine="640"/>
        <w:rPr>
          <w:rFonts w:ascii="仿宋_GB2312" w:hAnsi="仿宋" w:eastAsia="仿宋_GB2312" w:cs="宋体"/>
          <w:kern w:val="0"/>
          <w:sz w:val="28"/>
          <w:szCs w:val="28"/>
        </w:rPr>
      </w:pPr>
      <w:r>
        <w:rPr>
          <w:rFonts w:hint="eastAsia" w:ascii="仿宋_GB2312" w:hAnsi="黑体" w:eastAsia="仿宋_GB2312" w:cs="宋体"/>
          <w:b/>
          <w:kern w:val="0"/>
          <w:sz w:val="28"/>
          <w:szCs w:val="28"/>
        </w:rPr>
        <w:t>第八条</w:t>
      </w:r>
      <w:r>
        <w:rPr>
          <w:rFonts w:hint="eastAsia" w:ascii="仿宋_GB2312" w:hAnsi="Calibri" w:eastAsia="仿宋_GB2312" w:cs="Calibri"/>
          <w:kern w:val="0"/>
          <w:sz w:val="28"/>
          <w:szCs w:val="28"/>
        </w:rPr>
        <w:t xml:space="preserve"> </w:t>
      </w:r>
      <w:r>
        <w:rPr>
          <w:rFonts w:hint="eastAsia" w:ascii="仿宋_GB2312" w:hAnsi="仿宋" w:eastAsia="仿宋_GB2312" w:cs="宋体"/>
          <w:kern w:val="0"/>
          <w:sz w:val="28"/>
          <w:szCs w:val="28"/>
        </w:rPr>
        <w:t>设立珠海市征收（征用）土地青苗及地上附着物补偿评估机构库，择优选择综合实力强、社会信誉好、能提供持续服务的评估公司入库作为备选评估机构。</w:t>
      </w:r>
    </w:p>
    <w:p>
      <w:pPr>
        <w:shd w:val="clear" w:color="auto" w:fill="FFFFFF"/>
        <w:spacing w:line="600" w:lineRule="exact"/>
        <w:ind w:firstLine="640"/>
        <w:rPr>
          <w:rFonts w:ascii="仿宋_GB2312" w:hAnsi="仿宋" w:eastAsia="仿宋_GB2312" w:cs="宋体"/>
          <w:kern w:val="0"/>
          <w:sz w:val="28"/>
          <w:szCs w:val="28"/>
        </w:rPr>
      </w:pPr>
      <w:r>
        <w:rPr>
          <w:rFonts w:hint="eastAsia" w:ascii="仿宋_GB2312" w:hAnsi="仿宋" w:eastAsia="仿宋_GB2312" w:cs="宋体"/>
          <w:kern w:val="0"/>
          <w:sz w:val="28"/>
          <w:szCs w:val="28"/>
        </w:rPr>
        <w:t>征收（征用）项目需要个案评估的，由征收实施部门与被征收人协商或通过公开抽签或摇号方式，从评估机构库中确定评估机构，并对评估结果进行备案管理（评估具体</w:t>
      </w:r>
      <w:r>
        <w:rPr>
          <w:rFonts w:ascii="仿宋_GB2312" w:hAnsi="仿宋" w:eastAsia="仿宋_GB2312" w:cs="宋体"/>
          <w:kern w:val="0"/>
          <w:sz w:val="28"/>
          <w:szCs w:val="28"/>
        </w:rPr>
        <w:t>流程</w:t>
      </w:r>
      <w:r>
        <w:rPr>
          <w:rFonts w:hint="eastAsia" w:ascii="仿宋_GB2312" w:hAnsi="仿宋" w:eastAsia="仿宋_GB2312" w:cs="宋体"/>
          <w:kern w:val="0"/>
          <w:sz w:val="28"/>
          <w:szCs w:val="28"/>
        </w:rPr>
        <w:t>见</w:t>
      </w:r>
      <w:r>
        <w:rPr>
          <w:rFonts w:ascii="仿宋_GB2312" w:hAnsi="仿宋" w:eastAsia="仿宋_GB2312" w:cs="宋体"/>
          <w:kern w:val="0"/>
          <w:sz w:val="28"/>
          <w:szCs w:val="28"/>
        </w:rPr>
        <w:t>附件二</w:t>
      </w:r>
      <w:r>
        <w:rPr>
          <w:rFonts w:hint="eastAsia" w:ascii="仿宋_GB2312" w:hAnsi="仿宋" w:eastAsia="仿宋_GB2312" w:cs="宋体"/>
          <w:kern w:val="0"/>
          <w:sz w:val="28"/>
          <w:szCs w:val="28"/>
        </w:rPr>
        <w:t>）。</w:t>
      </w:r>
    </w:p>
    <w:p>
      <w:pPr>
        <w:shd w:val="clear" w:color="auto" w:fill="FFFFFF"/>
        <w:spacing w:line="600" w:lineRule="exact"/>
        <w:ind w:firstLine="640"/>
        <w:rPr>
          <w:rFonts w:ascii="仿宋_GB2312" w:hAnsi="仿宋" w:eastAsia="仿宋_GB2312" w:cs="宋体"/>
          <w:kern w:val="0"/>
          <w:sz w:val="28"/>
          <w:szCs w:val="28"/>
        </w:rPr>
      </w:pPr>
      <w:r>
        <w:rPr>
          <w:rFonts w:hint="eastAsia" w:ascii="仿宋_GB2312" w:hAnsi="黑体" w:eastAsia="仿宋_GB2312" w:cs="宋体"/>
          <w:b/>
          <w:kern w:val="0"/>
          <w:sz w:val="28"/>
          <w:szCs w:val="28"/>
        </w:rPr>
        <w:t xml:space="preserve">第九条 </w:t>
      </w:r>
      <w:r>
        <w:rPr>
          <w:rFonts w:hint="eastAsia" w:ascii="仿宋_GB2312" w:hAnsi="仿宋" w:eastAsia="仿宋_GB2312" w:cs="宋体"/>
          <w:kern w:val="0"/>
          <w:sz w:val="28"/>
          <w:szCs w:val="28"/>
        </w:rPr>
        <w:t>征收（征用）土地青苗及地上附着物的补偿</w:t>
      </w:r>
      <w:r>
        <w:rPr>
          <w:rFonts w:hint="eastAsia" w:ascii="仿宋_GB2312" w:hAnsi="Calibri" w:eastAsia="仿宋_GB2312" w:cs="Calibri"/>
          <w:bCs/>
          <w:kern w:val="0"/>
          <w:sz w:val="28"/>
          <w:szCs w:val="28"/>
        </w:rPr>
        <w:t>评估基准日</w:t>
      </w:r>
      <w:r>
        <w:rPr>
          <w:rFonts w:hint="eastAsia" w:ascii="仿宋_GB2312" w:hAnsi="仿宋" w:eastAsia="仿宋_GB2312" w:cs="宋体"/>
          <w:kern w:val="0"/>
          <w:sz w:val="28"/>
          <w:szCs w:val="28"/>
        </w:rPr>
        <w:t>为土地征收预公告</w:t>
      </w:r>
      <w:r>
        <w:rPr>
          <w:rFonts w:ascii="仿宋_GB2312" w:hAnsi="Calibri" w:eastAsia="仿宋_GB2312" w:cs="Calibri"/>
          <w:bCs/>
          <w:kern w:val="0"/>
          <w:sz w:val="28"/>
          <w:szCs w:val="28"/>
        </w:rPr>
        <w:t>日</w:t>
      </w:r>
      <w:r>
        <w:rPr>
          <w:rFonts w:hint="eastAsia" w:ascii="仿宋_GB2312" w:hAnsi="仿宋" w:eastAsia="仿宋_GB2312" w:cs="宋体"/>
          <w:kern w:val="0"/>
          <w:sz w:val="28"/>
          <w:szCs w:val="28"/>
        </w:rPr>
        <w:t>。</w:t>
      </w:r>
    </w:p>
    <w:p>
      <w:pPr>
        <w:shd w:val="clear" w:color="auto" w:fill="FFFFFF"/>
        <w:spacing w:line="600" w:lineRule="exact"/>
        <w:ind w:firstLine="640"/>
        <w:rPr>
          <w:rFonts w:ascii="仿宋_GB2312" w:hAnsi="仿宋" w:eastAsia="仿宋_GB2312" w:cs="宋体"/>
          <w:kern w:val="0"/>
          <w:sz w:val="28"/>
          <w:szCs w:val="28"/>
        </w:rPr>
      </w:pPr>
      <w:r>
        <w:rPr>
          <w:rFonts w:hint="eastAsia" w:ascii="仿宋_GB2312" w:hAnsi="黑体" w:eastAsia="仿宋_GB2312" w:cs="宋体"/>
          <w:b/>
          <w:kern w:val="0"/>
          <w:sz w:val="28"/>
          <w:szCs w:val="28"/>
        </w:rPr>
        <w:t>第十条</w:t>
      </w:r>
      <w:r>
        <w:rPr>
          <w:rFonts w:ascii="仿宋_GB2312" w:hAnsi="Calibri" w:eastAsia="仿宋_GB2312" w:cs="Calibri"/>
          <w:b/>
          <w:bCs/>
          <w:kern w:val="0"/>
          <w:sz w:val="28"/>
          <w:szCs w:val="28"/>
        </w:rPr>
        <w:t xml:space="preserve"> </w:t>
      </w:r>
      <w:r>
        <w:rPr>
          <w:rFonts w:hint="eastAsia" w:ascii="仿宋_GB2312" w:hAnsi="仿宋" w:eastAsia="仿宋_GB2312" w:cs="宋体"/>
          <w:kern w:val="0"/>
          <w:sz w:val="28"/>
          <w:szCs w:val="28"/>
        </w:rPr>
        <w:t>成片种植并间种多种果树或其它树木的，以种植最多的两种植物作为青苗补偿的品种，按相应的种植比例进行计补，其他品种不再分类计补。</w:t>
      </w:r>
    </w:p>
    <w:p>
      <w:pPr>
        <w:shd w:val="clear" w:color="auto" w:fill="FFFFFF"/>
        <w:spacing w:line="600" w:lineRule="exact"/>
        <w:ind w:firstLine="640"/>
        <w:rPr>
          <w:rFonts w:ascii="仿宋_GB2312" w:hAnsi="宋体" w:eastAsia="仿宋_GB2312" w:cs="宋体"/>
          <w:kern w:val="0"/>
          <w:sz w:val="28"/>
          <w:szCs w:val="28"/>
        </w:rPr>
      </w:pPr>
      <w:r>
        <w:rPr>
          <w:rFonts w:hint="eastAsia" w:ascii="仿宋_GB2312" w:hAnsi="仿宋" w:eastAsia="仿宋_GB2312" w:cs="宋体"/>
          <w:kern w:val="0"/>
          <w:sz w:val="28"/>
          <w:szCs w:val="28"/>
        </w:rPr>
        <w:t>（一）青苗种植密度</w:t>
      </w:r>
    </w:p>
    <w:p>
      <w:pPr>
        <w:shd w:val="clear" w:color="auto" w:fill="FFFFFF"/>
        <w:spacing w:line="600" w:lineRule="exact"/>
        <w:ind w:firstLine="640"/>
        <w:rPr>
          <w:rFonts w:ascii="仿宋_GB2312" w:hAnsi="仿宋" w:eastAsia="仿宋_GB2312" w:cs="宋体"/>
          <w:kern w:val="0"/>
          <w:sz w:val="28"/>
          <w:szCs w:val="28"/>
        </w:rPr>
      </w:pPr>
      <w:r>
        <w:rPr>
          <w:rFonts w:hint="eastAsia" w:ascii="仿宋_GB2312" w:hAnsi="仿宋" w:eastAsia="仿宋_GB2312" w:cs="宋体"/>
          <w:kern w:val="0"/>
          <w:sz w:val="28"/>
          <w:szCs w:val="28"/>
        </w:rPr>
        <w:t>成片种植的果树或绿化乔木类、棕榈科类树木按合理种植密度确定每亩最高补偿棵数，超出每亩最高补偿棵数的部分不予补偿，未达到每亩最高补偿棵数的以每亩实际棵数结合相应档次折算予以补偿。</w:t>
      </w:r>
    </w:p>
    <w:p>
      <w:pPr>
        <w:shd w:val="clear" w:color="auto" w:fill="FFFFFF"/>
        <w:spacing w:line="600" w:lineRule="exact"/>
        <w:ind w:firstLine="640"/>
        <w:rPr>
          <w:rFonts w:ascii="仿宋_GB2312" w:hAnsi="宋体" w:eastAsia="仿宋_GB2312" w:cs="宋体"/>
          <w:kern w:val="0"/>
          <w:sz w:val="28"/>
          <w:szCs w:val="28"/>
        </w:rPr>
      </w:pPr>
      <w:r>
        <w:rPr>
          <w:rFonts w:hint="eastAsia" w:ascii="仿宋_GB2312" w:hAnsi="仿宋" w:eastAsia="仿宋_GB2312" w:cs="宋体"/>
          <w:kern w:val="0"/>
          <w:sz w:val="28"/>
          <w:szCs w:val="28"/>
        </w:rPr>
        <w:t>（二）青苗</w:t>
      </w:r>
      <w:r>
        <w:rPr>
          <w:rFonts w:ascii="仿宋_GB2312" w:hAnsi="仿宋" w:eastAsia="仿宋_GB2312" w:cs="宋体"/>
          <w:kern w:val="0"/>
          <w:sz w:val="28"/>
          <w:szCs w:val="28"/>
        </w:rPr>
        <w:t>清点方法</w:t>
      </w:r>
    </w:p>
    <w:p>
      <w:pPr>
        <w:shd w:val="clear" w:color="auto" w:fill="FFFFFF"/>
        <w:spacing w:line="600" w:lineRule="exact"/>
        <w:ind w:firstLine="640"/>
        <w:rPr>
          <w:rFonts w:ascii="仿宋_GB2312" w:hAnsi="仿宋" w:eastAsia="仿宋_GB2312" w:cs="宋体"/>
          <w:bCs/>
          <w:kern w:val="0"/>
          <w:sz w:val="28"/>
          <w:szCs w:val="28"/>
        </w:rPr>
      </w:pPr>
      <w:r>
        <w:rPr>
          <w:rFonts w:hint="eastAsia" w:ascii="仿宋_GB2312" w:hAnsi="仿宋" w:eastAsia="仿宋_GB2312" w:cs="宋体"/>
          <w:kern w:val="0"/>
          <w:sz w:val="28"/>
          <w:szCs w:val="28"/>
        </w:rPr>
        <w:t>成片合理种植的果树、绿化乔木类树木、棕榈科类树木应由征收实施部门和被征收人以现场抽样方式选取最高补偿棵数的10%（双方各选取5%，双方至少各选取5棵）进行测量。果树补偿以平均冠幅作为补偿依据，乔木类树木以平均胸径或平均树高作为补偿依据，棕榈科类树木以平均地径作为补偿依据，</w:t>
      </w:r>
      <w:r>
        <w:rPr>
          <w:rFonts w:hint="eastAsia" w:ascii="仿宋_GB2312" w:hAnsi="仿宋" w:eastAsia="仿宋_GB2312" w:cs="宋体"/>
          <w:bCs/>
          <w:kern w:val="0"/>
          <w:sz w:val="28"/>
          <w:szCs w:val="28"/>
        </w:rPr>
        <w:t>葡萄</w:t>
      </w:r>
      <w:r>
        <w:rPr>
          <w:rFonts w:ascii="仿宋_GB2312" w:hAnsi="仿宋" w:eastAsia="仿宋_GB2312" w:cs="宋体"/>
          <w:bCs/>
          <w:kern w:val="0"/>
          <w:sz w:val="28"/>
          <w:szCs w:val="28"/>
        </w:rPr>
        <w:t>以平均藤径</w:t>
      </w:r>
      <w:r>
        <w:rPr>
          <w:rFonts w:hint="eastAsia" w:ascii="仿宋_GB2312" w:hAnsi="仿宋" w:eastAsia="仿宋_GB2312" w:cs="宋体"/>
          <w:bCs/>
          <w:kern w:val="0"/>
          <w:sz w:val="28"/>
          <w:szCs w:val="28"/>
        </w:rPr>
        <w:t>作为</w:t>
      </w:r>
      <w:r>
        <w:rPr>
          <w:rFonts w:ascii="仿宋_GB2312" w:hAnsi="仿宋" w:eastAsia="仿宋_GB2312" w:cs="宋体"/>
          <w:bCs/>
          <w:kern w:val="0"/>
          <w:sz w:val="28"/>
          <w:szCs w:val="28"/>
        </w:rPr>
        <w:t>补偿依据</w:t>
      </w:r>
      <w:r>
        <w:rPr>
          <w:rFonts w:hint="eastAsia" w:ascii="仿宋_GB2312" w:hAnsi="仿宋" w:eastAsia="仿宋_GB2312" w:cs="宋体"/>
          <w:bCs/>
          <w:kern w:val="0"/>
          <w:sz w:val="28"/>
          <w:szCs w:val="28"/>
        </w:rPr>
        <w:t>，</w:t>
      </w:r>
      <w:r>
        <w:rPr>
          <w:rFonts w:ascii="仿宋_GB2312" w:hAnsi="仿宋" w:eastAsia="仿宋_GB2312" w:cs="宋体"/>
          <w:bCs/>
          <w:kern w:val="0"/>
          <w:sz w:val="28"/>
          <w:szCs w:val="28"/>
        </w:rPr>
        <w:t>火龙果树以平均树龄作为补偿依据。</w:t>
      </w:r>
    </w:p>
    <w:p>
      <w:pPr>
        <w:shd w:val="clear" w:color="auto" w:fill="FFFFFF"/>
        <w:spacing w:line="600" w:lineRule="exact"/>
        <w:ind w:firstLine="640"/>
        <w:rPr>
          <w:rFonts w:ascii="仿宋_GB2312" w:hAnsi="宋体" w:eastAsia="仿宋_GB2312" w:cs="宋体"/>
          <w:kern w:val="0"/>
          <w:sz w:val="28"/>
          <w:szCs w:val="28"/>
        </w:rPr>
      </w:pPr>
      <w:r>
        <w:rPr>
          <w:rFonts w:hint="eastAsia" w:ascii="仿宋_GB2312" w:hAnsi="仿宋" w:eastAsia="仿宋_GB2312" w:cs="宋体"/>
          <w:kern w:val="0"/>
          <w:sz w:val="28"/>
          <w:szCs w:val="28"/>
        </w:rPr>
        <w:t>（三）</w:t>
      </w:r>
      <w:r>
        <w:rPr>
          <w:rFonts w:hint="eastAsia" w:ascii="仿宋_GB2312" w:hAnsi="仿宋" w:eastAsia="仿宋_GB2312" w:cs="宋体"/>
          <w:bCs/>
          <w:kern w:val="0"/>
          <w:sz w:val="28"/>
          <w:szCs w:val="28"/>
        </w:rPr>
        <w:t>青苗特殊</w:t>
      </w:r>
      <w:r>
        <w:rPr>
          <w:rFonts w:ascii="仿宋_GB2312" w:hAnsi="仿宋" w:eastAsia="仿宋_GB2312" w:cs="宋体"/>
          <w:bCs/>
          <w:kern w:val="0"/>
          <w:sz w:val="28"/>
          <w:szCs w:val="28"/>
        </w:rPr>
        <w:t>说明</w:t>
      </w:r>
    </w:p>
    <w:p>
      <w:pPr>
        <w:shd w:val="clear" w:color="auto" w:fill="FFFFFF"/>
        <w:spacing w:line="600" w:lineRule="exact"/>
        <w:ind w:firstLine="640"/>
        <w:rPr>
          <w:rFonts w:ascii="仿宋_GB2312" w:hAnsi="仿宋" w:eastAsia="仿宋_GB2312" w:cs="宋体"/>
          <w:kern w:val="0"/>
          <w:sz w:val="28"/>
          <w:szCs w:val="28"/>
        </w:rPr>
      </w:pPr>
      <w:r>
        <w:rPr>
          <w:rFonts w:hint="eastAsia" w:ascii="仿宋_GB2312" w:hAnsi="仿宋" w:eastAsia="仿宋_GB2312" w:cs="宋体"/>
          <w:kern w:val="0"/>
          <w:sz w:val="28"/>
          <w:szCs w:val="28"/>
        </w:rPr>
        <w:t>青苗补偿面积应扣除用于成片种植管理而搭建的建筑物和附着物的占地面积。</w:t>
      </w:r>
    </w:p>
    <w:p>
      <w:pPr>
        <w:shd w:val="clear" w:color="auto" w:fill="FFFFFF"/>
        <w:spacing w:line="600" w:lineRule="exact"/>
        <w:ind w:firstLine="640"/>
        <w:rPr>
          <w:rFonts w:ascii="仿宋_GB2312" w:hAnsi="仿宋" w:eastAsia="仿宋_GB2312" w:cs="宋体"/>
          <w:kern w:val="0"/>
          <w:sz w:val="28"/>
          <w:szCs w:val="28"/>
        </w:rPr>
      </w:pPr>
      <w:r>
        <w:rPr>
          <w:rFonts w:hint="eastAsia" w:ascii="仿宋_GB2312" w:hAnsi="黑体" w:eastAsia="仿宋_GB2312" w:cs="宋体"/>
          <w:b/>
          <w:kern w:val="0"/>
          <w:sz w:val="28"/>
          <w:szCs w:val="28"/>
        </w:rPr>
        <w:t>第十一条</w:t>
      </w:r>
      <w:r>
        <w:rPr>
          <w:rFonts w:ascii="仿宋_GB2312" w:hAnsi="Calibri" w:eastAsia="仿宋_GB2312" w:cs="Calibri"/>
          <w:kern w:val="0"/>
          <w:sz w:val="28"/>
          <w:szCs w:val="28"/>
        </w:rPr>
        <w:t xml:space="preserve"> </w:t>
      </w:r>
      <w:r>
        <w:rPr>
          <w:rFonts w:hint="eastAsia" w:ascii="仿宋_GB2312" w:hAnsi="仿宋" w:eastAsia="仿宋_GB2312" w:cs="宋体"/>
          <w:kern w:val="0"/>
          <w:sz w:val="28"/>
          <w:szCs w:val="28"/>
        </w:rPr>
        <w:t>在我市预征、统征范围内的土地，已支付鱼塘开发费款项的应予扣除。</w:t>
      </w:r>
    </w:p>
    <w:p>
      <w:pPr>
        <w:shd w:val="clear" w:color="auto" w:fill="FFFFFF"/>
        <w:spacing w:line="600" w:lineRule="exact"/>
        <w:ind w:firstLine="640"/>
        <w:rPr>
          <w:rFonts w:ascii="仿宋_GB2312" w:hAnsi="仿宋" w:eastAsia="仿宋_GB2312" w:cs="宋体"/>
          <w:kern w:val="0"/>
          <w:sz w:val="28"/>
          <w:szCs w:val="28"/>
        </w:rPr>
      </w:pPr>
      <w:r>
        <w:rPr>
          <w:rFonts w:hint="eastAsia" w:ascii="仿宋_GB2312" w:hAnsi="黑体" w:eastAsia="仿宋_GB2312" w:cs="宋体"/>
          <w:b/>
          <w:kern w:val="0"/>
          <w:sz w:val="28"/>
          <w:szCs w:val="28"/>
        </w:rPr>
        <w:t>第十二条</w:t>
      </w:r>
      <w:r>
        <w:rPr>
          <w:rFonts w:ascii="仿宋_GB2312" w:hAnsi="Calibri" w:eastAsia="仿宋_GB2312" w:cs="Calibri"/>
          <w:bCs/>
          <w:kern w:val="0"/>
          <w:sz w:val="28"/>
          <w:szCs w:val="28"/>
        </w:rPr>
        <w:t xml:space="preserve"> </w:t>
      </w:r>
      <w:r>
        <w:rPr>
          <w:rFonts w:hint="eastAsia" w:ascii="仿宋_GB2312" w:hAnsi="仿宋" w:eastAsia="仿宋_GB2312" w:cs="宋体"/>
          <w:kern w:val="0"/>
          <w:sz w:val="28"/>
          <w:szCs w:val="28"/>
        </w:rPr>
        <w:t>集体土地地上附着物中有合法产权的建筑物，在规划许可的条件下可就近调整与原用地面积相等的土地，用于被征收人新建安置住房，并按本办法及附件中所列的标准进行补偿。未安排土地用于被征收人新建房屋的，按上述第七条第一项规定确定补偿。</w:t>
      </w:r>
    </w:p>
    <w:p>
      <w:pPr>
        <w:shd w:val="clear" w:color="auto" w:fill="FFFFFF"/>
        <w:spacing w:line="600" w:lineRule="exact"/>
        <w:ind w:firstLine="641"/>
        <w:rPr>
          <w:rFonts w:ascii="仿宋_GB2312" w:hAnsi="仿宋" w:eastAsia="仿宋_GB2312" w:cs="宋体"/>
          <w:kern w:val="0"/>
          <w:sz w:val="28"/>
          <w:szCs w:val="28"/>
        </w:rPr>
      </w:pPr>
      <w:r>
        <w:rPr>
          <w:rFonts w:hint="eastAsia" w:ascii="仿宋_GB2312" w:hAnsi="仿宋" w:eastAsia="仿宋_GB2312" w:cs="宋体"/>
          <w:b/>
          <w:kern w:val="0"/>
          <w:sz w:val="28"/>
          <w:szCs w:val="28"/>
        </w:rPr>
        <w:t>第十三条</w:t>
      </w:r>
      <w:r>
        <w:rPr>
          <w:rFonts w:hint="eastAsia" w:ascii="仿宋_GB2312" w:hAnsi="仿宋" w:eastAsia="仿宋_GB2312" w:cs="宋体"/>
          <w:kern w:val="0"/>
          <w:sz w:val="28"/>
          <w:szCs w:val="28"/>
        </w:rPr>
        <w:t xml:space="preserve"> 对按期</w:t>
      </w:r>
      <w:r>
        <w:rPr>
          <w:rFonts w:ascii="仿宋_GB2312" w:hAnsi="仿宋" w:eastAsia="仿宋_GB2312" w:cs="宋体"/>
          <w:kern w:val="0"/>
          <w:sz w:val="28"/>
          <w:szCs w:val="28"/>
        </w:rPr>
        <w:t>签约、搬迁</w:t>
      </w:r>
      <w:r>
        <w:rPr>
          <w:rFonts w:hint="eastAsia" w:ascii="仿宋_GB2312" w:hAnsi="仿宋" w:eastAsia="仿宋_GB2312" w:cs="宋体"/>
          <w:bCs/>
          <w:kern w:val="0"/>
          <w:sz w:val="28"/>
          <w:szCs w:val="28"/>
        </w:rPr>
        <w:t>（清场）</w:t>
      </w:r>
      <w:r>
        <w:rPr>
          <w:rFonts w:ascii="仿宋_GB2312" w:hAnsi="仿宋" w:eastAsia="仿宋_GB2312" w:cs="宋体"/>
          <w:kern w:val="0"/>
          <w:sz w:val="28"/>
          <w:szCs w:val="28"/>
        </w:rPr>
        <w:t>的被征收人，</w:t>
      </w:r>
      <w:r>
        <w:rPr>
          <w:rFonts w:hint="eastAsia" w:ascii="仿宋_GB2312" w:hAnsi="仿宋" w:eastAsia="仿宋_GB2312" w:cs="宋体"/>
          <w:kern w:val="0"/>
          <w:sz w:val="28"/>
          <w:szCs w:val="28"/>
        </w:rPr>
        <w:t>可</w:t>
      </w:r>
      <w:r>
        <w:rPr>
          <w:rFonts w:ascii="仿宋_GB2312" w:hAnsi="仿宋" w:eastAsia="仿宋_GB2312" w:cs="宋体"/>
          <w:kern w:val="0"/>
          <w:sz w:val="28"/>
          <w:szCs w:val="28"/>
        </w:rPr>
        <w:t>给予</w:t>
      </w:r>
      <w:r>
        <w:rPr>
          <w:rFonts w:hint="eastAsia" w:ascii="仿宋_GB2312" w:hAnsi="仿宋" w:eastAsia="仿宋_GB2312" w:cs="宋体"/>
          <w:kern w:val="0"/>
          <w:sz w:val="28"/>
          <w:szCs w:val="28"/>
        </w:rPr>
        <w:t>奖励，奖励标准由各区自行制定并在补偿方案中明确。</w:t>
      </w:r>
    </w:p>
    <w:p>
      <w:pPr>
        <w:shd w:val="clear" w:color="auto" w:fill="FFFFFF"/>
        <w:spacing w:line="600" w:lineRule="exact"/>
        <w:ind w:firstLine="641"/>
        <w:rPr>
          <w:rFonts w:ascii="仿宋_GB2312" w:hAnsi="仿宋" w:eastAsia="仿宋_GB2312" w:cs="宋体"/>
          <w:kern w:val="0"/>
          <w:sz w:val="28"/>
          <w:szCs w:val="28"/>
        </w:rPr>
      </w:pPr>
      <w:r>
        <w:rPr>
          <w:rFonts w:hint="eastAsia" w:ascii="仿宋_GB2312" w:hAnsi="黑体" w:eastAsia="仿宋_GB2312" w:cs="宋体"/>
          <w:b/>
          <w:kern w:val="0"/>
          <w:sz w:val="28"/>
          <w:szCs w:val="28"/>
        </w:rPr>
        <w:t>第十四条</w:t>
      </w:r>
      <w:r>
        <w:rPr>
          <w:rFonts w:ascii="仿宋_GB2312" w:hAnsi="Calibri" w:eastAsia="仿宋_GB2312" w:cs="Calibri"/>
          <w:b/>
          <w:bCs/>
          <w:kern w:val="0"/>
          <w:sz w:val="28"/>
          <w:szCs w:val="28"/>
        </w:rPr>
        <w:t xml:space="preserve"> </w:t>
      </w:r>
      <w:r>
        <w:rPr>
          <w:rFonts w:hint="eastAsia" w:ascii="仿宋_GB2312" w:hAnsi="仿宋" w:eastAsia="仿宋_GB2312" w:cs="宋体"/>
          <w:kern w:val="0"/>
          <w:sz w:val="28"/>
          <w:szCs w:val="28"/>
        </w:rPr>
        <w:t>征收（征用）土地青苗及地上附着物中涉及残值处理的，由项目征收（征用）实施主体结合项目情况，在项目征收（征用）补偿方案中具体明确。</w:t>
      </w:r>
    </w:p>
    <w:p>
      <w:pPr>
        <w:shd w:val="clear" w:color="auto" w:fill="FFFFFF"/>
        <w:spacing w:line="600" w:lineRule="exact"/>
        <w:ind w:firstLine="641"/>
        <w:rPr>
          <w:rFonts w:ascii="仿宋_GB2312" w:hAnsi="宋体" w:eastAsia="仿宋_GB2312" w:cs="宋体"/>
          <w:kern w:val="0"/>
          <w:sz w:val="28"/>
          <w:szCs w:val="28"/>
        </w:rPr>
      </w:pPr>
      <w:r>
        <w:rPr>
          <w:rFonts w:hint="eastAsia" w:ascii="仿宋_GB2312" w:hAnsi="黑体" w:eastAsia="仿宋_GB2312" w:cs="宋体"/>
          <w:b/>
          <w:kern w:val="0"/>
          <w:sz w:val="28"/>
          <w:szCs w:val="28"/>
        </w:rPr>
        <w:t>第十五条</w:t>
      </w:r>
      <w:r>
        <w:rPr>
          <w:rFonts w:ascii="仿宋_GB2312" w:hAnsi="Calibri" w:eastAsia="仿宋_GB2312" w:cs="Calibri"/>
          <w:b/>
          <w:bCs/>
          <w:kern w:val="0"/>
          <w:sz w:val="28"/>
          <w:szCs w:val="28"/>
        </w:rPr>
        <w:t xml:space="preserve"> </w:t>
      </w:r>
      <w:r>
        <w:rPr>
          <w:rFonts w:hint="eastAsia" w:ascii="仿宋_GB2312" w:hAnsi="仿宋" w:eastAsia="仿宋_GB2312" w:cs="宋体"/>
          <w:spacing w:val="-11"/>
          <w:kern w:val="0"/>
          <w:sz w:val="28"/>
          <w:szCs w:val="28"/>
        </w:rPr>
        <w:t>本办法自</w:t>
      </w:r>
      <w:r>
        <w:rPr>
          <w:rFonts w:ascii="仿宋_GB2312" w:hAnsi="仿宋" w:eastAsia="仿宋_GB2312" w:cs="宋体"/>
          <w:spacing w:val="-11"/>
          <w:kern w:val="0"/>
          <w:sz w:val="28"/>
          <w:szCs w:val="28"/>
        </w:rPr>
        <w:t>2021</w:t>
      </w:r>
      <w:r>
        <w:rPr>
          <w:rFonts w:hint="eastAsia" w:ascii="仿宋_GB2312" w:hAnsi="仿宋" w:eastAsia="仿宋_GB2312" w:cs="宋体"/>
          <w:spacing w:val="-11"/>
          <w:kern w:val="0"/>
          <w:sz w:val="28"/>
          <w:szCs w:val="28"/>
        </w:rPr>
        <w:t>年</w:t>
      </w:r>
      <w:r>
        <w:rPr>
          <w:rFonts w:ascii="仿宋_GB2312" w:hAnsi="仿宋" w:eastAsia="仿宋_GB2312" w:cs="宋体"/>
          <w:spacing w:val="-11"/>
          <w:kern w:val="0"/>
          <w:sz w:val="28"/>
          <w:szCs w:val="28"/>
        </w:rPr>
        <w:t>5</w:t>
      </w:r>
      <w:r>
        <w:rPr>
          <w:rFonts w:hint="eastAsia" w:ascii="仿宋_GB2312" w:hAnsi="仿宋" w:eastAsia="仿宋_GB2312" w:cs="宋体"/>
          <w:spacing w:val="-11"/>
          <w:kern w:val="0"/>
          <w:sz w:val="28"/>
          <w:szCs w:val="28"/>
        </w:rPr>
        <w:t>月</w:t>
      </w:r>
      <w:r>
        <w:rPr>
          <w:rFonts w:ascii="仿宋_GB2312" w:hAnsi="仿宋" w:eastAsia="仿宋_GB2312" w:cs="宋体"/>
          <w:spacing w:val="-11"/>
          <w:kern w:val="0"/>
          <w:sz w:val="28"/>
          <w:szCs w:val="28"/>
        </w:rPr>
        <w:t>1</w:t>
      </w:r>
      <w:r>
        <w:rPr>
          <w:rFonts w:hint="eastAsia" w:ascii="仿宋_GB2312" w:hAnsi="仿宋" w:eastAsia="仿宋_GB2312" w:cs="宋体"/>
          <w:spacing w:val="-11"/>
          <w:kern w:val="0"/>
          <w:sz w:val="28"/>
          <w:szCs w:val="28"/>
        </w:rPr>
        <w:t>日起实施，有效期至</w:t>
      </w:r>
      <w:r>
        <w:rPr>
          <w:rFonts w:ascii="仿宋_GB2312" w:hAnsi="仿宋" w:eastAsia="仿宋_GB2312" w:cs="宋体"/>
          <w:spacing w:val="-11"/>
          <w:kern w:val="0"/>
          <w:sz w:val="28"/>
          <w:szCs w:val="28"/>
        </w:rPr>
        <w:t>2024</w:t>
      </w:r>
      <w:r>
        <w:rPr>
          <w:rFonts w:hint="eastAsia" w:ascii="仿宋_GB2312" w:hAnsi="仿宋" w:eastAsia="仿宋_GB2312" w:cs="宋体"/>
          <w:spacing w:val="-11"/>
          <w:kern w:val="0"/>
          <w:sz w:val="28"/>
          <w:szCs w:val="28"/>
        </w:rPr>
        <w:t>年</w:t>
      </w:r>
      <w:r>
        <w:rPr>
          <w:rFonts w:ascii="仿宋_GB2312" w:hAnsi="仿宋" w:eastAsia="仿宋_GB2312" w:cs="宋体"/>
          <w:spacing w:val="-11"/>
          <w:kern w:val="0"/>
          <w:sz w:val="28"/>
          <w:szCs w:val="28"/>
        </w:rPr>
        <w:t>4</w:t>
      </w:r>
      <w:r>
        <w:rPr>
          <w:rFonts w:hint="eastAsia" w:ascii="仿宋_GB2312" w:hAnsi="仿宋" w:eastAsia="仿宋_GB2312" w:cs="宋体"/>
          <w:spacing w:val="-11"/>
          <w:kern w:val="0"/>
          <w:sz w:val="28"/>
          <w:szCs w:val="28"/>
        </w:rPr>
        <w:t>月30日，原《珠海市征收（征用）土地青苗及地上附着物补偿办法》（珠府〔201</w:t>
      </w:r>
      <w:r>
        <w:rPr>
          <w:rFonts w:ascii="仿宋_GB2312" w:hAnsi="仿宋" w:eastAsia="仿宋_GB2312" w:cs="宋体"/>
          <w:spacing w:val="-11"/>
          <w:kern w:val="0"/>
          <w:sz w:val="28"/>
          <w:szCs w:val="28"/>
        </w:rPr>
        <w:t>8</w:t>
      </w:r>
      <w:r>
        <w:rPr>
          <w:rFonts w:hint="eastAsia" w:ascii="仿宋_GB2312" w:hAnsi="仿宋" w:eastAsia="仿宋_GB2312" w:cs="宋体"/>
          <w:spacing w:val="-11"/>
          <w:kern w:val="0"/>
          <w:sz w:val="28"/>
          <w:szCs w:val="28"/>
        </w:rPr>
        <w:t>〕43号）同时废止。</w:t>
      </w:r>
    </w:p>
    <w:p>
      <w:pPr>
        <w:shd w:val="clear" w:color="auto" w:fill="FFFFFF"/>
        <w:spacing w:line="600" w:lineRule="exact"/>
        <w:ind w:firstLine="641"/>
        <w:rPr>
          <w:rFonts w:ascii="仿宋_GB2312" w:hAnsi="仿宋" w:eastAsia="仿宋_GB2312" w:cs="宋体"/>
          <w:kern w:val="0"/>
          <w:sz w:val="28"/>
          <w:szCs w:val="28"/>
        </w:rPr>
      </w:pPr>
      <w:r>
        <w:rPr>
          <w:rFonts w:hint="eastAsia" w:ascii="仿宋_GB2312" w:hAnsi="仿宋" w:eastAsia="仿宋_GB2312" w:cs="宋体"/>
          <w:kern w:val="0"/>
          <w:sz w:val="28"/>
          <w:szCs w:val="28"/>
        </w:rPr>
        <w:t>本办法实施之日前，已经市政府批准的征收（征用）土地补偿方案或已按规定发布的用地（清场）公告中明确的补偿方案，仍按原方案执行。</w:t>
      </w:r>
    </w:p>
    <w:p>
      <w:pPr>
        <w:shd w:val="clear" w:color="auto" w:fill="FFFFFF"/>
        <w:spacing w:line="600" w:lineRule="exact"/>
        <w:ind w:firstLine="641"/>
        <w:rPr>
          <w:rFonts w:hint="eastAsia" w:ascii="仿宋_GB2312" w:hAnsi="仿宋" w:eastAsia="仿宋_GB2312" w:cs="宋体"/>
          <w:kern w:val="0"/>
          <w:sz w:val="28"/>
          <w:szCs w:val="28"/>
        </w:rPr>
      </w:pPr>
      <w:r>
        <w:rPr>
          <w:rFonts w:hint="eastAsia" w:ascii="仿宋_GB2312" w:hAnsi="仿宋" w:eastAsia="仿宋_GB2312" w:cs="宋体"/>
          <w:kern w:val="0"/>
          <w:sz w:val="28"/>
          <w:szCs w:val="28"/>
        </w:rPr>
        <w:t>本办法由珠海市自然资源局负责解释。</w:t>
      </w:r>
    </w:p>
    <w:p>
      <w:pPr>
        <w:shd w:val="clear" w:color="auto" w:fill="FFFFFF"/>
        <w:spacing w:line="600" w:lineRule="exact"/>
        <w:ind w:firstLine="641"/>
        <w:rPr>
          <w:rFonts w:hint="eastAsia" w:ascii="仿宋_GB2312" w:hAnsi="仿宋" w:eastAsia="仿宋_GB2312" w:cs="宋体"/>
          <w:kern w:val="0"/>
          <w:sz w:val="28"/>
          <w:szCs w:val="28"/>
        </w:rPr>
      </w:pPr>
    </w:p>
    <w:p>
      <w:pPr>
        <w:shd w:val="clear" w:color="auto" w:fill="FFFFFF"/>
        <w:wordWrap w:val="0"/>
        <w:spacing w:line="579" w:lineRule="atLeast"/>
        <w:ind w:firstLine="641"/>
        <w:rPr>
          <w:rFonts w:ascii="仿宋_GB2312" w:hAnsi="仿宋" w:eastAsia="仿宋_GB2312" w:cs="宋体"/>
          <w:kern w:val="0"/>
          <w:sz w:val="24"/>
          <w:szCs w:val="24"/>
        </w:rPr>
      </w:pPr>
      <w:r>
        <w:rPr>
          <w:rFonts w:hint="eastAsia" w:ascii="仿宋_GB2312" w:hAnsi="仿宋" w:eastAsia="仿宋_GB2312" w:cs="宋体"/>
          <w:kern w:val="0"/>
          <w:sz w:val="24"/>
          <w:szCs w:val="24"/>
        </w:rPr>
        <w:t>附件一：《珠海市征收（征用）土地青苗及地上附着物补偿分类明细表》</w:t>
      </w:r>
    </w:p>
    <w:p>
      <w:pPr>
        <w:shd w:val="clear" w:color="auto" w:fill="FFFFFF"/>
        <w:wordWrap w:val="0"/>
        <w:spacing w:line="579" w:lineRule="atLeast"/>
        <w:ind w:firstLine="641"/>
        <w:rPr>
          <w:rFonts w:ascii="仿宋_GB2312" w:hAnsi="黑体" w:eastAsia="仿宋_GB2312" w:cs="宋体"/>
          <w:b/>
          <w:kern w:val="0"/>
          <w:sz w:val="24"/>
          <w:szCs w:val="24"/>
        </w:rPr>
      </w:pPr>
      <w:r>
        <w:rPr>
          <w:rFonts w:hint="eastAsia" w:ascii="仿宋_GB2312" w:hAnsi="仿宋" w:eastAsia="仿宋_GB2312" w:cs="宋体"/>
          <w:kern w:val="0"/>
          <w:sz w:val="24"/>
          <w:szCs w:val="24"/>
        </w:rPr>
        <w:t>附件二：《珠海市征收（征用）土地青苗及地上附着物个案评估流程》</w:t>
      </w:r>
    </w:p>
    <w:p>
      <w:pPr>
        <w:shd w:val="clear" w:color="auto" w:fill="FFFFFF"/>
        <w:spacing w:line="600" w:lineRule="exact"/>
        <w:ind w:firstLine="641"/>
        <w:rPr>
          <w:rFonts w:hint="eastAsia" w:ascii="仿宋_GB2312" w:hAnsi="仿宋" w:eastAsia="仿宋_GB2312" w:cs="宋体"/>
          <w:kern w:val="0"/>
          <w:sz w:val="28"/>
          <w:szCs w:val="28"/>
        </w:rPr>
      </w:pPr>
    </w:p>
    <w:p>
      <w:pPr>
        <w:shd w:val="clear" w:color="auto" w:fill="FFFFFF"/>
        <w:wordWrap w:val="0"/>
        <w:spacing w:line="579" w:lineRule="atLeast"/>
        <w:ind w:firstLine="641"/>
        <w:rPr>
          <w:rFonts w:ascii="仿宋_GB2312" w:hAnsi="仿宋" w:eastAsia="仿宋_GB2312" w:cs="宋体"/>
          <w:b/>
          <w:kern w:val="0"/>
          <w:sz w:val="28"/>
          <w:szCs w:val="28"/>
        </w:rPr>
      </w:pPr>
    </w:p>
    <w:p>
      <w:pPr>
        <w:shd w:val="clear" w:color="auto" w:fill="FFFFFF"/>
        <w:wordWrap w:val="0"/>
        <w:spacing w:line="579" w:lineRule="atLeast"/>
        <w:ind w:firstLine="641"/>
        <w:rPr>
          <w:rFonts w:ascii="仿宋_GB2312" w:hAnsi="仿宋" w:eastAsia="仿宋_GB2312" w:cs="宋体"/>
          <w:b/>
          <w:kern w:val="0"/>
          <w:sz w:val="28"/>
          <w:szCs w:val="28"/>
        </w:rPr>
      </w:pPr>
    </w:p>
    <w:p>
      <w:pPr>
        <w:shd w:val="clear" w:color="auto" w:fill="FFFFFF"/>
        <w:wordWrap w:val="0"/>
        <w:spacing w:line="579" w:lineRule="atLeast"/>
        <w:ind w:firstLine="641"/>
        <w:rPr>
          <w:rFonts w:ascii="仿宋_GB2312" w:hAnsi="仿宋" w:eastAsia="仿宋_GB2312" w:cs="宋体"/>
          <w:b/>
          <w:kern w:val="0"/>
          <w:sz w:val="28"/>
          <w:szCs w:val="28"/>
        </w:rPr>
      </w:pPr>
    </w:p>
    <w:p>
      <w:pPr>
        <w:shd w:val="clear" w:color="auto" w:fill="FFFFFF"/>
        <w:wordWrap w:val="0"/>
        <w:spacing w:line="579" w:lineRule="atLeast"/>
        <w:ind w:firstLine="641"/>
        <w:rPr>
          <w:rFonts w:ascii="仿宋_GB2312" w:hAnsi="仿宋" w:eastAsia="仿宋_GB2312" w:cs="宋体"/>
          <w:b/>
          <w:kern w:val="0"/>
          <w:sz w:val="28"/>
          <w:szCs w:val="28"/>
        </w:rPr>
      </w:pPr>
    </w:p>
    <w:p>
      <w:pPr>
        <w:shd w:val="clear" w:color="auto" w:fill="FFFFFF"/>
        <w:wordWrap w:val="0"/>
        <w:spacing w:line="579" w:lineRule="atLeast"/>
        <w:ind w:firstLine="641"/>
        <w:rPr>
          <w:rFonts w:ascii="仿宋_GB2312" w:hAnsi="仿宋" w:eastAsia="仿宋_GB2312" w:cs="宋体"/>
          <w:b/>
          <w:kern w:val="0"/>
          <w:sz w:val="28"/>
          <w:szCs w:val="28"/>
        </w:rPr>
      </w:pPr>
    </w:p>
    <w:p>
      <w:pPr>
        <w:shd w:val="clear" w:color="auto" w:fill="FFFFFF"/>
        <w:wordWrap w:val="0"/>
        <w:spacing w:line="579" w:lineRule="atLeast"/>
        <w:ind w:firstLine="641"/>
        <w:rPr>
          <w:rFonts w:ascii="仿宋_GB2312" w:hAnsi="仿宋" w:eastAsia="仿宋_GB2312" w:cs="宋体"/>
          <w:b/>
          <w:kern w:val="0"/>
          <w:sz w:val="28"/>
          <w:szCs w:val="28"/>
        </w:rPr>
      </w:pPr>
    </w:p>
    <w:p>
      <w:pPr>
        <w:shd w:val="clear" w:color="auto" w:fill="FFFFFF"/>
        <w:wordWrap w:val="0"/>
        <w:spacing w:line="579" w:lineRule="atLeast"/>
        <w:ind w:firstLine="641"/>
        <w:rPr>
          <w:rFonts w:ascii="仿宋_GB2312" w:hAnsi="仿宋" w:eastAsia="仿宋_GB2312" w:cs="宋体"/>
          <w:b/>
          <w:kern w:val="0"/>
          <w:sz w:val="28"/>
          <w:szCs w:val="28"/>
        </w:rPr>
      </w:pPr>
    </w:p>
    <w:p>
      <w:pPr>
        <w:shd w:val="clear" w:color="auto" w:fill="FFFFFF"/>
        <w:wordWrap w:val="0"/>
        <w:spacing w:line="579" w:lineRule="atLeast"/>
        <w:ind w:firstLine="641"/>
        <w:rPr>
          <w:rFonts w:ascii="仿宋_GB2312" w:hAnsi="仿宋" w:eastAsia="仿宋_GB2312" w:cs="宋体"/>
          <w:b/>
          <w:kern w:val="0"/>
          <w:sz w:val="28"/>
          <w:szCs w:val="28"/>
        </w:rPr>
      </w:pPr>
    </w:p>
    <w:p>
      <w:pPr>
        <w:shd w:val="clear" w:color="auto" w:fill="FFFFFF"/>
        <w:wordWrap w:val="0"/>
        <w:spacing w:line="579" w:lineRule="atLeast"/>
        <w:ind w:firstLine="641"/>
        <w:rPr>
          <w:rFonts w:ascii="仿宋_GB2312" w:hAnsi="仿宋" w:eastAsia="仿宋_GB2312" w:cs="宋体"/>
          <w:b/>
          <w:kern w:val="0"/>
          <w:sz w:val="28"/>
          <w:szCs w:val="28"/>
        </w:rPr>
      </w:pPr>
    </w:p>
    <w:p>
      <w:pPr>
        <w:shd w:val="clear" w:color="auto" w:fill="FFFFFF"/>
        <w:wordWrap w:val="0"/>
        <w:spacing w:line="579" w:lineRule="atLeast"/>
        <w:ind w:firstLine="641"/>
        <w:rPr>
          <w:rFonts w:ascii="仿宋_GB2312" w:hAnsi="仿宋" w:eastAsia="仿宋_GB2312" w:cs="宋体"/>
          <w:b/>
          <w:kern w:val="0"/>
          <w:sz w:val="28"/>
          <w:szCs w:val="28"/>
        </w:rPr>
      </w:pPr>
    </w:p>
    <w:p>
      <w:pPr>
        <w:shd w:val="clear" w:color="auto" w:fill="FFFFFF"/>
        <w:wordWrap w:val="0"/>
        <w:spacing w:line="579" w:lineRule="atLeast"/>
        <w:ind w:firstLine="641"/>
        <w:rPr>
          <w:rFonts w:ascii="仿宋_GB2312" w:hAnsi="仿宋" w:eastAsia="仿宋_GB2312" w:cs="宋体"/>
          <w:b/>
          <w:kern w:val="0"/>
          <w:sz w:val="28"/>
          <w:szCs w:val="28"/>
        </w:rPr>
      </w:pPr>
    </w:p>
    <w:p>
      <w:pPr>
        <w:shd w:val="clear" w:color="auto" w:fill="FFFFFF"/>
        <w:wordWrap w:val="0"/>
        <w:spacing w:line="579" w:lineRule="atLeast"/>
        <w:ind w:firstLine="641"/>
        <w:rPr>
          <w:rFonts w:ascii="仿宋_GB2312" w:hAnsi="仿宋" w:eastAsia="仿宋_GB2312" w:cs="宋体"/>
          <w:b/>
          <w:kern w:val="0"/>
          <w:sz w:val="28"/>
          <w:szCs w:val="28"/>
        </w:rPr>
      </w:pPr>
      <w:bookmarkStart w:id="0" w:name="_GoBack"/>
      <w:bookmarkEnd w:id="0"/>
    </w:p>
    <w:p>
      <w:pPr>
        <w:shd w:val="clear" w:color="auto" w:fill="FFFFFF"/>
        <w:wordWrap w:val="0"/>
        <w:spacing w:line="579" w:lineRule="atLeast"/>
        <w:ind w:firstLine="641"/>
        <w:rPr>
          <w:rFonts w:ascii="仿宋_GB2312" w:hAnsi="仿宋" w:eastAsia="仿宋_GB2312" w:cs="宋体"/>
          <w:b/>
          <w:kern w:val="0"/>
          <w:sz w:val="28"/>
          <w:szCs w:val="28"/>
        </w:rPr>
      </w:pPr>
    </w:p>
    <w:p>
      <w:pPr>
        <w:widowControl/>
        <w:spacing w:before="156" w:beforeLines="50" w:after="156" w:afterLines="50" w:line="600" w:lineRule="exact"/>
        <w:jc w:val="center"/>
        <w:rPr>
          <w:rFonts w:ascii="仿宋_GB2312" w:hAnsi="黑体" w:eastAsia="仿宋_GB2312" w:cs="宋体"/>
          <w:b/>
          <w:kern w:val="0"/>
          <w:sz w:val="24"/>
          <w:szCs w:val="24"/>
        </w:rPr>
      </w:pPr>
      <w:r>
        <w:rPr>
          <w:rFonts w:hint="eastAsia" w:ascii="仿宋_GB2312" w:hAnsi="黑体" w:eastAsia="仿宋_GB2312" w:cs="宋体"/>
          <w:b/>
          <w:kern w:val="0"/>
          <w:sz w:val="24"/>
          <w:szCs w:val="24"/>
        </w:rPr>
        <w:t>附件一：</w:t>
      </w:r>
      <w:r>
        <w:rPr>
          <w:rFonts w:ascii="仿宋_GB2312" w:hAnsi="黑体" w:eastAsia="仿宋_GB2312" w:cs="宋体"/>
          <w:b/>
          <w:kern w:val="0"/>
          <w:sz w:val="24"/>
          <w:szCs w:val="24"/>
        </w:rPr>
        <w:t>《</w:t>
      </w:r>
      <w:r>
        <w:rPr>
          <w:rFonts w:hint="eastAsia" w:ascii="仿宋_GB2312" w:hAnsi="黑体" w:eastAsia="仿宋_GB2312" w:cs="宋体"/>
          <w:b/>
          <w:kern w:val="0"/>
          <w:sz w:val="24"/>
          <w:szCs w:val="24"/>
        </w:rPr>
        <w:t>珠海市征收（征用）土地青苗及地上附着物补偿分类明细表</w:t>
      </w:r>
      <w:r>
        <w:rPr>
          <w:rFonts w:ascii="仿宋_GB2312" w:hAnsi="黑体" w:eastAsia="仿宋_GB2312" w:cs="宋体"/>
          <w:b/>
          <w:kern w:val="0"/>
          <w:sz w:val="24"/>
          <w:szCs w:val="24"/>
        </w:rPr>
        <w:t>》</w:t>
      </w:r>
    </w:p>
    <w:p>
      <w:pPr>
        <w:widowControl/>
        <w:spacing w:before="156" w:beforeLines="50" w:after="156" w:afterLines="50"/>
        <w:jc w:val="center"/>
        <w:rPr>
          <w:rFonts w:ascii="仿宋_GB2312" w:hAnsi="黑体" w:eastAsia="仿宋_GB2312" w:cs="宋体"/>
          <w:b/>
          <w:kern w:val="0"/>
          <w:sz w:val="22"/>
        </w:rPr>
      </w:pPr>
    </w:p>
    <w:tbl>
      <w:tblPr>
        <w:tblStyle w:val="11"/>
        <w:tblW w:w="8286" w:type="dxa"/>
        <w:tblInd w:w="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5"/>
        <w:gridCol w:w="992"/>
        <w:gridCol w:w="1559"/>
        <w:gridCol w:w="709"/>
        <w:gridCol w:w="1146"/>
        <w:gridCol w:w="23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70" w:hRule="atLeast"/>
          <w:tblHeader/>
        </w:trPr>
        <w:tc>
          <w:tcPr>
            <w:tcW w:w="1535" w:type="dxa"/>
            <w:shd w:val="clear" w:color="auto" w:fill="auto"/>
            <w:vAlign w:val="center"/>
          </w:tcPr>
          <w:p>
            <w:pPr>
              <w:widowControl/>
              <w:spacing w:line="240" w:lineRule="exact"/>
              <w:jc w:val="center"/>
              <w:rPr>
                <w:rFonts w:ascii="宋体" w:hAnsi="宋体" w:eastAsia="宋体" w:cs="宋体"/>
                <w:b/>
                <w:bCs/>
                <w:kern w:val="0"/>
                <w:sz w:val="20"/>
                <w:szCs w:val="20"/>
              </w:rPr>
            </w:pPr>
            <w:r>
              <w:rPr>
                <w:rFonts w:hint="eastAsia" w:ascii="宋体" w:hAnsi="宋体" w:eastAsia="宋体" w:cs="宋体"/>
                <w:b/>
                <w:bCs/>
                <w:kern w:val="0"/>
                <w:sz w:val="20"/>
                <w:szCs w:val="20"/>
              </w:rPr>
              <w:t>征收类别</w:t>
            </w:r>
          </w:p>
        </w:tc>
        <w:tc>
          <w:tcPr>
            <w:tcW w:w="2551" w:type="dxa"/>
            <w:gridSpan w:val="2"/>
            <w:shd w:val="clear" w:color="auto" w:fill="auto"/>
            <w:vAlign w:val="center"/>
          </w:tcPr>
          <w:p>
            <w:pPr>
              <w:widowControl/>
              <w:spacing w:line="240" w:lineRule="exact"/>
              <w:jc w:val="center"/>
              <w:rPr>
                <w:rFonts w:ascii="宋体" w:hAnsi="宋体" w:eastAsia="宋体" w:cs="宋体"/>
                <w:b/>
                <w:bCs/>
                <w:kern w:val="0"/>
                <w:sz w:val="20"/>
                <w:szCs w:val="20"/>
              </w:rPr>
            </w:pPr>
            <w:r>
              <w:rPr>
                <w:rFonts w:hint="eastAsia" w:ascii="宋体" w:hAnsi="宋体" w:eastAsia="宋体" w:cs="宋体"/>
                <w:b/>
                <w:bCs/>
                <w:kern w:val="0"/>
                <w:sz w:val="20"/>
                <w:szCs w:val="20"/>
              </w:rPr>
              <w:t>征收细则</w:t>
            </w:r>
          </w:p>
        </w:tc>
        <w:tc>
          <w:tcPr>
            <w:tcW w:w="709" w:type="dxa"/>
            <w:shd w:val="clear" w:color="auto" w:fill="auto"/>
            <w:vAlign w:val="center"/>
          </w:tcPr>
          <w:p>
            <w:pPr>
              <w:widowControl/>
              <w:spacing w:line="240" w:lineRule="exact"/>
              <w:jc w:val="center"/>
              <w:rPr>
                <w:rFonts w:ascii="宋体" w:hAnsi="宋体" w:eastAsia="宋体" w:cs="宋体"/>
                <w:b/>
                <w:bCs/>
                <w:kern w:val="0"/>
                <w:sz w:val="20"/>
                <w:szCs w:val="20"/>
              </w:rPr>
            </w:pPr>
            <w:r>
              <w:rPr>
                <w:rFonts w:hint="eastAsia" w:ascii="宋体" w:hAnsi="宋体" w:eastAsia="宋体" w:cs="宋体"/>
                <w:b/>
                <w:bCs/>
                <w:kern w:val="0"/>
                <w:sz w:val="20"/>
                <w:szCs w:val="20"/>
              </w:rPr>
              <w:t>单位</w:t>
            </w:r>
          </w:p>
        </w:tc>
        <w:tc>
          <w:tcPr>
            <w:tcW w:w="1146" w:type="dxa"/>
            <w:shd w:val="clear" w:color="auto" w:fill="auto"/>
            <w:vAlign w:val="center"/>
          </w:tcPr>
          <w:p>
            <w:pPr>
              <w:widowControl/>
              <w:spacing w:line="240" w:lineRule="exact"/>
              <w:jc w:val="center"/>
              <w:rPr>
                <w:rFonts w:ascii="宋体" w:hAnsi="宋体" w:eastAsia="宋体" w:cs="宋体"/>
                <w:b/>
                <w:bCs/>
                <w:kern w:val="0"/>
                <w:sz w:val="20"/>
                <w:szCs w:val="20"/>
              </w:rPr>
            </w:pPr>
            <w:r>
              <w:rPr>
                <w:rFonts w:hint="eastAsia" w:ascii="宋体" w:hAnsi="宋体" w:eastAsia="宋体" w:cs="宋体"/>
                <w:b/>
                <w:bCs/>
                <w:kern w:val="0"/>
                <w:sz w:val="20"/>
                <w:szCs w:val="20"/>
              </w:rPr>
              <w:t>补偿标准（元）</w:t>
            </w:r>
          </w:p>
        </w:tc>
        <w:tc>
          <w:tcPr>
            <w:tcW w:w="2345" w:type="dxa"/>
            <w:shd w:val="clear" w:color="auto" w:fill="auto"/>
            <w:vAlign w:val="center"/>
          </w:tcPr>
          <w:p>
            <w:pPr>
              <w:widowControl/>
              <w:spacing w:line="240" w:lineRule="exact"/>
              <w:jc w:val="center"/>
              <w:rPr>
                <w:rFonts w:ascii="宋体" w:hAnsi="宋体" w:eastAsia="宋体" w:cs="宋体"/>
                <w:b/>
                <w:bCs/>
                <w:kern w:val="0"/>
                <w:sz w:val="20"/>
                <w:szCs w:val="20"/>
              </w:rPr>
            </w:pPr>
            <w:r>
              <w:rPr>
                <w:rFonts w:hint="eastAsia" w:ascii="宋体" w:hAnsi="宋体" w:eastAsia="宋体" w:cs="宋体"/>
                <w:b/>
                <w:bCs/>
                <w:kern w:val="0"/>
                <w:sz w:val="20"/>
                <w:szCs w:val="20"/>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2" w:hRule="atLeast"/>
        </w:trPr>
        <w:tc>
          <w:tcPr>
            <w:tcW w:w="1535" w:type="dxa"/>
            <w:shd w:val="clear" w:color="auto" w:fill="auto"/>
            <w:vAlign w:val="center"/>
          </w:tcPr>
          <w:p>
            <w:pPr>
              <w:widowControl/>
              <w:spacing w:line="240" w:lineRule="exact"/>
              <w:jc w:val="left"/>
              <w:rPr>
                <w:rFonts w:ascii="宋体" w:hAnsi="宋体" w:eastAsia="宋体" w:cs="宋体"/>
                <w:b/>
                <w:bCs/>
                <w:kern w:val="0"/>
                <w:sz w:val="20"/>
                <w:szCs w:val="20"/>
              </w:rPr>
            </w:pPr>
            <w:r>
              <w:rPr>
                <w:rFonts w:hint="eastAsia" w:ascii="宋体" w:hAnsi="宋体" w:eastAsia="宋体" w:cs="宋体"/>
                <w:b/>
                <w:bCs/>
                <w:kern w:val="0"/>
                <w:sz w:val="20"/>
                <w:szCs w:val="20"/>
              </w:rPr>
              <w:t>一、征收稻田</w:t>
            </w:r>
          </w:p>
        </w:tc>
        <w:tc>
          <w:tcPr>
            <w:tcW w:w="2551" w:type="dxa"/>
            <w:gridSpan w:val="2"/>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稻田</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5,000 </w:t>
            </w:r>
          </w:p>
        </w:tc>
        <w:tc>
          <w:tcPr>
            <w:tcW w:w="2345"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2" w:hRule="atLeast"/>
        </w:trPr>
        <w:tc>
          <w:tcPr>
            <w:tcW w:w="1535" w:type="dxa"/>
            <w:vMerge w:val="restart"/>
            <w:shd w:val="clear" w:color="auto" w:fill="auto"/>
            <w:vAlign w:val="center"/>
          </w:tcPr>
          <w:p>
            <w:pPr>
              <w:widowControl/>
              <w:spacing w:line="240" w:lineRule="exact"/>
              <w:jc w:val="left"/>
              <w:rPr>
                <w:rFonts w:ascii="宋体" w:hAnsi="宋体" w:eastAsia="宋体" w:cs="宋体"/>
                <w:b/>
                <w:bCs/>
                <w:kern w:val="0"/>
                <w:sz w:val="20"/>
                <w:szCs w:val="20"/>
              </w:rPr>
            </w:pPr>
            <w:r>
              <w:rPr>
                <w:rFonts w:hint="eastAsia" w:ascii="宋体" w:hAnsi="宋体" w:eastAsia="宋体" w:cs="宋体"/>
                <w:b/>
                <w:bCs/>
                <w:kern w:val="0"/>
                <w:sz w:val="20"/>
                <w:szCs w:val="20"/>
              </w:rPr>
              <w:t>二、征收甘蔗田</w:t>
            </w:r>
          </w:p>
        </w:tc>
        <w:tc>
          <w:tcPr>
            <w:tcW w:w="2551" w:type="dxa"/>
            <w:gridSpan w:val="2"/>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糖蔗</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4,900 </w:t>
            </w:r>
          </w:p>
        </w:tc>
        <w:tc>
          <w:tcPr>
            <w:tcW w:w="2345"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2" w:hRule="atLeast"/>
        </w:trPr>
        <w:tc>
          <w:tcPr>
            <w:tcW w:w="1535" w:type="dxa"/>
            <w:vMerge w:val="continue"/>
            <w:vAlign w:val="center"/>
          </w:tcPr>
          <w:p>
            <w:pPr>
              <w:widowControl/>
              <w:spacing w:line="240" w:lineRule="exact"/>
              <w:jc w:val="left"/>
              <w:rPr>
                <w:rFonts w:ascii="宋体" w:hAnsi="宋体" w:eastAsia="宋体" w:cs="宋体"/>
                <w:b/>
                <w:bCs/>
                <w:kern w:val="0"/>
                <w:sz w:val="20"/>
                <w:szCs w:val="20"/>
              </w:rPr>
            </w:pPr>
          </w:p>
        </w:tc>
        <w:tc>
          <w:tcPr>
            <w:tcW w:w="2551" w:type="dxa"/>
            <w:gridSpan w:val="2"/>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食用黑蔗</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5,800 </w:t>
            </w:r>
          </w:p>
        </w:tc>
        <w:tc>
          <w:tcPr>
            <w:tcW w:w="2345"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2" w:hRule="atLeast"/>
        </w:trPr>
        <w:tc>
          <w:tcPr>
            <w:tcW w:w="1535" w:type="dxa"/>
            <w:vMerge w:val="continue"/>
            <w:vAlign w:val="center"/>
          </w:tcPr>
          <w:p>
            <w:pPr>
              <w:widowControl/>
              <w:spacing w:line="240" w:lineRule="exact"/>
              <w:jc w:val="left"/>
              <w:rPr>
                <w:rFonts w:ascii="宋体" w:hAnsi="宋体" w:eastAsia="宋体" w:cs="宋体"/>
                <w:b/>
                <w:bCs/>
                <w:kern w:val="0"/>
                <w:sz w:val="20"/>
                <w:szCs w:val="20"/>
              </w:rPr>
            </w:pPr>
          </w:p>
        </w:tc>
        <w:tc>
          <w:tcPr>
            <w:tcW w:w="2551" w:type="dxa"/>
            <w:gridSpan w:val="2"/>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食用黄皮（白）蔗</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7,900 </w:t>
            </w:r>
          </w:p>
        </w:tc>
        <w:tc>
          <w:tcPr>
            <w:tcW w:w="2345"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2" w:hRule="atLeast"/>
        </w:trPr>
        <w:tc>
          <w:tcPr>
            <w:tcW w:w="1535" w:type="dxa"/>
            <w:vMerge w:val="restart"/>
            <w:shd w:val="clear" w:color="auto" w:fill="auto"/>
            <w:vAlign w:val="center"/>
          </w:tcPr>
          <w:p>
            <w:pPr>
              <w:widowControl/>
              <w:spacing w:line="240" w:lineRule="exact"/>
              <w:jc w:val="left"/>
              <w:rPr>
                <w:rFonts w:ascii="宋体" w:hAnsi="宋体" w:eastAsia="宋体" w:cs="宋体"/>
                <w:b/>
                <w:bCs/>
                <w:kern w:val="0"/>
                <w:sz w:val="20"/>
                <w:szCs w:val="20"/>
              </w:rPr>
            </w:pPr>
            <w:r>
              <w:rPr>
                <w:rFonts w:hint="eastAsia" w:ascii="宋体" w:hAnsi="宋体" w:eastAsia="宋体" w:cs="宋体"/>
                <w:b/>
                <w:bCs/>
                <w:kern w:val="0"/>
                <w:sz w:val="20"/>
                <w:szCs w:val="20"/>
              </w:rPr>
              <w:t>三、征收蔬菜田</w:t>
            </w:r>
          </w:p>
        </w:tc>
        <w:tc>
          <w:tcPr>
            <w:tcW w:w="2551" w:type="dxa"/>
            <w:gridSpan w:val="2"/>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已覆盖种植的</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5,000 </w:t>
            </w:r>
          </w:p>
        </w:tc>
        <w:tc>
          <w:tcPr>
            <w:tcW w:w="2345"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2" w:hRule="atLeast"/>
        </w:trPr>
        <w:tc>
          <w:tcPr>
            <w:tcW w:w="1535" w:type="dxa"/>
            <w:vMerge w:val="continue"/>
            <w:vAlign w:val="center"/>
          </w:tcPr>
          <w:p>
            <w:pPr>
              <w:widowControl/>
              <w:spacing w:line="240" w:lineRule="exact"/>
              <w:jc w:val="left"/>
              <w:rPr>
                <w:rFonts w:ascii="宋体" w:hAnsi="宋体" w:eastAsia="宋体" w:cs="宋体"/>
                <w:b/>
                <w:bCs/>
                <w:kern w:val="0"/>
                <w:sz w:val="20"/>
                <w:szCs w:val="20"/>
              </w:rPr>
            </w:pPr>
          </w:p>
        </w:tc>
        <w:tc>
          <w:tcPr>
            <w:tcW w:w="2551" w:type="dxa"/>
            <w:gridSpan w:val="2"/>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已开垦但未投种的</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1,400 </w:t>
            </w:r>
          </w:p>
        </w:tc>
        <w:tc>
          <w:tcPr>
            <w:tcW w:w="2345"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2" w:hRule="atLeast"/>
        </w:trPr>
        <w:tc>
          <w:tcPr>
            <w:tcW w:w="1535" w:type="dxa"/>
            <w:vMerge w:val="restart"/>
            <w:shd w:val="clear" w:color="auto" w:fill="auto"/>
            <w:vAlign w:val="center"/>
          </w:tcPr>
          <w:p>
            <w:pPr>
              <w:widowControl/>
              <w:spacing w:line="240" w:lineRule="exact"/>
              <w:jc w:val="left"/>
              <w:rPr>
                <w:rFonts w:ascii="宋体" w:hAnsi="宋体" w:eastAsia="宋体" w:cs="宋体"/>
                <w:b/>
                <w:bCs/>
                <w:kern w:val="0"/>
                <w:sz w:val="20"/>
                <w:szCs w:val="20"/>
              </w:rPr>
            </w:pPr>
            <w:r>
              <w:rPr>
                <w:rFonts w:hint="eastAsia" w:ascii="宋体" w:hAnsi="宋体" w:eastAsia="宋体" w:cs="宋体"/>
                <w:b/>
                <w:bCs/>
                <w:kern w:val="0"/>
                <w:sz w:val="20"/>
                <w:szCs w:val="20"/>
              </w:rPr>
              <w:t>四、征收荷花塘、莲藕塘</w:t>
            </w:r>
          </w:p>
        </w:tc>
        <w:tc>
          <w:tcPr>
            <w:tcW w:w="2551" w:type="dxa"/>
            <w:gridSpan w:val="2"/>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水塘开发费</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3,500 </w:t>
            </w:r>
          </w:p>
        </w:tc>
        <w:tc>
          <w:tcPr>
            <w:tcW w:w="2345"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2" w:hRule="atLeast"/>
        </w:trPr>
        <w:tc>
          <w:tcPr>
            <w:tcW w:w="1535" w:type="dxa"/>
            <w:vMerge w:val="continue"/>
            <w:vAlign w:val="center"/>
          </w:tcPr>
          <w:p>
            <w:pPr>
              <w:widowControl/>
              <w:spacing w:line="240" w:lineRule="exact"/>
              <w:jc w:val="left"/>
              <w:rPr>
                <w:rFonts w:ascii="宋体" w:hAnsi="宋体" w:eastAsia="宋体" w:cs="宋体"/>
                <w:b/>
                <w:bCs/>
                <w:kern w:val="0"/>
                <w:sz w:val="20"/>
                <w:szCs w:val="20"/>
              </w:rPr>
            </w:pPr>
          </w:p>
        </w:tc>
        <w:tc>
          <w:tcPr>
            <w:tcW w:w="2551" w:type="dxa"/>
            <w:gridSpan w:val="2"/>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青苗补偿费</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5,200 </w:t>
            </w:r>
          </w:p>
        </w:tc>
        <w:tc>
          <w:tcPr>
            <w:tcW w:w="2345"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trPr>
        <w:tc>
          <w:tcPr>
            <w:tcW w:w="1535" w:type="dxa"/>
            <w:vMerge w:val="restart"/>
            <w:shd w:val="clear" w:color="auto" w:fill="auto"/>
            <w:vAlign w:val="center"/>
          </w:tcPr>
          <w:p>
            <w:pPr>
              <w:widowControl/>
              <w:spacing w:line="240" w:lineRule="exact"/>
              <w:jc w:val="left"/>
              <w:rPr>
                <w:rFonts w:ascii="宋体" w:hAnsi="宋体" w:eastAsia="宋体" w:cs="宋体"/>
                <w:b/>
                <w:bCs/>
                <w:kern w:val="0"/>
                <w:sz w:val="20"/>
                <w:szCs w:val="20"/>
              </w:rPr>
            </w:pPr>
            <w:r>
              <w:rPr>
                <w:rFonts w:hint="eastAsia" w:ascii="宋体" w:hAnsi="宋体" w:eastAsia="宋体" w:cs="宋体"/>
                <w:b/>
                <w:bCs/>
                <w:kern w:val="0"/>
                <w:sz w:val="20"/>
                <w:szCs w:val="20"/>
              </w:rPr>
              <w:t>五、征收竹林、食用竹笋</w:t>
            </w:r>
          </w:p>
        </w:tc>
        <w:tc>
          <w:tcPr>
            <w:tcW w:w="2551" w:type="dxa"/>
            <w:gridSpan w:val="2"/>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成片竹林</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6,000 </w:t>
            </w:r>
          </w:p>
        </w:tc>
        <w:tc>
          <w:tcPr>
            <w:tcW w:w="2345" w:type="dxa"/>
            <w:vMerge w:val="restart"/>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被征收地单位的同一地块，以每亩栽种30堆为基数，小于或等于亩栽种基数的按零星竹林、食用竹笋计补，大于亩栽种基数，按成片竹林、食用竹笋地计补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trPr>
        <w:tc>
          <w:tcPr>
            <w:tcW w:w="1535" w:type="dxa"/>
            <w:vMerge w:val="continue"/>
            <w:vAlign w:val="center"/>
          </w:tcPr>
          <w:p>
            <w:pPr>
              <w:widowControl/>
              <w:spacing w:line="240" w:lineRule="exact"/>
              <w:jc w:val="left"/>
              <w:rPr>
                <w:rFonts w:ascii="宋体" w:hAnsi="宋体" w:eastAsia="宋体" w:cs="宋体"/>
                <w:b/>
                <w:bCs/>
                <w:kern w:val="0"/>
                <w:sz w:val="20"/>
                <w:szCs w:val="20"/>
              </w:rPr>
            </w:pPr>
          </w:p>
        </w:tc>
        <w:tc>
          <w:tcPr>
            <w:tcW w:w="2551" w:type="dxa"/>
            <w:gridSpan w:val="2"/>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零星竹子以20-40根为一堆</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每堆</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60 </w:t>
            </w:r>
          </w:p>
        </w:tc>
        <w:tc>
          <w:tcPr>
            <w:tcW w:w="2345" w:type="dxa"/>
            <w:vMerge w:val="continue"/>
            <w:vAlign w:val="center"/>
          </w:tcPr>
          <w:p>
            <w:pPr>
              <w:widowControl/>
              <w:spacing w:line="240" w:lineRule="exact"/>
              <w:rPr>
                <w:rFonts w:ascii="宋体" w:hAnsi="宋体" w:eastAsia="宋体" w:cs="宋体"/>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trPr>
        <w:tc>
          <w:tcPr>
            <w:tcW w:w="1535" w:type="dxa"/>
            <w:vMerge w:val="continue"/>
            <w:vAlign w:val="center"/>
          </w:tcPr>
          <w:p>
            <w:pPr>
              <w:widowControl/>
              <w:spacing w:line="240" w:lineRule="exact"/>
              <w:jc w:val="left"/>
              <w:rPr>
                <w:rFonts w:ascii="宋体" w:hAnsi="宋体" w:eastAsia="宋体" w:cs="宋体"/>
                <w:b/>
                <w:bCs/>
                <w:kern w:val="0"/>
                <w:sz w:val="20"/>
                <w:szCs w:val="20"/>
              </w:rPr>
            </w:pPr>
          </w:p>
        </w:tc>
        <w:tc>
          <w:tcPr>
            <w:tcW w:w="2551" w:type="dxa"/>
            <w:gridSpan w:val="2"/>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成片食用竹笋</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9,000 </w:t>
            </w:r>
          </w:p>
        </w:tc>
        <w:tc>
          <w:tcPr>
            <w:tcW w:w="2345" w:type="dxa"/>
            <w:vMerge w:val="continue"/>
            <w:vAlign w:val="center"/>
          </w:tcPr>
          <w:p>
            <w:pPr>
              <w:widowControl/>
              <w:spacing w:line="240" w:lineRule="exact"/>
              <w:rPr>
                <w:rFonts w:ascii="宋体" w:hAnsi="宋体" w:eastAsia="宋体" w:cs="宋体"/>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6" w:hRule="atLeast"/>
        </w:trPr>
        <w:tc>
          <w:tcPr>
            <w:tcW w:w="1535" w:type="dxa"/>
            <w:vMerge w:val="continue"/>
            <w:vAlign w:val="center"/>
          </w:tcPr>
          <w:p>
            <w:pPr>
              <w:widowControl/>
              <w:spacing w:line="240" w:lineRule="exact"/>
              <w:jc w:val="left"/>
              <w:rPr>
                <w:rFonts w:ascii="宋体" w:hAnsi="宋体" w:eastAsia="宋体" w:cs="宋体"/>
                <w:b/>
                <w:bCs/>
                <w:kern w:val="0"/>
                <w:sz w:val="20"/>
                <w:szCs w:val="20"/>
              </w:rPr>
            </w:pPr>
          </w:p>
        </w:tc>
        <w:tc>
          <w:tcPr>
            <w:tcW w:w="2551" w:type="dxa"/>
            <w:gridSpan w:val="2"/>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零星食用竹笋以20-40根为一堆</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每堆</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90 </w:t>
            </w:r>
          </w:p>
        </w:tc>
        <w:tc>
          <w:tcPr>
            <w:tcW w:w="2345" w:type="dxa"/>
            <w:vMerge w:val="continue"/>
            <w:vAlign w:val="center"/>
          </w:tcPr>
          <w:p>
            <w:pPr>
              <w:widowControl/>
              <w:spacing w:line="240" w:lineRule="exact"/>
              <w:rPr>
                <w:rFonts w:ascii="宋体" w:hAnsi="宋体" w:eastAsia="宋体" w:cs="宋体"/>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2" w:hRule="atLeast"/>
        </w:trPr>
        <w:tc>
          <w:tcPr>
            <w:tcW w:w="1535" w:type="dxa"/>
            <w:vMerge w:val="restart"/>
            <w:shd w:val="clear" w:color="auto" w:fill="auto"/>
            <w:vAlign w:val="center"/>
          </w:tcPr>
          <w:p>
            <w:pPr>
              <w:widowControl/>
              <w:spacing w:line="240" w:lineRule="exact"/>
              <w:jc w:val="left"/>
              <w:rPr>
                <w:rFonts w:ascii="宋体" w:hAnsi="宋体" w:eastAsia="宋体" w:cs="宋体"/>
                <w:b/>
                <w:bCs/>
                <w:kern w:val="0"/>
                <w:sz w:val="20"/>
                <w:szCs w:val="20"/>
              </w:rPr>
            </w:pPr>
            <w:r>
              <w:rPr>
                <w:rFonts w:hint="eastAsia" w:ascii="宋体" w:hAnsi="宋体" w:eastAsia="宋体" w:cs="宋体"/>
                <w:b/>
                <w:bCs/>
                <w:kern w:val="0"/>
                <w:sz w:val="20"/>
                <w:szCs w:val="20"/>
              </w:rPr>
              <w:t>六、征收山林地绿植</w:t>
            </w:r>
          </w:p>
        </w:tc>
        <w:tc>
          <w:tcPr>
            <w:tcW w:w="2551" w:type="dxa"/>
            <w:gridSpan w:val="2"/>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宜林地绿植</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1,400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山林地青苗补偿面积按水平投影面积计算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trPr>
        <w:tc>
          <w:tcPr>
            <w:tcW w:w="1535" w:type="dxa"/>
            <w:vMerge w:val="continue"/>
            <w:vAlign w:val="center"/>
          </w:tcPr>
          <w:p>
            <w:pPr>
              <w:widowControl/>
              <w:spacing w:line="240" w:lineRule="exact"/>
              <w:jc w:val="left"/>
              <w:rPr>
                <w:rFonts w:ascii="宋体" w:hAnsi="宋体" w:eastAsia="宋体" w:cs="宋体"/>
                <w:b/>
                <w:bCs/>
                <w:kern w:val="0"/>
                <w:sz w:val="20"/>
                <w:szCs w:val="20"/>
              </w:rPr>
            </w:pPr>
          </w:p>
        </w:tc>
        <w:tc>
          <w:tcPr>
            <w:tcW w:w="2551" w:type="dxa"/>
            <w:gridSpan w:val="2"/>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疏林地绿植（0.1≤郁闭度＜0.2）</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2,100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山林地青苗补偿面积按水平投影面积计算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3" w:hRule="atLeast"/>
        </w:trPr>
        <w:tc>
          <w:tcPr>
            <w:tcW w:w="1535" w:type="dxa"/>
            <w:vMerge w:val="continue"/>
            <w:vAlign w:val="center"/>
          </w:tcPr>
          <w:p>
            <w:pPr>
              <w:widowControl/>
              <w:spacing w:line="240" w:lineRule="exact"/>
              <w:jc w:val="left"/>
              <w:rPr>
                <w:rFonts w:ascii="宋体" w:hAnsi="宋体" w:eastAsia="宋体" w:cs="宋体"/>
                <w:b/>
                <w:bCs/>
                <w:kern w:val="0"/>
                <w:sz w:val="20"/>
                <w:szCs w:val="20"/>
              </w:rPr>
            </w:pPr>
          </w:p>
        </w:tc>
        <w:tc>
          <w:tcPr>
            <w:tcW w:w="2551" w:type="dxa"/>
            <w:gridSpan w:val="2"/>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郁闭度≥0.2的新造林地绿植（造林三年内、树木平均胸径＜5厘米）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3,000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山林地青苗补偿面积按水平投影面积计算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2" w:hRule="atLeast"/>
        </w:trPr>
        <w:tc>
          <w:tcPr>
            <w:tcW w:w="1535" w:type="dxa"/>
            <w:vMerge w:val="continue"/>
            <w:vAlign w:val="center"/>
          </w:tcPr>
          <w:p>
            <w:pPr>
              <w:widowControl/>
              <w:spacing w:line="240" w:lineRule="exact"/>
              <w:jc w:val="left"/>
              <w:rPr>
                <w:rFonts w:ascii="宋体" w:hAnsi="宋体" w:eastAsia="宋体" w:cs="宋体"/>
                <w:b/>
                <w:bCs/>
                <w:kern w:val="0"/>
                <w:sz w:val="20"/>
                <w:szCs w:val="20"/>
              </w:rPr>
            </w:pPr>
          </w:p>
        </w:tc>
        <w:tc>
          <w:tcPr>
            <w:tcW w:w="2551" w:type="dxa"/>
            <w:gridSpan w:val="2"/>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郁闭度≥0.2的林地绿植（5厘米≤树木平均胸径＜15厘米）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3,800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山林地青苗补偿面积按水平投影面积计算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7" w:hRule="atLeast"/>
        </w:trPr>
        <w:tc>
          <w:tcPr>
            <w:tcW w:w="1535" w:type="dxa"/>
            <w:vMerge w:val="continue"/>
            <w:vAlign w:val="center"/>
          </w:tcPr>
          <w:p>
            <w:pPr>
              <w:widowControl/>
              <w:spacing w:line="240" w:lineRule="exact"/>
              <w:jc w:val="left"/>
              <w:rPr>
                <w:rFonts w:ascii="宋体" w:hAnsi="宋体" w:eastAsia="宋体" w:cs="宋体"/>
                <w:b/>
                <w:bCs/>
                <w:kern w:val="0"/>
                <w:sz w:val="20"/>
                <w:szCs w:val="20"/>
              </w:rPr>
            </w:pPr>
          </w:p>
        </w:tc>
        <w:tc>
          <w:tcPr>
            <w:tcW w:w="2551" w:type="dxa"/>
            <w:gridSpan w:val="2"/>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郁闭度≥0.2的林地绿植（树木平均胸径≥15厘米）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5,600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山林地青苗补偿面积按水平投影面积计算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8" w:hRule="atLeast"/>
        </w:trPr>
        <w:tc>
          <w:tcPr>
            <w:tcW w:w="1535" w:type="dxa"/>
            <w:vMerge w:val="continue"/>
            <w:vAlign w:val="center"/>
          </w:tcPr>
          <w:p>
            <w:pPr>
              <w:widowControl/>
              <w:spacing w:line="240" w:lineRule="exact"/>
              <w:jc w:val="left"/>
              <w:rPr>
                <w:rFonts w:ascii="宋体" w:hAnsi="宋体" w:eastAsia="宋体" w:cs="宋体"/>
                <w:b/>
                <w:bCs/>
                <w:kern w:val="0"/>
                <w:sz w:val="20"/>
                <w:szCs w:val="20"/>
              </w:rPr>
            </w:pPr>
          </w:p>
        </w:tc>
        <w:tc>
          <w:tcPr>
            <w:tcW w:w="2551" w:type="dxa"/>
            <w:gridSpan w:val="2"/>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灌木林地绿植（棘林地）</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1,800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山林地青苗补偿面积按水平投影面积计算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35" w:type="dxa"/>
            <w:vMerge w:val="continue"/>
            <w:vAlign w:val="center"/>
          </w:tcPr>
          <w:p>
            <w:pPr>
              <w:widowControl/>
              <w:spacing w:line="240" w:lineRule="exact"/>
              <w:jc w:val="left"/>
              <w:rPr>
                <w:rFonts w:ascii="宋体" w:hAnsi="宋体" w:eastAsia="宋体" w:cs="宋体"/>
                <w:b/>
                <w:bCs/>
                <w:kern w:val="0"/>
                <w:sz w:val="20"/>
                <w:szCs w:val="20"/>
              </w:rPr>
            </w:pPr>
          </w:p>
        </w:tc>
        <w:tc>
          <w:tcPr>
            <w:tcW w:w="6751" w:type="dxa"/>
            <w:gridSpan w:val="5"/>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荒山上非人工种植的草丛荒地不予补偿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7" w:hRule="atLeast"/>
        </w:trPr>
        <w:tc>
          <w:tcPr>
            <w:tcW w:w="1535" w:type="dxa"/>
            <w:vMerge w:val="restart"/>
            <w:shd w:val="clear" w:color="auto" w:fill="auto"/>
            <w:vAlign w:val="center"/>
          </w:tcPr>
          <w:p>
            <w:pPr>
              <w:widowControl/>
              <w:spacing w:line="240" w:lineRule="exact"/>
              <w:jc w:val="left"/>
              <w:rPr>
                <w:rFonts w:ascii="宋体" w:hAnsi="宋体" w:eastAsia="宋体" w:cs="宋体"/>
                <w:b/>
                <w:bCs/>
                <w:kern w:val="0"/>
                <w:sz w:val="20"/>
                <w:szCs w:val="20"/>
              </w:rPr>
            </w:pPr>
            <w:r>
              <w:rPr>
                <w:rFonts w:hint="eastAsia" w:ascii="宋体" w:hAnsi="宋体" w:eastAsia="宋体" w:cs="宋体"/>
                <w:b/>
                <w:bCs/>
                <w:kern w:val="0"/>
                <w:sz w:val="20"/>
                <w:szCs w:val="20"/>
              </w:rPr>
              <w:t>七、征收果树　</w:t>
            </w:r>
          </w:p>
        </w:tc>
        <w:tc>
          <w:tcPr>
            <w:tcW w:w="992" w:type="dxa"/>
            <w:vMerge w:val="restart"/>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荔枝树、龙眼树</w:t>
            </w:r>
          </w:p>
        </w:tc>
        <w:tc>
          <w:tcPr>
            <w:tcW w:w="1559"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平均冠幅0.5米以内(不含0.5米)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6,000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成片每亩最多补偿240棵，零星果树每棵补偿25元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84"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shd w:val="clear" w:color="auto" w:fill="auto"/>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0.5米≤平均冠幅≤1米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7,200-12,800</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成片每亩最多补偿80棵，平均冠幅在0.5米的基础上每增加0.1米，补偿价每亩在7200元的基础上增加1120元，即冠幅0.5米时，每亩补偿7200元，冠幅1米时，每亩补偿12800元，零星果树每棵补偿90-160元，零星果树冠幅为0.5米时，每棵补偿90元，冠幅每增加0.1米每棵补偿价增加14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4"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shd w:val="clear" w:color="auto" w:fill="auto"/>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1米＜平均冠幅≤1.5米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16,800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成片每亩最多补偿60棵，零星果树每棵补偿280元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4"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shd w:val="clear" w:color="auto" w:fill="auto"/>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1.5米＜平均冠幅≤2米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20,000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成片每亩最多补偿50棵，零星果树每棵补偿400元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4"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shd w:val="clear" w:color="auto" w:fill="auto"/>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2米＜平均冠幅≤2.5米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21,600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成片每亩最多补偿45棵，零星果树每棵补偿480元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4"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shd w:val="clear" w:color="auto" w:fill="auto"/>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2.5米＜平均冠幅≤3米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23,000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成片每亩最多补偿40棵，零星果树每棵补偿575元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4"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shd w:val="clear" w:color="auto" w:fill="auto"/>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3米＜平均冠幅≤3.5米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24,500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成片每亩最多补偿35棵，零星果树每棵补偿700元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4"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shd w:val="clear" w:color="auto" w:fill="auto"/>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3.5米＜平均冠幅≤4米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26,000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成片每亩最多补偿30棵，零星果树每棵补偿870元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4"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shd w:val="clear" w:color="auto" w:fill="auto"/>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4米＜平均冠幅≤4.5米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28,000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成片每亩最多补偿28棵，零星果树每棵补偿1000元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4"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shd w:val="clear" w:color="auto" w:fill="auto"/>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4.5米＜平均冠幅≤5米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30,000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成片每亩最多补偿25棵，零星果树每棵补偿1200元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4"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shd w:val="clear" w:color="auto" w:fill="auto"/>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5米＜平均冠幅≤5.5米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31,500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成片每亩最多补偿21棵，零星果树每棵补偿1500元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4"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shd w:val="clear" w:color="auto" w:fill="auto"/>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5.5米＜平均冠幅≤6米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33,000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成片每亩最多补偿18棵，零星果树每棵补偿1835元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4"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shd w:val="clear" w:color="auto" w:fill="auto"/>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6米＜平均冠幅≤6.5米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34,500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成片每亩最多补偿15棵，零星果树每棵补偿2300元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4" w:hRule="atLeast"/>
        </w:trPr>
        <w:tc>
          <w:tcPr>
            <w:tcW w:w="1535" w:type="dxa"/>
            <w:vMerge w:val="restart"/>
            <w:shd w:val="clear" w:color="auto" w:fill="auto"/>
            <w:vAlign w:val="center"/>
          </w:tcPr>
          <w:p>
            <w:pPr>
              <w:widowControl/>
              <w:spacing w:line="240" w:lineRule="exact"/>
              <w:jc w:val="left"/>
              <w:rPr>
                <w:rFonts w:ascii="宋体" w:hAnsi="宋体" w:eastAsia="宋体" w:cs="宋体"/>
                <w:b/>
                <w:bCs/>
                <w:kern w:val="0"/>
                <w:sz w:val="20"/>
                <w:szCs w:val="20"/>
              </w:rPr>
            </w:pPr>
            <w:r>
              <w:rPr>
                <w:rFonts w:hint="eastAsia" w:ascii="宋体" w:hAnsi="宋体" w:eastAsia="宋体" w:cs="宋体"/>
                <w:b/>
                <w:bCs/>
                <w:kern w:val="0"/>
                <w:sz w:val="20"/>
                <w:szCs w:val="20"/>
              </w:rPr>
              <w:t>七、征收果树</w:t>
            </w:r>
          </w:p>
          <w:p>
            <w:pPr>
              <w:spacing w:line="240" w:lineRule="exact"/>
              <w:jc w:val="left"/>
              <w:rPr>
                <w:rFonts w:ascii="宋体" w:hAnsi="宋体" w:eastAsia="宋体" w:cs="宋体"/>
                <w:b/>
                <w:bCs/>
                <w:kern w:val="0"/>
                <w:sz w:val="20"/>
                <w:szCs w:val="20"/>
              </w:rPr>
            </w:pPr>
            <w:r>
              <w:rPr>
                <w:rFonts w:hint="eastAsia" w:ascii="宋体" w:hAnsi="宋体" w:eastAsia="宋体" w:cs="宋体"/>
                <w:b/>
                <w:bCs/>
                <w:kern w:val="0"/>
                <w:sz w:val="20"/>
                <w:szCs w:val="20"/>
              </w:rPr>
              <w:t>　</w:t>
            </w:r>
          </w:p>
        </w:tc>
        <w:tc>
          <w:tcPr>
            <w:tcW w:w="992" w:type="dxa"/>
            <w:vMerge w:val="restart"/>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荔枝树、龙眼树</w:t>
            </w:r>
          </w:p>
        </w:tc>
        <w:tc>
          <w:tcPr>
            <w:tcW w:w="1559"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6.5米＜平均冠幅≤7米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36,000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成片每亩最多补偿13棵，零星果树每棵补偿2770元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4" w:hRule="atLeast"/>
        </w:trPr>
        <w:tc>
          <w:tcPr>
            <w:tcW w:w="1535" w:type="dxa"/>
            <w:vMerge w:val="continue"/>
            <w:shd w:val="clear" w:color="auto" w:fill="auto"/>
            <w:vAlign w:val="center"/>
          </w:tcPr>
          <w:p>
            <w:pPr>
              <w:spacing w:line="240" w:lineRule="exact"/>
              <w:jc w:val="left"/>
              <w:rPr>
                <w:rFonts w:ascii="宋体" w:hAnsi="宋体" w:eastAsia="宋体" w:cs="宋体"/>
                <w:b/>
                <w:bCs/>
                <w:kern w:val="0"/>
                <w:sz w:val="20"/>
                <w:szCs w:val="20"/>
              </w:rPr>
            </w:pPr>
          </w:p>
        </w:tc>
        <w:tc>
          <w:tcPr>
            <w:tcW w:w="992" w:type="dxa"/>
            <w:vMerge w:val="continue"/>
            <w:shd w:val="clear" w:color="auto" w:fill="auto"/>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7米＜平均冠幅≤7.5米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37,500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成片每亩最多补偿</w:t>
            </w:r>
            <w:r>
              <w:rPr>
                <w:rFonts w:ascii="宋体" w:hAnsi="宋体" w:eastAsia="宋体" w:cs="宋体"/>
                <w:kern w:val="0"/>
                <w:sz w:val="20"/>
                <w:szCs w:val="20"/>
              </w:rPr>
              <w:t>12</w:t>
            </w:r>
            <w:r>
              <w:rPr>
                <w:rFonts w:hint="eastAsia" w:ascii="宋体" w:hAnsi="宋体" w:eastAsia="宋体" w:cs="宋体"/>
                <w:kern w:val="0"/>
                <w:sz w:val="20"/>
                <w:szCs w:val="20"/>
              </w:rPr>
              <w:t>棵，零星果树每棵补偿</w:t>
            </w:r>
            <w:r>
              <w:rPr>
                <w:rFonts w:ascii="宋体" w:hAnsi="宋体" w:eastAsia="宋体" w:cs="宋体"/>
                <w:kern w:val="0"/>
                <w:sz w:val="20"/>
                <w:szCs w:val="20"/>
              </w:rPr>
              <w:t>3100</w:t>
            </w:r>
            <w:r>
              <w:rPr>
                <w:rFonts w:hint="eastAsia" w:ascii="宋体" w:hAnsi="宋体" w:eastAsia="宋体" w:cs="宋体"/>
                <w:kern w:val="0"/>
                <w:sz w:val="20"/>
                <w:szCs w:val="20"/>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4" w:hRule="atLeast"/>
        </w:trPr>
        <w:tc>
          <w:tcPr>
            <w:tcW w:w="1535" w:type="dxa"/>
            <w:vMerge w:val="continue"/>
            <w:shd w:val="clear" w:color="auto" w:fill="auto"/>
            <w:vAlign w:val="center"/>
          </w:tcPr>
          <w:p>
            <w:pPr>
              <w:spacing w:line="240" w:lineRule="exact"/>
              <w:jc w:val="left"/>
              <w:rPr>
                <w:rFonts w:ascii="宋体" w:hAnsi="宋体" w:eastAsia="宋体" w:cs="宋体"/>
                <w:b/>
                <w:bCs/>
                <w:kern w:val="0"/>
                <w:sz w:val="20"/>
                <w:szCs w:val="20"/>
              </w:rPr>
            </w:pPr>
          </w:p>
        </w:tc>
        <w:tc>
          <w:tcPr>
            <w:tcW w:w="992" w:type="dxa"/>
            <w:vMerge w:val="continue"/>
            <w:shd w:val="clear" w:color="auto" w:fill="auto"/>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平均冠幅＞</w:t>
            </w:r>
            <w:r>
              <w:rPr>
                <w:rFonts w:ascii="宋体" w:hAnsi="宋体" w:eastAsia="宋体" w:cs="宋体"/>
                <w:kern w:val="0"/>
                <w:sz w:val="20"/>
                <w:szCs w:val="20"/>
              </w:rPr>
              <w:t>7.5</w:t>
            </w:r>
            <w:r>
              <w:rPr>
                <w:rFonts w:hint="eastAsia" w:ascii="宋体" w:hAnsi="宋体" w:eastAsia="宋体" w:cs="宋体"/>
                <w:kern w:val="0"/>
                <w:sz w:val="20"/>
                <w:szCs w:val="20"/>
              </w:rPr>
              <w:t>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39,</w:t>
            </w:r>
            <w:r>
              <w:rPr>
                <w:rFonts w:ascii="宋体" w:hAnsi="宋体" w:eastAsia="宋体" w:cs="宋体"/>
                <w:kern w:val="0"/>
                <w:sz w:val="20"/>
                <w:szCs w:val="20"/>
              </w:rPr>
              <w:t>6</w:t>
            </w:r>
            <w:r>
              <w:rPr>
                <w:rFonts w:hint="eastAsia" w:ascii="宋体" w:hAnsi="宋体" w:eastAsia="宋体" w:cs="宋体"/>
                <w:kern w:val="0"/>
                <w:sz w:val="20"/>
                <w:szCs w:val="20"/>
              </w:rPr>
              <w:t xml:space="preserve">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成片每亩最多补偿</w:t>
            </w:r>
            <w:r>
              <w:rPr>
                <w:rFonts w:ascii="宋体" w:hAnsi="宋体" w:eastAsia="宋体" w:cs="宋体"/>
                <w:kern w:val="0"/>
                <w:sz w:val="20"/>
                <w:szCs w:val="20"/>
              </w:rPr>
              <w:t>12</w:t>
            </w:r>
            <w:r>
              <w:rPr>
                <w:rFonts w:hint="eastAsia" w:ascii="宋体" w:hAnsi="宋体" w:eastAsia="宋体" w:cs="宋体"/>
                <w:kern w:val="0"/>
                <w:sz w:val="20"/>
                <w:szCs w:val="20"/>
              </w:rPr>
              <w:t>棵，零星果树每棵补偿3</w:t>
            </w:r>
            <w:r>
              <w:rPr>
                <w:rFonts w:ascii="宋体" w:hAnsi="宋体" w:eastAsia="宋体" w:cs="宋体"/>
                <w:kern w:val="0"/>
                <w:sz w:val="20"/>
                <w:szCs w:val="20"/>
              </w:rPr>
              <w:t>3</w:t>
            </w:r>
            <w:r>
              <w:rPr>
                <w:rFonts w:hint="eastAsia" w:ascii="宋体" w:hAnsi="宋体" w:eastAsia="宋体" w:cs="宋体"/>
                <w:kern w:val="0"/>
                <w:sz w:val="20"/>
                <w:szCs w:val="20"/>
              </w:rPr>
              <w:t>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0"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restart"/>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莲雾、青枣</w:t>
            </w: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平均冠幅0.5米以内(不含0.5米)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6,000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成片每亩最多补偿240棵，零星果树每棵补偿25元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20"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shd w:val="clear" w:color="auto" w:fill="auto"/>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0.5米≤平均冠幅≤1米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7,200-12,800</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成片每亩最多补偿80棵，平均冠幅在0.5米的基础上每增加0.1米，补偿价每亩在7200元的基础上增加1120元，即冠幅0.5米时，每亩补偿7200元，冠幅1米时，每亩补偿12800元，零星果树每棵补偿90-160元，零星果树冠幅为0.5米时，每棵补偿90元，冠幅每增加0.1米每棵补偿价增加14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9"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shd w:val="clear" w:color="auto" w:fill="auto"/>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1米＜平均冠幅≤1.5米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15,600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成片每亩最多补偿60棵，零星果树每棵补偿260元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9"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shd w:val="clear" w:color="auto" w:fill="auto"/>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1.5米＜平均冠幅≤2米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18,000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成片每亩最多补偿50棵，零星果树每棵补偿360元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9"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shd w:val="clear" w:color="auto" w:fill="auto"/>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2米＜平均冠幅≤2.5米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19,000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成片每亩最多补偿45棵，零星果树每棵补偿425元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9"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shd w:val="clear" w:color="auto" w:fill="auto"/>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2.5米＜平均冠幅≤3米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20,000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成片每亩最多补偿40棵，零星果树每棵补偿500元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9"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shd w:val="clear" w:color="auto" w:fill="auto"/>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3米＜平均冠幅≤3.5米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21,500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成片每亩最多补偿35棵，零星果树每棵补偿615元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9"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shd w:val="clear" w:color="auto" w:fill="auto"/>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3.5米＜平均冠幅≤4米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23,000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成片每亩最多补偿30棵，零星果树每棵补偿770元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9"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shd w:val="clear" w:color="auto" w:fill="auto"/>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4米＜平均冠幅≤4.5米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24,500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成片每亩最多补偿28棵，零星果树每棵补偿875元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9"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shd w:val="clear" w:color="auto" w:fill="auto"/>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4.5米＜平均冠幅≤5米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26,000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成片每亩最多补偿25棵，零星果树每棵补偿1040元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9" w:hRule="atLeast"/>
        </w:trPr>
        <w:tc>
          <w:tcPr>
            <w:tcW w:w="1535" w:type="dxa"/>
            <w:vMerge w:val="restart"/>
            <w:shd w:val="clear" w:color="auto" w:fill="auto"/>
            <w:vAlign w:val="center"/>
          </w:tcPr>
          <w:p>
            <w:pPr>
              <w:widowControl/>
              <w:spacing w:line="240" w:lineRule="exact"/>
              <w:jc w:val="left"/>
              <w:rPr>
                <w:rFonts w:ascii="宋体" w:hAnsi="宋体" w:eastAsia="宋体" w:cs="宋体"/>
                <w:b/>
                <w:bCs/>
                <w:kern w:val="0"/>
                <w:sz w:val="20"/>
                <w:szCs w:val="20"/>
              </w:rPr>
            </w:pPr>
            <w:r>
              <w:rPr>
                <w:rFonts w:hint="eastAsia" w:ascii="宋体" w:hAnsi="宋体" w:eastAsia="宋体" w:cs="宋体"/>
                <w:b/>
                <w:bCs/>
                <w:kern w:val="0"/>
                <w:sz w:val="20"/>
                <w:szCs w:val="20"/>
              </w:rPr>
              <w:t>七、征收果树</w:t>
            </w:r>
          </w:p>
        </w:tc>
        <w:tc>
          <w:tcPr>
            <w:tcW w:w="992" w:type="dxa"/>
            <w:vMerge w:val="restart"/>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莲雾、青枣</w:t>
            </w: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5米＜平均冠幅≤5.5米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27,500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成片每亩最多补偿21棵，零星果树每棵补偿1310元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9"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shd w:val="clear" w:color="auto" w:fill="auto"/>
            <w:vAlign w:val="center"/>
          </w:tcPr>
          <w:p>
            <w:pPr>
              <w:widowControl/>
              <w:spacing w:line="240" w:lineRule="exact"/>
              <w:jc w:val="center"/>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5.5米＜平均冠幅≤6米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29,000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成片每亩最多补偿18棵，零星果树每棵补偿1610元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9"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shd w:val="clear" w:color="auto" w:fill="auto"/>
            <w:vAlign w:val="center"/>
          </w:tcPr>
          <w:p>
            <w:pPr>
              <w:widowControl/>
              <w:spacing w:line="240" w:lineRule="exact"/>
              <w:jc w:val="center"/>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平均冠幅＞6米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30,000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成片每亩最多补偿15棵，零星果树每棵补偿2000元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9"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restart"/>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榄树、芒果、黄皮、人心果、番荔枝、柿子、栗子</w:t>
            </w: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平均冠幅0.5米以内(不含0.5米)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4,800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成片每亩最多补偿240棵，零星果树每棵补偿20元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4"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shd w:val="clear" w:color="auto" w:fill="auto"/>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0.5米≤平均冠幅≤1米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6,000-10,000</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成片每亩最多补偿80棵，平均冠幅在0.5米的基础上每增加0.1米，补偿价每亩在6000元的基础上增加800元，即冠幅0.5米时，每亩补偿6000元，冠幅1米时，每亩补偿10000元，零星果树每棵补偿75-125元，零星果树冠幅为0.5米时，每棵补偿75元，冠幅每增加0.1米每棵补偿价增加10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4"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shd w:val="clear" w:color="auto" w:fill="auto"/>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1米＜平均冠幅≤1.5米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12,800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成片每亩最多补偿60棵，零星果树每棵补偿215元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4"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shd w:val="clear" w:color="auto" w:fill="auto"/>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1.5米＜平均冠幅≤2米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14,000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成片每亩最多补偿50棵，零星果树每棵补偿280元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4"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shd w:val="clear" w:color="auto" w:fill="auto"/>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2米＜平均冠幅≤2.5米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16,000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成片每亩最多补偿45棵，零星果树每棵补偿355元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4"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shd w:val="clear" w:color="auto" w:fill="auto"/>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2.5米＜平均冠幅≤3米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17,600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成片每亩最多补偿40棵，零星果树每棵补偿440元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4"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shd w:val="clear" w:color="auto" w:fill="auto"/>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3米＜平均冠幅≤3.5米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18,000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成片每亩最多补偿35棵，零星果树每棵补偿515元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4"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shd w:val="clear" w:color="auto" w:fill="auto"/>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3.5米＜平均冠幅≤4米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19,500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成片每亩最多补偿30棵，零星果树每棵补偿650元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4"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shd w:val="clear" w:color="auto" w:fill="auto"/>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4米＜平均冠幅≤4.5米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21,000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成片每亩最多补偿28棵，零星果树每棵补偿750元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4"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shd w:val="clear" w:color="auto" w:fill="auto"/>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4.5米＜平均冠幅≤5米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22,500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成片每亩最多补偿25棵，零星果树每棵补偿900元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4" w:hRule="atLeast"/>
        </w:trPr>
        <w:tc>
          <w:tcPr>
            <w:tcW w:w="1535" w:type="dxa"/>
            <w:vMerge w:val="restart"/>
            <w:shd w:val="clear" w:color="auto" w:fill="auto"/>
            <w:vAlign w:val="center"/>
          </w:tcPr>
          <w:p>
            <w:pPr>
              <w:widowControl/>
              <w:spacing w:line="240" w:lineRule="exact"/>
              <w:jc w:val="left"/>
              <w:rPr>
                <w:rFonts w:ascii="宋体" w:hAnsi="宋体" w:eastAsia="宋体" w:cs="宋体"/>
                <w:b/>
                <w:bCs/>
                <w:kern w:val="0"/>
                <w:sz w:val="20"/>
                <w:szCs w:val="20"/>
              </w:rPr>
            </w:pPr>
            <w:r>
              <w:rPr>
                <w:rFonts w:hint="eastAsia" w:ascii="宋体" w:hAnsi="宋体" w:eastAsia="宋体" w:cs="宋体"/>
                <w:b/>
                <w:bCs/>
                <w:kern w:val="0"/>
                <w:sz w:val="20"/>
                <w:szCs w:val="20"/>
              </w:rPr>
              <w:t>七、征收果树</w:t>
            </w:r>
          </w:p>
        </w:tc>
        <w:tc>
          <w:tcPr>
            <w:tcW w:w="992" w:type="dxa"/>
            <w:vMerge w:val="restart"/>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榄树、芒果、黄皮、人心果、番荔枝、柿子、栗子</w:t>
            </w: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5米＜平均冠幅≤5.5米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24,000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成片每亩最多补偿21棵，零星果树每棵补偿1145元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4"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shd w:val="clear" w:color="auto" w:fill="auto"/>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5.5米＜平均冠幅≤6米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25,500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成片每亩最多补偿18棵，零星果树每棵补偿1420元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4"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shd w:val="clear" w:color="auto" w:fill="auto"/>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平均冠幅＞6米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27,000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成片每亩最多补偿15棵，零星果树每棵补偿1800元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4"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restart"/>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柑、桔、橙、柠檬、柚</w:t>
            </w: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平均冠幅0.5米以内(不含0.5米)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4,800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成片每亩最多补偿240棵，零星果树每棵补偿20元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32"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0.5米≤平均冠幅≤1米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5,600-9,600</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成片每亩最多补偿80棵，平均冠幅在0.5米的基础上每增加0.1米，补偿价每亩在5600元的基础上增加800元，即冠幅0.5米时，每亩补偿5600元，冠幅1米时，每亩补偿9600元，零星果树每棵补偿70-120元，零星果树冠幅为0.5米时，每棵补偿70元，冠幅每增加0.1米每棵补偿价增加10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4"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1米＜平均冠幅≤1.5米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10,800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成片每亩最多补偿60棵，零星果树每棵补偿180元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4"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1.5米＜平均冠幅≤2米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13,000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成片每亩最多补偿50棵，零星果树每棵补偿260元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4"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2米＜平均冠幅≤2.5米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15,000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成片每亩最多补偿45棵，零星果树每棵补偿335元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4"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2.5米＜平均冠幅≤3米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16,500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成片每亩最多补偿40棵，零星果树每棵补偿415元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4"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3米＜平均冠幅≤3.5米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18,000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成片每亩最多补偿35棵，零星果树每棵补偿515元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4"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3.5米＜平均冠幅≤4米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19,500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成片每亩最多补偿30棵，零星果树每棵补偿650元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4"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4米＜平均冠幅≤4.5米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21,000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成片每亩最多补偿28棵，零星果树每棵补偿750元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4"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平均冠幅＞4.5米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22,500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成片每亩最多补偿25棵，零星果树每棵补偿900元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79" w:hRule="atLeast"/>
        </w:trPr>
        <w:tc>
          <w:tcPr>
            <w:tcW w:w="1535" w:type="dxa"/>
            <w:vMerge w:val="restart"/>
            <w:shd w:val="clear" w:color="auto" w:fill="auto"/>
            <w:vAlign w:val="center"/>
          </w:tcPr>
          <w:p>
            <w:pPr>
              <w:widowControl/>
              <w:spacing w:line="240" w:lineRule="exact"/>
              <w:jc w:val="left"/>
              <w:rPr>
                <w:rFonts w:ascii="宋体" w:hAnsi="宋体" w:eastAsia="宋体" w:cs="宋体"/>
                <w:b/>
                <w:bCs/>
                <w:kern w:val="0"/>
                <w:sz w:val="20"/>
                <w:szCs w:val="20"/>
              </w:rPr>
            </w:pPr>
            <w:r>
              <w:rPr>
                <w:rFonts w:hint="eastAsia" w:ascii="宋体" w:hAnsi="宋体" w:eastAsia="宋体" w:cs="宋体"/>
                <w:b/>
                <w:bCs/>
                <w:kern w:val="0"/>
                <w:sz w:val="20"/>
                <w:szCs w:val="20"/>
              </w:rPr>
              <w:t>七、征收果树</w:t>
            </w:r>
          </w:p>
        </w:tc>
        <w:tc>
          <w:tcPr>
            <w:tcW w:w="992" w:type="dxa"/>
            <w:vMerge w:val="restart"/>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火龙果树</w:t>
            </w: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树龄在一年以下的</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8,800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成片每亩最多补偿160棵，零星果树每棵补偿55元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79"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树龄一年以上（含一年）两年以下的</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12,000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成片每亩最多补偿160棵，零星果树每棵补偿75元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79"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树龄两年以上（含两年），成片未挂果的</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14,400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成片每亩最多补偿160棵，零星果树每棵补偿90元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79"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树龄两年以上（含两年），成片已挂果的</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17,600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成片每亩最多补偿160棵，零星果树每棵补偿110元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79"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restart"/>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佛手、鸡蛋果（西番连）、桑、杨桃、菠萝蜜（俗称：树菠萝）、三华李、枇杷、桃树</w:t>
            </w: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平均冠幅0.5米以内(不含0.5米)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4,400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成片每亩最多补偿200棵，零星果树每棵补偿22元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77"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shd w:val="clear" w:color="auto" w:fill="auto"/>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0.5米≤平均冠幅≤1米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5,600-9,200</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成片每亩最多补偿80棵，平均冠幅在0.5米的基础上每增加0.1米，补偿价每亩在5600元的基础上增加720元，即冠幅0.5米时，每亩补偿5600元，冠幅1米时，每亩补偿9200元，零星果树每棵补偿70-115元，零星果树冠幅为0.5米时，每棵补偿70元，冠幅每增加0.1米每棵补偿价增加9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shd w:val="clear" w:color="auto" w:fill="auto"/>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1米＜平均冠幅≤1.5米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10,800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成片每亩最多补偿60棵，零星果树每棵补偿180元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shd w:val="clear" w:color="auto" w:fill="auto"/>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1.5米＜平均冠幅≤2米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12,000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成片每亩最多补偿50棵，零星果树每棵补偿240元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shd w:val="clear" w:color="auto" w:fill="auto"/>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2米＜平均冠幅≤2.5米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13,000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成片每亩最多补偿45棵，零星果树每棵补偿290元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shd w:val="clear" w:color="auto" w:fill="auto"/>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2.5米＜平均冠幅≤3米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14,000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成片每亩最多补偿40棵，零星果树每棵补偿350元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shd w:val="clear" w:color="auto" w:fill="auto"/>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3米＜平均冠幅≤3.5米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15,000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成片每亩最多补偿35棵，零星果树每棵补偿430元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shd w:val="clear" w:color="auto" w:fill="auto"/>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3.5米＜平均冠幅≤4米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16,000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成片每亩最多补偿30棵，零星果树每棵补偿535元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1535" w:type="dxa"/>
            <w:vMerge w:val="restart"/>
            <w:shd w:val="clear" w:color="auto" w:fill="auto"/>
            <w:vAlign w:val="center"/>
          </w:tcPr>
          <w:p>
            <w:pPr>
              <w:widowControl/>
              <w:spacing w:line="240" w:lineRule="exact"/>
              <w:jc w:val="left"/>
              <w:rPr>
                <w:rFonts w:ascii="宋体" w:hAnsi="宋体" w:eastAsia="宋体" w:cs="宋体"/>
                <w:b/>
                <w:bCs/>
                <w:kern w:val="0"/>
                <w:sz w:val="20"/>
                <w:szCs w:val="20"/>
              </w:rPr>
            </w:pPr>
            <w:r>
              <w:rPr>
                <w:rFonts w:hint="eastAsia" w:ascii="宋体" w:hAnsi="宋体" w:eastAsia="宋体" w:cs="宋体"/>
                <w:b/>
                <w:bCs/>
                <w:kern w:val="0"/>
                <w:sz w:val="20"/>
                <w:szCs w:val="20"/>
              </w:rPr>
              <w:t>七、征收果树</w:t>
            </w:r>
          </w:p>
        </w:tc>
        <w:tc>
          <w:tcPr>
            <w:tcW w:w="992" w:type="dxa"/>
            <w:vMerge w:val="restart"/>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佛手、鸡蛋果（西番连）、桑、杨桃、菠萝蜜（俗称：树菠萝）、三华李、枇杷、桃树</w:t>
            </w: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4米＜平均冠幅≤4.5米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17,000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成片每亩最多补偿28棵，零星果树每棵补偿610元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1535" w:type="dxa"/>
            <w:vMerge w:val="continue"/>
            <w:shd w:val="clear" w:color="auto" w:fill="auto"/>
            <w:vAlign w:val="center"/>
          </w:tcPr>
          <w:p>
            <w:pPr>
              <w:widowControl/>
              <w:spacing w:line="240" w:lineRule="exact"/>
              <w:jc w:val="center"/>
              <w:rPr>
                <w:rFonts w:ascii="宋体" w:hAnsi="宋体" w:eastAsia="宋体" w:cs="宋体"/>
                <w:b/>
                <w:bCs/>
                <w:kern w:val="0"/>
                <w:sz w:val="20"/>
                <w:szCs w:val="20"/>
              </w:rPr>
            </w:pPr>
          </w:p>
        </w:tc>
        <w:tc>
          <w:tcPr>
            <w:tcW w:w="992" w:type="dxa"/>
            <w:vMerge w:val="continue"/>
            <w:shd w:val="clear" w:color="auto" w:fill="auto"/>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4.5米＜平均冠幅≤5米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18,000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成片每亩最多补偿25棵，零星果树每棵补偿720元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1535" w:type="dxa"/>
            <w:vMerge w:val="continue"/>
            <w:shd w:val="clear" w:color="auto" w:fill="auto"/>
            <w:vAlign w:val="center"/>
          </w:tcPr>
          <w:p>
            <w:pPr>
              <w:widowControl/>
              <w:spacing w:line="240" w:lineRule="exact"/>
              <w:jc w:val="center"/>
              <w:rPr>
                <w:rFonts w:ascii="宋体" w:hAnsi="宋体" w:eastAsia="宋体" w:cs="宋体"/>
                <w:b/>
                <w:bCs/>
                <w:kern w:val="0"/>
                <w:sz w:val="20"/>
                <w:szCs w:val="20"/>
              </w:rPr>
            </w:pPr>
          </w:p>
        </w:tc>
        <w:tc>
          <w:tcPr>
            <w:tcW w:w="992" w:type="dxa"/>
            <w:vMerge w:val="continue"/>
            <w:shd w:val="clear" w:color="auto" w:fill="auto"/>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5米＜平均冠幅≤5.5米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19,000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成片每亩最多补偿21棵，零星果树每棵补偿905元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1535" w:type="dxa"/>
            <w:vMerge w:val="continue"/>
            <w:shd w:val="clear" w:color="auto" w:fill="auto"/>
            <w:vAlign w:val="center"/>
          </w:tcPr>
          <w:p>
            <w:pPr>
              <w:widowControl/>
              <w:spacing w:line="240" w:lineRule="exact"/>
              <w:jc w:val="center"/>
              <w:rPr>
                <w:rFonts w:ascii="宋体" w:hAnsi="宋体" w:eastAsia="宋体" w:cs="宋体"/>
                <w:b/>
                <w:bCs/>
                <w:kern w:val="0"/>
                <w:sz w:val="20"/>
                <w:szCs w:val="20"/>
              </w:rPr>
            </w:pPr>
          </w:p>
        </w:tc>
        <w:tc>
          <w:tcPr>
            <w:tcW w:w="992" w:type="dxa"/>
            <w:vMerge w:val="continue"/>
            <w:shd w:val="clear" w:color="auto" w:fill="auto"/>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平均冠幅＞</w:t>
            </w:r>
            <w:r>
              <w:rPr>
                <w:rFonts w:ascii="宋体" w:hAnsi="宋体" w:eastAsia="宋体" w:cs="宋体"/>
                <w:kern w:val="0"/>
                <w:sz w:val="20"/>
                <w:szCs w:val="20"/>
              </w:rPr>
              <w:t>5</w:t>
            </w:r>
            <w:r>
              <w:rPr>
                <w:rFonts w:hint="eastAsia" w:ascii="宋体" w:hAnsi="宋体" w:eastAsia="宋体" w:cs="宋体"/>
                <w:kern w:val="0"/>
                <w:sz w:val="20"/>
                <w:szCs w:val="20"/>
              </w:rPr>
              <w:t>.5米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20,000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成片每亩最多补偿18棵，零星果树每棵补偿1110元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51" w:hRule="atLeast"/>
        </w:trPr>
        <w:tc>
          <w:tcPr>
            <w:tcW w:w="1535" w:type="dxa"/>
            <w:vMerge w:val="continue"/>
            <w:shd w:val="clear" w:color="auto" w:fill="auto"/>
            <w:vAlign w:val="center"/>
          </w:tcPr>
          <w:p>
            <w:pPr>
              <w:widowControl/>
              <w:spacing w:line="240" w:lineRule="exact"/>
              <w:jc w:val="center"/>
              <w:rPr>
                <w:rFonts w:ascii="宋体" w:hAnsi="宋体" w:eastAsia="宋体" w:cs="宋体"/>
                <w:b/>
                <w:bCs/>
                <w:kern w:val="0"/>
                <w:sz w:val="20"/>
                <w:szCs w:val="20"/>
              </w:rPr>
            </w:pPr>
          </w:p>
        </w:tc>
        <w:tc>
          <w:tcPr>
            <w:tcW w:w="992"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菠萝、草莓、万京子、西瓜、香瓜</w:t>
            </w: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5,500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零星挂果菠萝每棵补偿4元，零星未挂果菠萝每棵补偿3元，零星草莓每棵补偿2元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4" w:hRule="atLeast"/>
        </w:trPr>
        <w:tc>
          <w:tcPr>
            <w:tcW w:w="1535" w:type="dxa"/>
            <w:vMerge w:val="continue"/>
            <w:shd w:val="clear" w:color="auto" w:fill="auto"/>
            <w:vAlign w:val="center"/>
          </w:tcPr>
          <w:p>
            <w:pPr>
              <w:widowControl/>
              <w:spacing w:line="240" w:lineRule="exact"/>
              <w:jc w:val="center"/>
              <w:rPr>
                <w:rFonts w:ascii="宋体" w:hAnsi="宋体" w:eastAsia="宋体" w:cs="宋体"/>
                <w:b/>
                <w:bCs/>
                <w:kern w:val="0"/>
                <w:sz w:val="20"/>
                <w:szCs w:val="20"/>
              </w:rPr>
            </w:pPr>
          </w:p>
        </w:tc>
        <w:tc>
          <w:tcPr>
            <w:tcW w:w="992" w:type="dxa"/>
            <w:vMerge w:val="restart"/>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葡萄</w:t>
            </w: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藤径≤1厘米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5,000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成片每亩最多补偿200棵，零星果树每棵补偿25元，离地面0.5米处测量葡萄藤直径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4" w:hRule="atLeast"/>
        </w:trPr>
        <w:tc>
          <w:tcPr>
            <w:tcW w:w="1535" w:type="dxa"/>
            <w:vMerge w:val="continue"/>
            <w:shd w:val="clear" w:color="auto" w:fill="auto"/>
            <w:vAlign w:val="center"/>
          </w:tcPr>
          <w:p>
            <w:pPr>
              <w:widowControl/>
              <w:spacing w:line="240" w:lineRule="exact"/>
              <w:jc w:val="center"/>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1厘米＜藤径≤2厘米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6,600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成片每亩最多补偿200棵，零星果树每棵补偿33元，离地面0.5米处测量葡萄藤直径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4" w:hRule="atLeast"/>
        </w:trPr>
        <w:tc>
          <w:tcPr>
            <w:tcW w:w="1535" w:type="dxa"/>
            <w:vMerge w:val="continue"/>
            <w:shd w:val="clear" w:color="auto" w:fill="auto"/>
            <w:vAlign w:val="center"/>
          </w:tcPr>
          <w:p>
            <w:pPr>
              <w:widowControl/>
              <w:spacing w:line="240" w:lineRule="exact"/>
              <w:jc w:val="center"/>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2厘米＜藤径≤3厘米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8,800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成片每亩最多补偿200棵，零星果树每棵补偿44元，离地面0.5米处测量葡萄藤直径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4" w:hRule="atLeast"/>
        </w:trPr>
        <w:tc>
          <w:tcPr>
            <w:tcW w:w="1535" w:type="dxa"/>
            <w:vMerge w:val="continue"/>
            <w:shd w:val="clear" w:color="auto" w:fill="auto"/>
            <w:vAlign w:val="center"/>
          </w:tcPr>
          <w:p>
            <w:pPr>
              <w:widowControl/>
              <w:spacing w:line="240" w:lineRule="exact"/>
              <w:jc w:val="center"/>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3厘米＜藤径≤4厘米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10,800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成片每亩最多补偿200棵，零星果树每棵补偿54元，离地面0.5米处测量葡萄藤直径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38" w:hRule="atLeast"/>
        </w:trPr>
        <w:tc>
          <w:tcPr>
            <w:tcW w:w="1535" w:type="dxa"/>
            <w:vMerge w:val="continue"/>
            <w:shd w:val="clear" w:color="auto" w:fill="auto"/>
            <w:vAlign w:val="center"/>
          </w:tcPr>
          <w:p>
            <w:pPr>
              <w:widowControl/>
              <w:spacing w:line="240" w:lineRule="exact"/>
              <w:jc w:val="center"/>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5759" w:type="dxa"/>
            <w:gridSpan w:val="4"/>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藤径4厘米以上的，藤径每增加1厘米，每亩补偿价在10800元基础上增加2000元，成片每亩最多补偿200棵，零星果树藤径每增加1厘米，每棵补偿价在54元基础上增加10元，离地面0.5米处测量葡萄藤直径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trPr>
        <w:tc>
          <w:tcPr>
            <w:tcW w:w="1535" w:type="dxa"/>
            <w:vMerge w:val="continue"/>
            <w:shd w:val="clear" w:color="auto" w:fill="auto"/>
            <w:vAlign w:val="center"/>
          </w:tcPr>
          <w:p>
            <w:pPr>
              <w:widowControl/>
              <w:spacing w:line="240" w:lineRule="exact"/>
              <w:jc w:val="center"/>
              <w:rPr>
                <w:rFonts w:ascii="宋体" w:hAnsi="宋体" w:eastAsia="宋体" w:cs="宋体"/>
                <w:b/>
                <w:bCs/>
                <w:kern w:val="0"/>
                <w:sz w:val="20"/>
                <w:szCs w:val="20"/>
              </w:rPr>
            </w:pPr>
          </w:p>
        </w:tc>
        <w:tc>
          <w:tcPr>
            <w:tcW w:w="992" w:type="dxa"/>
            <w:vMerge w:val="restart"/>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番木瓜树</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（俗称：木瓜树）</w:t>
            </w: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成片未挂果的</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4,000 </w:t>
            </w:r>
          </w:p>
        </w:tc>
        <w:tc>
          <w:tcPr>
            <w:tcW w:w="2345"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每亩最多补偿100棵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trPr>
        <w:tc>
          <w:tcPr>
            <w:tcW w:w="1535" w:type="dxa"/>
            <w:vMerge w:val="continue"/>
            <w:shd w:val="clear" w:color="auto" w:fill="auto"/>
            <w:vAlign w:val="center"/>
          </w:tcPr>
          <w:p>
            <w:pPr>
              <w:widowControl/>
              <w:spacing w:line="240" w:lineRule="exact"/>
              <w:jc w:val="center"/>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成片已挂果的</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5,800 </w:t>
            </w:r>
          </w:p>
        </w:tc>
        <w:tc>
          <w:tcPr>
            <w:tcW w:w="2345"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每亩最多补偿100棵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trPr>
        <w:tc>
          <w:tcPr>
            <w:tcW w:w="1535" w:type="dxa"/>
            <w:vMerge w:val="continue"/>
            <w:shd w:val="clear" w:color="auto" w:fill="auto"/>
            <w:vAlign w:val="center"/>
          </w:tcPr>
          <w:p>
            <w:pPr>
              <w:widowControl/>
              <w:spacing w:line="240" w:lineRule="exact"/>
              <w:jc w:val="center"/>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零星未挂果的</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每棵</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40 </w:t>
            </w:r>
          </w:p>
        </w:tc>
        <w:tc>
          <w:tcPr>
            <w:tcW w:w="2345"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trPr>
        <w:tc>
          <w:tcPr>
            <w:tcW w:w="1535" w:type="dxa"/>
            <w:vMerge w:val="continue"/>
            <w:shd w:val="clear" w:color="auto" w:fill="auto"/>
            <w:vAlign w:val="center"/>
          </w:tcPr>
          <w:p>
            <w:pPr>
              <w:widowControl/>
              <w:spacing w:line="240" w:lineRule="exact"/>
              <w:jc w:val="center"/>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零星已挂果的</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每棵</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58 </w:t>
            </w:r>
          </w:p>
        </w:tc>
        <w:tc>
          <w:tcPr>
            <w:tcW w:w="2345"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trPr>
        <w:tc>
          <w:tcPr>
            <w:tcW w:w="1535" w:type="dxa"/>
            <w:vMerge w:val="restart"/>
            <w:shd w:val="clear" w:color="auto" w:fill="auto"/>
            <w:vAlign w:val="center"/>
          </w:tcPr>
          <w:p>
            <w:pPr>
              <w:widowControl/>
              <w:spacing w:line="240" w:lineRule="exact"/>
              <w:jc w:val="left"/>
              <w:rPr>
                <w:rFonts w:ascii="宋体" w:hAnsi="宋体" w:eastAsia="宋体" w:cs="宋体"/>
                <w:b/>
                <w:bCs/>
                <w:kern w:val="0"/>
                <w:sz w:val="20"/>
                <w:szCs w:val="20"/>
              </w:rPr>
            </w:pPr>
            <w:r>
              <w:rPr>
                <w:rFonts w:hint="eastAsia" w:ascii="宋体" w:hAnsi="宋体" w:eastAsia="宋体" w:cs="宋体"/>
                <w:b/>
                <w:bCs/>
                <w:kern w:val="0"/>
                <w:sz w:val="20"/>
                <w:szCs w:val="20"/>
              </w:rPr>
              <w:t>七、征收果树</w:t>
            </w:r>
          </w:p>
        </w:tc>
        <w:tc>
          <w:tcPr>
            <w:tcW w:w="992" w:type="dxa"/>
            <w:vMerge w:val="restart"/>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蕉类</w:t>
            </w:r>
          </w:p>
        </w:tc>
        <w:tc>
          <w:tcPr>
            <w:tcW w:w="1559"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成片种植半年以内的</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5,500 </w:t>
            </w:r>
          </w:p>
        </w:tc>
        <w:tc>
          <w:tcPr>
            <w:tcW w:w="2345"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2"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成片种植半年以上已挂果的</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7,000 </w:t>
            </w:r>
          </w:p>
        </w:tc>
        <w:tc>
          <w:tcPr>
            <w:tcW w:w="2345"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零星蕉树种植半年以内的</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每堆</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40 </w:t>
            </w:r>
          </w:p>
        </w:tc>
        <w:tc>
          <w:tcPr>
            <w:tcW w:w="2345" w:type="dxa"/>
            <w:vMerge w:val="restart"/>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以3-5株为一堆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9"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零星蕉树种植半年以上已挂果的</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每堆</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75 </w:t>
            </w:r>
          </w:p>
        </w:tc>
        <w:tc>
          <w:tcPr>
            <w:tcW w:w="2345" w:type="dxa"/>
            <w:vMerge w:val="continue"/>
            <w:vAlign w:val="center"/>
          </w:tcPr>
          <w:p>
            <w:pPr>
              <w:widowControl/>
              <w:spacing w:line="240" w:lineRule="exact"/>
              <w:jc w:val="left"/>
              <w:rPr>
                <w:rFonts w:ascii="宋体" w:hAnsi="宋体" w:eastAsia="宋体" w:cs="宋体"/>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5759" w:type="dxa"/>
            <w:gridSpan w:val="4"/>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单株已挂果的每株补偿35元，未挂果的每株补偿10元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4"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restart"/>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番石榴</w:t>
            </w: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平均冠幅0.5米以内(不含0.5米)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4,800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成片每亩最多补偿200棵，零星果树每棵补偿24元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65"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0.5米≤平均冠幅≤1米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6,000-10,000</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成片每亩最多补偿100棵，平均冠幅在0.5米的基础上每增加0.1米，补偿价每亩在6000元的基础上增加800元，即冠幅0.5米时，每亩补偿6000元，冠幅1米时，每亩补偿10000元，零星果树每棵补偿60-100元，零星果树冠幅为0.5米时，每棵补偿60元，冠幅每增加0.1米每棵补偿价增加8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4"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1米＜平均冠幅≤1.5米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12,000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成片每亩最多补偿80棵，零星果树每棵补偿150元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4"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1.5米＜平均冠幅≤2米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14,000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成片每亩最多补偿70棵，零星果树每棵补偿200元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4"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2米＜平均冠幅≤2.5米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15,500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成片每亩最多补偿60棵，零星果树每棵补偿260元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4"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2.5米＜平均冠幅≤3米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17,000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成片每亩最多补偿50棵，零星果树每棵补偿340元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4"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3米＜平均冠幅≤3.5米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18,500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成片每亩最多补偿40棵，零星果树每棵补偿465元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6"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平均冠幅＞</w:t>
            </w:r>
            <w:r>
              <w:rPr>
                <w:rFonts w:ascii="宋体" w:hAnsi="宋体" w:eastAsia="宋体" w:cs="宋体"/>
                <w:kern w:val="0"/>
                <w:sz w:val="20"/>
                <w:szCs w:val="20"/>
              </w:rPr>
              <w:t>3.5</w:t>
            </w:r>
            <w:r>
              <w:rPr>
                <w:rFonts w:hint="eastAsia" w:ascii="宋体" w:hAnsi="宋体" w:eastAsia="宋体" w:cs="宋体"/>
                <w:kern w:val="0"/>
                <w:sz w:val="20"/>
                <w:szCs w:val="20"/>
              </w:rPr>
              <w:t>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20,000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成片每亩最多补偿35棵，零星果树每棵补偿575元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50"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6751" w:type="dxa"/>
            <w:gridSpan w:val="5"/>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被征收的果树按合理种植密度确定每亩最高补偿棵数，超出每亩最高补偿棵数的部分不予补偿，未达到每亩最高补偿棵数的以每亩实际棵数结合相应档次折算予以补偿。成片合理种植的果树，由征收实施部门和被征收人以现场抽样方式选取最高补偿棵数10%（双方各选取5%，双方至少各选取5棵）进行测量；零星果树按单棵冠幅、藤径、</w:t>
            </w:r>
            <w:r>
              <w:rPr>
                <w:rFonts w:ascii="宋体" w:hAnsi="宋体" w:eastAsia="宋体" w:cs="宋体"/>
                <w:kern w:val="0"/>
                <w:sz w:val="20"/>
                <w:szCs w:val="20"/>
              </w:rPr>
              <w:t>树龄</w:t>
            </w:r>
            <w:r>
              <w:rPr>
                <w:rFonts w:hint="eastAsia" w:ascii="宋体" w:hAnsi="宋体" w:eastAsia="宋体" w:cs="宋体"/>
                <w:kern w:val="0"/>
                <w:sz w:val="20"/>
                <w:szCs w:val="20"/>
              </w:rPr>
              <w:t>作为补偿依据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35" w:type="dxa"/>
            <w:vMerge w:val="restart"/>
            <w:shd w:val="clear" w:color="auto" w:fill="auto"/>
            <w:vAlign w:val="center"/>
          </w:tcPr>
          <w:p>
            <w:pPr>
              <w:widowControl/>
              <w:spacing w:line="240" w:lineRule="exact"/>
              <w:jc w:val="left"/>
              <w:rPr>
                <w:rFonts w:ascii="宋体" w:hAnsi="宋体" w:eastAsia="宋体" w:cs="宋体"/>
                <w:b/>
                <w:bCs/>
                <w:kern w:val="0"/>
                <w:sz w:val="20"/>
                <w:szCs w:val="20"/>
              </w:rPr>
            </w:pPr>
            <w:r>
              <w:rPr>
                <w:rFonts w:hint="eastAsia" w:ascii="宋体" w:hAnsi="宋体" w:eastAsia="宋体" w:cs="宋体"/>
                <w:b/>
                <w:bCs/>
                <w:kern w:val="0"/>
                <w:sz w:val="20"/>
                <w:szCs w:val="20"/>
              </w:rPr>
              <w:t>八、征收地栽花卉、成片地栽苗木、盆栽花木</w:t>
            </w:r>
          </w:p>
        </w:tc>
        <w:tc>
          <w:tcPr>
            <w:tcW w:w="2551" w:type="dxa"/>
            <w:gridSpan w:val="2"/>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成片地栽花卉</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9,500 </w:t>
            </w:r>
          </w:p>
        </w:tc>
        <w:tc>
          <w:tcPr>
            <w:tcW w:w="2345"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按迁移费用补偿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2551" w:type="dxa"/>
            <w:gridSpan w:val="2"/>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灌木、草本植物、藤类植物</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9,000 </w:t>
            </w:r>
          </w:p>
        </w:tc>
        <w:tc>
          <w:tcPr>
            <w:tcW w:w="2345"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按迁移费用补偿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2551" w:type="dxa"/>
            <w:gridSpan w:val="2"/>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观赏竹类（如紫竹、罗汉竹、佛肚竹等）</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11,000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按迁移费用补偿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1535" w:type="dxa"/>
            <w:vMerge w:val="continue"/>
            <w:shd w:val="clear" w:color="auto" w:fill="auto"/>
            <w:vAlign w:val="center"/>
          </w:tcPr>
          <w:p>
            <w:pPr>
              <w:widowControl/>
              <w:spacing w:line="240" w:lineRule="exact"/>
              <w:jc w:val="center"/>
              <w:rPr>
                <w:rFonts w:ascii="宋体" w:hAnsi="宋体" w:eastAsia="宋体" w:cs="宋体"/>
                <w:b/>
                <w:bCs/>
                <w:kern w:val="0"/>
                <w:sz w:val="20"/>
                <w:szCs w:val="20"/>
              </w:rPr>
            </w:pPr>
          </w:p>
        </w:tc>
        <w:tc>
          <w:tcPr>
            <w:tcW w:w="992" w:type="dxa"/>
            <w:vMerge w:val="restart"/>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绿化乔木类（如秋枫、榕树、桂花树等）</w:t>
            </w: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平均胸径＜3厘米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6,000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按迁移费用补偿，成片每亩合理种植密度600棵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3厘米≤平均胸径＜6厘米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8,000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按迁移费用补偿，成片每亩合理种植密度300棵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6厘米≤平均胸径＜10厘米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16,400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按迁移费用补偿，成片每亩合理种植密度240棵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10厘米≤平均胸径＜15厘米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22,600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按迁移费用补偿，成片每亩合理种植密度150棵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15厘米≤平均胸径＜20厘米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24,800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按迁移费用补偿，成片每亩合理种植密度100棵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20厘米≤平均胸径＜25厘米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27,000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按迁移费用补偿，成片每亩合理种植密度70棵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25厘米≤平均胸径＜30厘米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31,300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按迁移费用补偿，成片每亩合理种植密度60棵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30厘米≤平均胸径＜40厘米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33,300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按迁移费用补偿，成片每亩合理种植密度40棵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平均胸径≥40厘米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36,600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按迁移费用补偿，成片每亩合理种植密度30棵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restart"/>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棕榈科类</w:t>
            </w: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平均地径＜5厘米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6,000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按迁移费用补偿，成片每亩合理种植密度400棵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shd w:val="clear" w:color="auto" w:fill="auto"/>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5厘米≤平均地径＜10厘米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9,000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按迁移费用补偿，成片每亩合理种植密度300棵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shd w:val="clear" w:color="auto" w:fill="auto"/>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10厘米≤平均地径＜20厘米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11,700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按迁移费用补偿，成片每亩合理种植密度160棵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shd w:val="clear" w:color="auto" w:fill="auto"/>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20厘米≤平均地径＜30厘米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17,400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按迁移费用补偿，成片每亩合理种植密度160棵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shd w:val="clear" w:color="auto" w:fill="auto"/>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30厘米≤平均地径＜40厘米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19,300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按迁移费用补偿，成片每亩合理种植密度120棵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shd w:val="clear" w:color="auto" w:fill="auto"/>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40厘米≤平均地径＜50厘米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21,900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按迁移费用补偿，成片每亩合理种植密度100棵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shd w:val="clear" w:color="auto" w:fill="auto"/>
            <w:vAlign w:val="center"/>
          </w:tcPr>
          <w:p>
            <w:pPr>
              <w:widowControl/>
              <w:spacing w:line="240" w:lineRule="exact"/>
              <w:jc w:val="center"/>
              <w:rPr>
                <w:rFonts w:ascii="宋体" w:hAnsi="宋体" w:eastAsia="宋体" w:cs="宋体"/>
                <w:kern w:val="0"/>
                <w:sz w:val="20"/>
                <w:szCs w:val="20"/>
              </w:rPr>
            </w:pPr>
          </w:p>
        </w:tc>
        <w:tc>
          <w:tcPr>
            <w:tcW w:w="1559"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50厘米≤平均地径＜60厘米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24,200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按迁移费用补偿，成片每亩合理种植密度90棵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shd w:val="clear" w:color="auto" w:fill="auto"/>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60厘米≤平均地径＜70厘米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29,400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按迁移费用补偿，成片每亩合理种植密度80棵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shd w:val="clear" w:color="auto" w:fill="auto"/>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70厘米≤平均地径＜80厘米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30,700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按迁移费用补偿，成片每亩合理种植密度80棵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shd w:val="clear" w:color="auto" w:fill="auto"/>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平均地径≥80厘米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32,000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按迁移费用补偿，成片每亩合理种植密度70棵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5" w:hRule="atLeast"/>
        </w:trPr>
        <w:tc>
          <w:tcPr>
            <w:tcW w:w="1535" w:type="dxa"/>
            <w:vMerge w:val="restart"/>
            <w:shd w:val="clear" w:color="auto" w:fill="auto"/>
            <w:vAlign w:val="center"/>
          </w:tcPr>
          <w:p>
            <w:pPr>
              <w:widowControl/>
              <w:spacing w:line="240" w:lineRule="exact"/>
              <w:jc w:val="left"/>
              <w:rPr>
                <w:rFonts w:ascii="宋体" w:hAnsi="宋体" w:eastAsia="宋体" w:cs="宋体"/>
                <w:b/>
                <w:bCs/>
                <w:kern w:val="0"/>
                <w:sz w:val="20"/>
                <w:szCs w:val="20"/>
              </w:rPr>
            </w:pPr>
            <w:r>
              <w:rPr>
                <w:rFonts w:hint="eastAsia" w:ascii="宋体" w:hAnsi="宋体" w:eastAsia="宋体" w:cs="宋体"/>
                <w:b/>
                <w:bCs/>
                <w:kern w:val="0"/>
                <w:sz w:val="20"/>
                <w:szCs w:val="20"/>
              </w:rPr>
              <w:t>八、征收地栽花卉、成片地栽苗木、盆栽花木</w:t>
            </w:r>
          </w:p>
        </w:tc>
        <w:tc>
          <w:tcPr>
            <w:tcW w:w="992" w:type="dxa"/>
            <w:vMerge w:val="restart"/>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盆栽花木（零星）</w:t>
            </w:r>
          </w:p>
        </w:tc>
        <w:tc>
          <w:tcPr>
            <w:tcW w:w="1559"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花盆口径（内径）10-20厘米（不含20厘米）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每盆</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5 </w:t>
            </w:r>
          </w:p>
        </w:tc>
        <w:tc>
          <w:tcPr>
            <w:tcW w:w="2345"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按搬迁费用补偿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0"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rPr>
                <w:rFonts w:ascii="宋体" w:hAnsi="宋体" w:eastAsia="宋体" w:cs="宋体"/>
                <w:kern w:val="0"/>
                <w:sz w:val="20"/>
                <w:szCs w:val="20"/>
              </w:rPr>
            </w:pPr>
          </w:p>
        </w:tc>
        <w:tc>
          <w:tcPr>
            <w:tcW w:w="1559"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花盆口径（内径）20-40厘米（不含40厘米）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每盆</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10 </w:t>
            </w:r>
          </w:p>
        </w:tc>
        <w:tc>
          <w:tcPr>
            <w:tcW w:w="2345"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按搬迁费用补偿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0"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rPr>
                <w:rFonts w:ascii="宋体" w:hAnsi="宋体" w:eastAsia="宋体" w:cs="宋体"/>
                <w:kern w:val="0"/>
                <w:sz w:val="20"/>
                <w:szCs w:val="20"/>
              </w:rPr>
            </w:pPr>
          </w:p>
        </w:tc>
        <w:tc>
          <w:tcPr>
            <w:tcW w:w="1559"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花盆口径（内径）40-80厘米（不含80厘米）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每盆</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25 </w:t>
            </w:r>
          </w:p>
        </w:tc>
        <w:tc>
          <w:tcPr>
            <w:tcW w:w="2345"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按搬迁费用补偿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rPr>
                <w:rFonts w:ascii="宋体" w:hAnsi="宋体" w:eastAsia="宋体" w:cs="宋体"/>
                <w:kern w:val="0"/>
                <w:sz w:val="20"/>
                <w:szCs w:val="20"/>
              </w:rPr>
            </w:pPr>
          </w:p>
        </w:tc>
        <w:tc>
          <w:tcPr>
            <w:tcW w:w="1559"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花盆口径（内径）80厘米以上</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每盆</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45 </w:t>
            </w:r>
          </w:p>
        </w:tc>
        <w:tc>
          <w:tcPr>
            <w:tcW w:w="2345"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按搬迁费用补偿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2"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restart"/>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盆栽花木（批量）</w:t>
            </w:r>
          </w:p>
        </w:tc>
        <w:tc>
          <w:tcPr>
            <w:tcW w:w="1559"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花盆口径（内径）＜15厘米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每100盆</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60 </w:t>
            </w:r>
          </w:p>
        </w:tc>
        <w:tc>
          <w:tcPr>
            <w:tcW w:w="2345"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批量盆栽搬迁，按搬迁费用补偿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9"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15厘米≤花盆口径（内径）＜20厘米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每100盆</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160 </w:t>
            </w:r>
          </w:p>
        </w:tc>
        <w:tc>
          <w:tcPr>
            <w:tcW w:w="2345"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批量盆栽搬迁，按搬迁费用补偿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9"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20厘米≤花盆口径（内径）＜30厘米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每100盆</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280 </w:t>
            </w:r>
          </w:p>
        </w:tc>
        <w:tc>
          <w:tcPr>
            <w:tcW w:w="2345"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批量盆栽搬迁，按搬迁费用补偿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9"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30厘米≤花盆口径（内径）＜40厘米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每100盆</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400 </w:t>
            </w:r>
          </w:p>
        </w:tc>
        <w:tc>
          <w:tcPr>
            <w:tcW w:w="2345"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批量盆栽搬迁，按搬迁费用补偿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9"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40厘米≤花盆口径（内径）＜50厘米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每100盆</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640 </w:t>
            </w:r>
          </w:p>
        </w:tc>
        <w:tc>
          <w:tcPr>
            <w:tcW w:w="2345"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批量盆栽搬迁，按搬迁费用补偿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9"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50厘米≤花盆口径（内径）＜60厘米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每100盆</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1,520 </w:t>
            </w:r>
          </w:p>
        </w:tc>
        <w:tc>
          <w:tcPr>
            <w:tcW w:w="2345"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批量盆栽搬迁，按搬迁费用补偿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9"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花盆口径（内径）＞</w:t>
            </w:r>
            <w:r>
              <w:rPr>
                <w:rFonts w:ascii="宋体" w:hAnsi="宋体" w:eastAsia="宋体" w:cs="宋体"/>
                <w:kern w:val="0"/>
                <w:sz w:val="20"/>
                <w:szCs w:val="20"/>
              </w:rPr>
              <w:t>60</w:t>
            </w:r>
            <w:r>
              <w:rPr>
                <w:rFonts w:hint="eastAsia" w:ascii="宋体" w:hAnsi="宋体" w:eastAsia="宋体" w:cs="宋体"/>
                <w:kern w:val="0"/>
                <w:sz w:val="20"/>
                <w:szCs w:val="20"/>
              </w:rPr>
              <w:t>厘米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每100盆</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1,760 </w:t>
            </w:r>
          </w:p>
        </w:tc>
        <w:tc>
          <w:tcPr>
            <w:tcW w:w="2345"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批量盆栽搬迁，按搬迁费用补偿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92"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restart"/>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其他说明</w:t>
            </w:r>
          </w:p>
        </w:tc>
        <w:tc>
          <w:tcPr>
            <w:tcW w:w="5759" w:type="dxa"/>
            <w:gridSpan w:val="4"/>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①被征收的绿化乔木类和棕榈科类补偿按合理种植密度确定每亩最高补偿棵数，超出每亩最高补偿棵数的部分不予补偿，未达到每亩最高补偿棵数的以每亩实际棵数结合相应档次折算予以补偿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92"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5759" w:type="dxa"/>
            <w:gridSpan w:val="4"/>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②成片种植绿化乔木类树木应由征收实施部门和被征收人以现场抽样方式选取最高补偿棵数10%（双方各选取5%，双方至少各选取5棵）进行测量，乔木类树木以平均胸径或平均树高作为补偿依据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85"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5759" w:type="dxa"/>
            <w:gridSpan w:val="4"/>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③成片种植棕榈科类树木应由征收实施部门和被征收人以现场抽样方式选取最高补偿棵数10%（双方各选取5%，双方至少各选取5棵）进行测量，棕榈科类树木以平均地径作为补偿依据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0"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5759" w:type="dxa"/>
            <w:gridSpan w:val="4"/>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④盆栽花木100盆以内（含100盆）参照盆栽花木（零星）进行计补，超过100盆参照盆栽花木（批量）进行计补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5" w:hRule="atLeast"/>
        </w:trPr>
        <w:tc>
          <w:tcPr>
            <w:tcW w:w="1535" w:type="dxa"/>
            <w:vMerge w:val="restart"/>
            <w:shd w:val="clear" w:color="auto" w:fill="auto"/>
            <w:vAlign w:val="center"/>
          </w:tcPr>
          <w:p>
            <w:pPr>
              <w:widowControl/>
              <w:spacing w:line="240" w:lineRule="exact"/>
              <w:jc w:val="left"/>
              <w:rPr>
                <w:rFonts w:ascii="宋体" w:hAnsi="宋体" w:eastAsia="宋体" w:cs="宋体"/>
                <w:b/>
                <w:bCs/>
                <w:kern w:val="0"/>
                <w:sz w:val="20"/>
                <w:szCs w:val="20"/>
              </w:rPr>
            </w:pPr>
            <w:r>
              <w:rPr>
                <w:rFonts w:hint="eastAsia" w:ascii="宋体" w:hAnsi="宋体" w:eastAsia="宋体" w:cs="宋体"/>
                <w:b/>
                <w:bCs/>
                <w:kern w:val="0"/>
                <w:sz w:val="20"/>
                <w:szCs w:val="20"/>
              </w:rPr>
              <w:t>九、征收零星树木</w:t>
            </w:r>
          </w:p>
        </w:tc>
        <w:tc>
          <w:tcPr>
            <w:tcW w:w="992" w:type="dxa"/>
            <w:vMerge w:val="restart"/>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零星绿化乔木</w:t>
            </w: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高度1米以下（不含1米）或胸径＜1厘米的幼苗</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每棵</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5 </w:t>
            </w:r>
          </w:p>
        </w:tc>
        <w:tc>
          <w:tcPr>
            <w:tcW w:w="2345"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按迁移费用补偿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35" w:type="dxa"/>
            <w:vMerge w:val="continue"/>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1厘米≤胸径＜3厘米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每棵</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10 </w:t>
            </w:r>
          </w:p>
        </w:tc>
        <w:tc>
          <w:tcPr>
            <w:tcW w:w="2345"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按迁移费用补偿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35" w:type="dxa"/>
            <w:vMerge w:val="continue"/>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3厘米≤胸径＜6厘米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每棵</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50 </w:t>
            </w:r>
          </w:p>
        </w:tc>
        <w:tc>
          <w:tcPr>
            <w:tcW w:w="2345"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按迁移费用补偿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35" w:type="dxa"/>
            <w:vMerge w:val="continue"/>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6厘米≤胸径＜10厘米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每棵</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120 </w:t>
            </w:r>
          </w:p>
        </w:tc>
        <w:tc>
          <w:tcPr>
            <w:tcW w:w="2345"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按迁移费用补偿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35" w:type="dxa"/>
            <w:vMerge w:val="continue"/>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10厘米≤胸径＜15厘米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每棵</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250 </w:t>
            </w:r>
          </w:p>
        </w:tc>
        <w:tc>
          <w:tcPr>
            <w:tcW w:w="2345"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按迁移费用补偿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35" w:type="dxa"/>
            <w:vMerge w:val="continue"/>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15厘米≤胸径＜20厘米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每棵</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450 </w:t>
            </w:r>
          </w:p>
        </w:tc>
        <w:tc>
          <w:tcPr>
            <w:tcW w:w="2345"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按迁移费用补偿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35" w:type="dxa"/>
            <w:vMerge w:val="continue"/>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20厘米≤胸径＜25厘米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每棵</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680 </w:t>
            </w:r>
          </w:p>
        </w:tc>
        <w:tc>
          <w:tcPr>
            <w:tcW w:w="2345"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按迁移费用补偿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35" w:type="dxa"/>
            <w:vMerge w:val="continue"/>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25厘米≤胸径＜30厘米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每棵</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820 </w:t>
            </w:r>
          </w:p>
        </w:tc>
        <w:tc>
          <w:tcPr>
            <w:tcW w:w="2345"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按迁移费用补偿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35" w:type="dxa"/>
            <w:vMerge w:val="continue"/>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30厘米≤胸径＜40厘米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每棵</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1,250 </w:t>
            </w:r>
          </w:p>
        </w:tc>
        <w:tc>
          <w:tcPr>
            <w:tcW w:w="2345"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按迁移费用补偿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35" w:type="dxa"/>
            <w:vMerge w:val="continue"/>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胸径≥40厘米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每棵</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1,700 </w:t>
            </w:r>
          </w:p>
        </w:tc>
        <w:tc>
          <w:tcPr>
            <w:tcW w:w="2345"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按迁移费用补偿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trPr>
        <w:tc>
          <w:tcPr>
            <w:tcW w:w="1535" w:type="dxa"/>
            <w:vMerge w:val="continue"/>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5759" w:type="dxa"/>
            <w:gridSpan w:val="4"/>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本条所称零星绿化乔木是指除黄花梨、沉香、罗汉松、柏树、发财树、桉树等以外的绿化乔木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35" w:type="dxa"/>
            <w:vMerge w:val="continue"/>
            <w:vAlign w:val="center"/>
          </w:tcPr>
          <w:p>
            <w:pPr>
              <w:widowControl/>
              <w:spacing w:line="240" w:lineRule="exact"/>
              <w:jc w:val="left"/>
              <w:rPr>
                <w:rFonts w:ascii="宋体" w:hAnsi="宋体" w:eastAsia="宋体" w:cs="宋体"/>
                <w:b/>
                <w:bCs/>
                <w:kern w:val="0"/>
                <w:sz w:val="20"/>
                <w:szCs w:val="20"/>
              </w:rPr>
            </w:pPr>
          </w:p>
        </w:tc>
        <w:tc>
          <w:tcPr>
            <w:tcW w:w="992" w:type="dxa"/>
            <w:vMerge w:val="restart"/>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零星棕榈科类</w:t>
            </w: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地径＜5厘米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每棵</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35 </w:t>
            </w:r>
          </w:p>
        </w:tc>
        <w:tc>
          <w:tcPr>
            <w:tcW w:w="2345"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按迁移费用补偿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35" w:type="dxa"/>
            <w:vMerge w:val="continue"/>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5厘米≤地径＜10厘米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每棵</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60 </w:t>
            </w:r>
          </w:p>
        </w:tc>
        <w:tc>
          <w:tcPr>
            <w:tcW w:w="2345"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按迁移费用补偿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35" w:type="dxa"/>
            <w:vMerge w:val="continue"/>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10厘米≤地径＜20厘米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每棵</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90 </w:t>
            </w:r>
          </w:p>
        </w:tc>
        <w:tc>
          <w:tcPr>
            <w:tcW w:w="2345"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按迁移费用补偿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35" w:type="dxa"/>
            <w:vMerge w:val="continue"/>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20厘米≤地径＜30厘米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每棵</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125 </w:t>
            </w:r>
          </w:p>
        </w:tc>
        <w:tc>
          <w:tcPr>
            <w:tcW w:w="2345"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按迁移费用补偿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35" w:type="dxa"/>
            <w:vMerge w:val="continue"/>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30厘米≤地径＜40厘米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每棵</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240 </w:t>
            </w:r>
          </w:p>
        </w:tc>
        <w:tc>
          <w:tcPr>
            <w:tcW w:w="2345"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按迁移费用补偿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35" w:type="dxa"/>
            <w:vMerge w:val="continue"/>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40厘米≤地径＜50厘米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每棵</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325 </w:t>
            </w:r>
          </w:p>
        </w:tc>
        <w:tc>
          <w:tcPr>
            <w:tcW w:w="2345"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按迁移费用补偿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35" w:type="dxa"/>
            <w:vMerge w:val="continue"/>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50厘米≤地径＜60厘米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每棵</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420 </w:t>
            </w:r>
          </w:p>
        </w:tc>
        <w:tc>
          <w:tcPr>
            <w:tcW w:w="2345"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按迁移费用补偿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35" w:type="dxa"/>
            <w:vMerge w:val="continue"/>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60厘米≤地径＜70厘米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每棵</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540 </w:t>
            </w:r>
          </w:p>
        </w:tc>
        <w:tc>
          <w:tcPr>
            <w:tcW w:w="2345"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按迁移费用补偿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35" w:type="dxa"/>
            <w:vMerge w:val="continue"/>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70厘米≤地径＜80厘米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每棵</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600 </w:t>
            </w:r>
          </w:p>
        </w:tc>
        <w:tc>
          <w:tcPr>
            <w:tcW w:w="2345"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按迁移费用补偿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35" w:type="dxa"/>
            <w:vMerge w:val="continue"/>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地径≥80厘米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每棵</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720 </w:t>
            </w:r>
          </w:p>
        </w:tc>
        <w:tc>
          <w:tcPr>
            <w:tcW w:w="2345"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按迁移费用补偿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6" w:hRule="atLeast"/>
        </w:trPr>
        <w:tc>
          <w:tcPr>
            <w:tcW w:w="1535" w:type="dxa"/>
            <w:vMerge w:val="continue"/>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5759" w:type="dxa"/>
            <w:gridSpan w:val="4"/>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本条所称零星棕榈科类是指除大王椰子树、散尾葵以外的棕榈科类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5" w:hRule="atLeast"/>
        </w:trPr>
        <w:tc>
          <w:tcPr>
            <w:tcW w:w="1535" w:type="dxa"/>
            <w:vMerge w:val="continue"/>
            <w:vAlign w:val="center"/>
          </w:tcPr>
          <w:p>
            <w:pPr>
              <w:widowControl/>
              <w:spacing w:line="240" w:lineRule="exact"/>
              <w:jc w:val="left"/>
              <w:rPr>
                <w:rFonts w:ascii="宋体" w:hAnsi="宋体" w:eastAsia="宋体" w:cs="宋体"/>
                <w:b/>
                <w:bCs/>
                <w:kern w:val="0"/>
                <w:sz w:val="20"/>
                <w:szCs w:val="20"/>
              </w:rPr>
            </w:pPr>
          </w:p>
        </w:tc>
        <w:tc>
          <w:tcPr>
            <w:tcW w:w="6751" w:type="dxa"/>
            <w:gridSpan w:val="5"/>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对于树木在15棵以下（以被征收户为单位），或呈带状分布的（比如沿厂房四周、住宅周边、道路两侧等）横向及纵向间距合理的绿化景观苗木等可认定为零星树木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1535" w:type="dxa"/>
            <w:vMerge w:val="restart"/>
            <w:shd w:val="clear" w:color="auto" w:fill="auto"/>
            <w:vAlign w:val="center"/>
          </w:tcPr>
          <w:p>
            <w:pPr>
              <w:widowControl/>
              <w:spacing w:line="240" w:lineRule="exact"/>
              <w:jc w:val="left"/>
              <w:rPr>
                <w:rFonts w:ascii="宋体" w:hAnsi="宋体" w:eastAsia="宋体" w:cs="宋体"/>
                <w:b/>
                <w:bCs/>
                <w:kern w:val="0"/>
                <w:sz w:val="20"/>
                <w:szCs w:val="20"/>
              </w:rPr>
            </w:pPr>
            <w:r>
              <w:rPr>
                <w:rFonts w:hint="eastAsia" w:ascii="宋体" w:hAnsi="宋体" w:eastAsia="宋体" w:cs="宋体"/>
                <w:b/>
                <w:bCs/>
                <w:kern w:val="0"/>
                <w:sz w:val="20"/>
                <w:szCs w:val="20"/>
              </w:rPr>
              <w:t>十、征收其他树木</w:t>
            </w:r>
          </w:p>
        </w:tc>
        <w:tc>
          <w:tcPr>
            <w:tcW w:w="992" w:type="dxa"/>
            <w:vMerge w:val="restart"/>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黄花梨、沉香</w:t>
            </w: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高度0.5米以下（含0.5米）幼苗</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6,000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按迁移费用补偿，成片每棵最多补偿600棵，零星树木每棵补偿10元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高度0.5-1米（含1米）幼苗</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7,500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按迁移费用补偿，成片每亩最多补偿300棵，零星树木每棵补偿25元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高度1-2米（含2米）幼苗</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12,000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按迁移费用补偿，成片每亩最多补偿240棵，零星树木每棵补偿50元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3厘米≤胸径≤6厘米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14,000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按迁移费用补偿，成片每亩最多补偿200棵，零星树木每棵补偿70元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6厘米＜胸径≤10厘米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19,200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按迁移费用补偿，成片每亩最多补偿160棵，零星树木每棵补偿120元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10厘米＜胸径≤15厘米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28,000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按迁移费用补偿，成片每亩最多补偿100棵，零星树木每棵补偿280元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15厘米＜胸径≤20厘米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35,000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按迁移费用补偿，成片每亩最多补偿70棵，零星树木每棵补偿500元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20厘米＜胸径≤25厘米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45,000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按迁移费用补偿，成片每亩最多补偿60棵，零星树木每棵补偿750元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胸径＞25厘米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50,000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按迁移费用补偿，成片每亩最多补偿50棵，零星树木每棵补偿1000元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restart"/>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罗汉松、柏树</w:t>
            </w: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高度0.5米以下（含0.5米）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3,000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按迁移费用补偿，成片每亩最多补偿600棵，零星树木每棵补偿5元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高度0.5-1米（含1米）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6,600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按迁移费用补偿，成片每亩最多补偿300棵，零星树木每棵补偿22元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高度1-1.5米（含1.5米）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8,400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按迁移费用补偿，成片每亩最多补偿200棵，零星树木每棵补偿42元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高度1.5-2米（含2米）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12,000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按迁移费用补偿，成片每亩最多补偿150棵，零星树木每棵补偿80元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高度2-2.5米（含2.5米）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14,400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按迁移费用补偿，成片每亩最多补偿120棵，零星树木每棵补偿120元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高度2.5米以上</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18,000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按迁移费用补偿，成片每亩最多补偿100棵，零星树木每棵补偿180元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1" w:hRule="atLeast"/>
        </w:trPr>
        <w:tc>
          <w:tcPr>
            <w:tcW w:w="1535" w:type="dxa"/>
            <w:vMerge w:val="restart"/>
            <w:shd w:val="clear" w:color="auto" w:fill="auto"/>
            <w:vAlign w:val="center"/>
          </w:tcPr>
          <w:p>
            <w:pPr>
              <w:widowControl/>
              <w:spacing w:line="240" w:lineRule="exact"/>
              <w:jc w:val="left"/>
              <w:rPr>
                <w:rFonts w:ascii="宋体" w:hAnsi="宋体" w:eastAsia="宋体" w:cs="宋体"/>
                <w:b/>
                <w:bCs/>
                <w:kern w:val="0"/>
                <w:sz w:val="20"/>
                <w:szCs w:val="20"/>
              </w:rPr>
            </w:pPr>
            <w:r>
              <w:rPr>
                <w:rFonts w:hint="eastAsia" w:ascii="宋体" w:hAnsi="宋体" w:eastAsia="宋体" w:cs="宋体"/>
                <w:b/>
                <w:bCs/>
                <w:kern w:val="0"/>
                <w:sz w:val="20"/>
                <w:szCs w:val="20"/>
              </w:rPr>
              <w:t>十、征收其他树木</w:t>
            </w:r>
          </w:p>
        </w:tc>
        <w:tc>
          <w:tcPr>
            <w:tcW w:w="992" w:type="dxa"/>
            <w:vMerge w:val="restart"/>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发财树</w:t>
            </w: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胸径≤5厘米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10,500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按迁移费用补偿，地栽发财树，成片每亩最多补偿300棵，零星树木每棵补偿35元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1"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5厘米＜胸径≤10厘米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15,600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按迁移费用补偿，地栽发财树，成片每亩最多补偿240棵，零星树木每棵补偿65元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1"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胸径＞10厘米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19,500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按迁移费用补偿，地栽发财树，成片每亩最多补偿150棵，零星树木每棵补偿130元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5759" w:type="dxa"/>
            <w:gridSpan w:val="4"/>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盆栽的发财树，根据盆口尺寸，按盆栽花木标准补偿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restart"/>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零星大王椰子树</w:t>
            </w: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地径≤5厘米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每棵</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50 </w:t>
            </w:r>
          </w:p>
        </w:tc>
        <w:tc>
          <w:tcPr>
            <w:tcW w:w="2345"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按迁移费用补偿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5厘米＜地径≤10厘米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每棵</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120 </w:t>
            </w:r>
          </w:p>
        </w:tc>
        <w:tc>
          <w:tcPr>
            <w:tcW w:w="2345"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按迁移费用补偿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10厘米＜地径≤15厘米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每棵</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200 </w:t>
            </w:r>
          </w:p>
        </w:tc>
        <w:tc>
          <w:tcPr>
            <w:tcW w:w="2345"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按迁移费用补偿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5759" w:type="dxa"/>
            <w:gridSpan w:val="4"/>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地径＞15厘米的，每棵迁移费用补偿按地径每增加1厘米，在200元的基础上加5元；成片补偿参照成片地栽苗木计补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restart"/>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散尾葵</w:t>
            </w: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树苗</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6,000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按迁移费用补偿，成片每亩最多补偿600棵，零星树苗每棵补偿10元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冠幅＜1米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13,000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按迁移费用补偿，成片每亩最多补偿300棵，零星树木每棵补偿45元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1米≤冠幅≤1.5米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15,600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按迁移费用补偿，成片每亩最多补偿200棵，零星树木每棵补偿80元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1.5米＜冠幅≤2米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16,900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按迁移费用补偿，成片每亩最多补偿130棵，零星树木每棵补偿130元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2米＜冠幅≤2.5米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18,000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按迁移费用补偿，成片每亩最多补偿100棵，零星树木每棵补偿180元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2.5米＜冠幅≤3米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18,900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按迁移费用补偿，成片每亩最多补偿70棵，零星树木每棵补偿270元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restart"/>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桉树</w:t>
            </w: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种植期一年以内的幼苗</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1,800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按迁移费用补偿，成片每亩最多补偿300棵，零星树苗每棵补偿6元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3厘米≤平均胸径≤5厘米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2,600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按迁移费用补偿，成片每亩最多补偿100棵，零星树木每棵补偿26元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5厘米＜平均胸径≤15厘米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3,600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按迁移费用补偿，成片每亩最多补偿100棵，零星树木每棵补偿36元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5"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平均胸径＞15厘米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5,000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按迁移费用补偿，成片每亩最多补偿100棵，零星树木每棵补偿50元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35" w:type="dxa"/>
            <w:vMerge w:val="restart"/>
            <w:shd w:val="clear" w:color="auto" w:fill="auto"/>
            <w:vAlign w:val="center"/>
          </w:tcPr>
          <w:p>
            <w:pPr>
              <w:widowControl/>
              <w:spacing w:line="240" w:lineRule="exact"/>
              <w:jc w:val="left"/>
              <w:rPr>
                <w:rFonts w:ascii="宋体" w:hAnsi="宋体" w:eastAsia="宋体" w:cs="宋体"/>
                <w:b/>
                <w:bCs/>
                <w:kern w:val="0"/>
                <w:sz w:val="20"/>
                <w:szCs w:val="20"/>
              </w:rPr>
            </w:pPr>
            <w:r>
              <w:rPr>
                <w:rFonts w:hint="eastAsia" w:ascii="宋体" w:hAnsi="宋体" w:eastAsia="宋体" w:cs="宋体"/>
                <w:b/>
                <w:bCs/>
                <w:kern w:val="0"/>
                <w:sz w:val="20"/>
                <w:szCs w:val="20"/>
              </w:rPr>
              <w:t>十、征收其他树木</w:t>
            </w:r>
          </w:p>
        </w:tc>
        <w:tc>
          <w:tcPr>
            <w:tcW w:w="992" w:type="dxa"/>
            <w:vMerge w:val="restart"/>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杂树</w:t>
            </w: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胸径＜4厘米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每棵</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7 </w:t>
            </w:r>
          </w:p>
        </w:tc>
        <w:tc>
          <w:tcPr>
            <w:tcW w:w="2345"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4厘米≤胸径≤6厘米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每棵</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10 </w:t>
            </w:r>
          </w:p>
        </w:tc>
        <w:tc>
          <w:tcPr>
            <w:tcW w:w="2345"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6厘米＜胸径≤8厘米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每棵</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15 </w:t>
            </w:r>
          </w:p>
        </w:tc>
        <w:tc>
          <w:tcPr>
            <w:tcW w:w="2345"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8厘米＜胸径≤10厘米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每棵</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30 </w:t>
            </w:r>
          </w:p>
        </w:tc>
        <w:tc>
          <w:tcPr>
            <w:tcW w:w="2345"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10厘米＜胸径≤20厘米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每棵</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80 </w:t>
            </w:r>
          </w:p>
        </w:tc>
        <w:tc>
          <w:tcPr>
            <w:tcW w:w="2345"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20厘米＜胸径≤30厘米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每棵</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120 </w:t>
            </w:r>
          </w:p>
        </w:tc>
        <w:tc>
          <w:tcPr>
            <w:tcW w:w="2345"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30厘米＜胸径≤40厘米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每棵</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140 </w:t>
            </w:r>
          </w:p>
        </w:tc>
        <w:tc>
          <w:tcPr>
            <w:tcW w:w="2345"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40厘米＜胸径≤50厘米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每棵</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160 </w:t>
            </w:r>
          </w:p>
        </w:tc>
        <w:tc>
          <w:tcPr>
            <w:tcW w:w="2345"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shd w:val="clear" w:color="auto" w:fill="auto"/>
            <w:vAlign w:val="center"/>
          </w:tcPr>
          <w:p>
            <w:pPr>
              <w:widowControl/>
              <w:spacing w:line="240" w:lineRule="exact"/>
              <w:jc w:val="center"/>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50厘米＜胸径≤60厘米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每棵</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180 </w:t>
            </w:r>
          </w:p>
        </w:tc>
        <w:tc>
          <w:tcPr>
            <w:tcW w:w="2345"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35" w:type="dxa"/>
            <w:vMerge w:val="continue"/>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60厘米＜胸径≤70厘米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每棵</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240 </w:t>
            </w:r>
          </w:p>
        </w:tc>
        <w:tc>
          <w:tcPr>
            <w:tcW w:w="2345"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35" w:type="dxa"/>
            <w:vMerge w:val="continue"/>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70厘米＜胸径≤80厘米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每棵</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350 </w:t>
            </w:r>
          </w:p>
        </w:tc>
        <w:tc>
          <w:tcPr>
            <w:tcW w:w="2345"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35" w:type="dxa"/>
            <w:vMerge w:val="continue"/>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胸径＞</w:t>
            </w:r>
            <w:r>
              <w:rPr>
                <w:rFonts w:ascii="宋体" w:hAnsi="宋体" w:eastAsia="宋体" w:cs="宋体"/>
                <w:kern w:val="0"/>
                <w:sz w:val="20"/>
                <w:szCs w:val="20"/>
              </w:rPr>
              <w:t>80</w:t>
            </w:r>
            <w:r>
              <w:rPr>
                <w:rFonts w:hint="eastAsia" w:ascii="宋体" w:hAnsi="宋体" w:eastAsia="宋体" w:cs="宋体"/>
                <w:kern w:val="0"/>
                <w:sz w:val="20"/>
                <w:szCs w:val="20"/>
              </w:rPr>
              <w:t>厘米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每棵</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500 </w:t>
            </w:r>
          </w:p>
        </w:tc>
        <w:tc>
          <w:tcPr>
            <w:tcW w:w="2345"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7" w:hRule="atLeast"/>
        </w:trPr>
        <w:tc>
          <w:tcPr>
            <w:tcW w:w="1535" w:type="dxa"/>
            <w:vMerge w:val="continue"/>
            <w:vAlign w:val="center"/>
          </w:tcPr>
          <w:p>
            <w:pPr>
              <w:widowControl/>
              <w:spacing w:line="240" w:lineRule="exact"/>
              <w:jc w:val="left"/>
              <w:rPr>
                <w:rFonts w:ascii="宋体" w:hAnsi="宋体" w:eastAsia="宋体" w:cs="宋体"/>
                <w:b/>
                <w:bCs/>
                <w:kern w:val="0"/>
                <w:sz w:val="20"/>
                <w:szCs w:val="20"/>
              </w:rPr>
            </w:pPr>
          </w:p>
        </w:tc>
        <w:tc>
          <w:tcPr>
            <w:tcW w:w="992"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古树</w:t>
            </w:r>
          </w:p>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名木</w:t>
            </w:r>
          </w:p>
        </w:tc>
        <w:tc>
          <w:tcPr>
            <w:tcW w:w="5759" w:type="dxa"/>
            <w:gridSpan w:val="4"/>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经相关职能部门认定为古树名木的，报征收部门后，参照本办法第七条规定执行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35" w:type="dxa"/>
            <w:vMerge w:val="restart"/>
            <w:shd w:val="clear" w:color="auto" w:fill="auto"/>
            <w:vAlign w:val="center"/>
          </w:tcPr>
          <w:p>
            <w:pPr>
              <w:widowControl/>
              <w:spacing w:line="240" w:lineRule="exact"/>
              <w:jc w:val="left"/>
              <w:rPr>
                <w:rFonts w:ascii="宋体" w:hAnsi="宋体" w:eastAsia="宋体" w:cs="宋体"/>
                <w:b/>
                <w:bCs/>
                <w:kern w:val="0"/>
                <w:sz w:val="20"/>
                <w:szCs w:val="20"/>
              </w:rPr>
            </w:pPr>
            <w:r>
              <w:rPr>
                <w:rFonts w:hint="eastAsia" w:ascii="宋体" w:hAnsi="宋体" w:eastAsia="宋体" w:cs="宋体"/>
                <w:b/>
                <w:bCs/>
                <w:kern w:val="0"/>
                <w:sz w:val="20"/>
                <w:szCs w:val="20"/>
              </w:rPr>
              <w:t>十一、征收鱼塘</w:t>
            </w:r>
          </w:p>
        </w:tc>
        <w:tc>
          <w:tcPr>
            <w:tcW w:w="2551" w:type="dxa"/>
            <w:gridSpan w:val="2"/>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鱼塘开发费用</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3,500 </w:t>
            </w:r>
          </w:p>
        </w:tc>
        <w:tc>
          <w:tcPr>
            <w:tcW w:w="2345"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00"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2551" w:type="dxa"/>
            <w:gridSpan w:val="2"/>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四大家鱼及一般淡水鱼（搬迁费用）</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9,000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四大家鱼及一般淡水鱼类指：草鱼(鲩鱼)、鲢鱼(扁鱼)、鳙鱼(大头鱼)、鲮鱼、鲤鱼、各种罗非鱼、埃及塘虱、泰国塘虱、南方大口鲶、淡水白鲳等品种以上述鱼类为主养及混养部分优质品种、蚌类及观赏鱼的按此标准补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90"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2551" w:type="dxa"/>
            <w:gridSpan w:val="2"/>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虾、蟹、优质品种鱼类及海鲜类（搬迁费用）</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13,000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优质品种鱼类指：龙虱、鲷科类、笋壳类、中华胭脂鱼、金钱鱼(金鼓)、鳗鱼、河豚(鸡抱、芭鱼)、鲟鱼类、红鼓(美国红鱼)、鲈鱼类、广东鲂(边鱼、大眼鸡)、长吻鲍、瓜仔斑(黑瓜仔)、桂花鱼(鳜鱼)、黄鳍鲷(黄脚立)、禾顺、黄颡鱼(黄骨鱼)、乌头鲻、黄鲻、叉尾鮰、本地塘虱、生鱼、武昌鱼(团头鲂)、仙骨大头、缩骨大头、鲫鱼类（不含各种罗非鱼）、巴西鲷、蓝鳃太阳鱼、山斑鱼(月鳢)、蛙类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0" w:hRule="atLeast"/>
        </w:trPr>
        <w:tc>
          <w:tcPr>
            <w:tcW w:w="1535" w:type="dxa"/>
            <w:vMerge w:val="restart"/>
            <w:shd w:val="clear" w:color="auto" w:fill="auto"/>
            <w:vAlign w:val="center"/>
          </w:tcPr>
          <w:p>
            <w:pPr>
              <w:widowControl/>
              <w:spacing w:line="240" w:lineRule="exact"/>
              <w:jc w:val="left"/>
              <w:rPr>
                <w:rFonts w:ascii="宋体" w:hAnsi="宋体" w:eastAsia="宋体" w:cs="宋体"/>
                <w:b/>
                <w:bCs/>
                <w:kern w:val="0"/>
                <w:sz w:val="20"/>
                <w:szCs w:val="20"/>
              </w:rPr>
            </w:pPr>
            <w:r>
              <w:rPr>
                <w:rFonts w:hint="eastAsia" w:ascii="宋体" w:hAnsi="宋体" w:eastAsia="宋体" w:cs="宋体"/>
                <w:b/>
                <w:bCs/>
                <w:kern w:val="0"/>
                <w:sz w:val="20"/>
                <w:szCs w:val="20"/>
              </w:rPr>
              <w:t>十一、征收鱼塘</w:t>
            </w:r>
          </w:p>
        </w:tc>
        <w:tc>
          <w:tcPr>
            <w:tcW w:w="6751" w:type="dxa"/>
            <w:gridSpan w:val="5"/>
            <w:shd w:val="clear" w:color="auto" w:fill="auto"/>
            <w:vAlign w:val="center"/>
          </w:tcPr>
          <w:p>
            <w:pPr>
              <w:widowControl/>
              <w:spacing w:line="240" w:lineRule="exact"/>
              <w:jc w:val="left"/>
              <w:rPr>
                <w:rFonts w:ascii="宋体" w:hAnsi="宋体" w:eastAsia="宋体" w:cs="宋体"/>
                <w:b/>
                <w:bCs/>
                <w:kern w:val="0"/>
                <w:sz w:val="20"/>
                <w:szCs w:val="20"/>
              </w:rPr>
            </w:pPr>
            <w:r>
              <w:rPr>
                <w:rFonts w:hint="eastAsia" w:ascii="宋体" w:hAnsi="宋体" w:eastAsia="宋体" w:cs="宋体"/>
                <w:b/>
                <w:bCs/>
                <w:kern w:val="0"/>
                <w:sz w:val="20"/>
                <w:szCs w:val="20"/>
              </w:rPr>
              <w:t>特殊说明：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0"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6751" w:type="dxa"/>
            <w:gridSpan w:val="5"/>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①搬迁补偿费用包括：新塘预处理费用、鱼塘捕捞费用、过塘运输费用、可能存在的死亡损失费用、鱼塘基础设施配套费用（如给排水设施、塘内设备电线费用、增氧机搬迁费用、发电机搬迁费用等）、塘基配套工具房、石粉路及人工费用等，不包括鱼塘开发费、塘基上青苗补偿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5"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6751" w:type="dxa"/>
            <w:gridSpan w:val="5"/>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②搬迁补偿费用是按鱼塘水域面积进行计补，鱼塘水域面积按鱼塘合理水面高度进行测量，鱼塘合理水面高度为塘基到水面垂直高度约30cm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6751" w:type="dxa"/>
            <w:gridSpan w:val="5"/>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③鱼塘的合理养殖，养殖的主要品种应占养殖总量不低于70%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6751" w:type="dxa"/>
            <w:gridSpan w:val="5"/>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④娃娃鱼、鳄鱼、龟类等为较特殊养殖品种，参照本办法第七条规定执行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535" w:type="dxa"/>
            <w:vMerge w:val="restart"/>
            <w:shd w:val="clear" w:color="auto" w:fill="auto"/>
            <w:vAlign w:val="center"/>
          </w:tcPr>
          <w:p>
            <w:pPr>
              <w:widowControl/>
              <w:spacing w:line="240" w:lineRule="exact"/>
              <w:jc w:val="left"/>
              <w:rPr>
                <w:rFonts w:ascii="宋体" w:hAnsi="宋体" w:eastAsia="宋体" w:cs="宋体"/>
                <w:b/>
                <w:bCs/>
                <w:kern w:val="0"/>
                <w:sz w:val="20"/>
                <w:szCs w:val="20"/>
              </w:rPr>
            </w:pPr>
            <w:r>
              <w:rPr>
                <w:rFonts w:hint="eastAsia" w:ascii="宋体" w:hAnsi="宋体" w:eastAsia="宋体" w:cs="宋体"/>
                <w:b/>
                <w:bCs/>
                <w:kern w:val="0"/>
                <w:sz w:val="20"/>
                <w:szCs w:val="20"/>
              </w:rPr>
              <w:t>十二、征收禽畜养殖场</w:t>
            </w:r>
          </w:p>
        </w:tc>
        <w:tc>
          <w:tcPr>
            <w:tcW w:w="2551" w:type="dxa"/>
            <w:gridSpan w:val="2"/>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种猪、繁殖母猪</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每头</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450 </w:t>
            </w:r>
          </w:p>
        </w:tc>
        <w:tc>
          <w:tcPr>
            <w:tcW w:w="2345"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按搬迁费用补偿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trPr>
        <w:tc>
          <w:tcPr>
            <w:tcW w:w="1535" w:type="dxa"/>
            <w:vMerge w:val="continue"/>
            <w:vAlign w:val="center"/>
          </w:tcPr>
          <w:p>
            <w:pPr>
              <w:widowControl/>
              <w:spacing w:line="240" w:lineRule="exact"/>
              <w:jc w:val="left"/>
              <w:rPr>
                <w:rFonts w:ascii="宋体" w:hAnsi="宋体" w:eastAsia="宋体" w:cs="宋体"/>
                <w:b/>
                <w:bCs/>
                <w:kern w:val="0"/>
                <w:sz w:val="20"/>
                <w:szCs w:val="20"/>
              </w:rPr>
            </w:pPr>
          </w:p>
        </w:tc>
        <w:tc>
          <w:tcPr>
            <w:tcW w:w="2551" w:type="dxa"/>
            <w:gridSpan w:val="2"/>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肉猪体重25千克以上（含25千克）</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每头</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120 </w:t>
            </w:r>
          </w:p>
        </w:tc>
        <w:tc>
          <w:tcPr>
            <w:tcW w:w="2345"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按搬迁费用补偿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trPr>
        <w:tc>
          <w:tcPr>
            <w:tcW w:w="1535" w:type="dxa"/>
            <w:vMerge w:val="continue"/>
            <w:vAlign w:val="center"/>
          </w:tcPr>
          <w:p>
            <w:pPr>
              <w:widowControl/>
              <w:spacing w:line="240" w:lineRule="exact"/>
              <w:jc w:val="left"/>
              <w:rPr>
                <w:rFonts w:ascii="宋体" w:hAnsi="宋体" w:eastAsia="宋体" w:cs="宋体"/>
                <w:b/>
                <w:bCs/>
                <w:kern w:val="0"/>
                <w:sz w:val="20"/>
                <w:szCs w:val="20"/>
              </w:rPr>
            </w:pPr>
          </w:p>
        </w:tc>
        <w:tc>
          <w:tcPr>
            <w:tcW w:w="2551" w:type="dxa"/>
            <w:gridSpan w:val="2"/>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猪苗体重25千克以下（不含25千克）</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每头</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50 </w:t>
            </w:r>
          </w:p>
        </w:tc>
        <w:tc>
          <w:tcPr>
            <w:tcW w:w="2345"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按搬迁费用补偿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trPr>
        <w:tc>
          <w:tcPr>
            <w:tcW w:w="1535" w:type="dxa"/>
            <w:vMerge w:val="continue"/>
            <w:vAlign w:val="center"/>
          </w:tcPr>
          <w:p>
            <w:pPr>
              <w:widowControl/>
              <w:spacing w:line="240" w:lineRule="exact"/>
              <w:jc w:val="left"/>
              <w:rPr>
                <w:rFonts w:ascii="宋体" w:hAnsi="宋体" w:eastAsia="宋体" w:cs="宋体"/>
                <w:b/>
                <w:bCs/>
                <w:kern w:val="0"/>
                <w:sz w:val="20"/>
                <w:szCs w:val="20"/>
              </w:rPr>
            </w:pPr>
          </w:p>
        </w:tc>
        <w:tc>
          <w:tcPr>
            <w:tcW w:w="2551" w:type="dxa"/>
            <w:gridSpan w:val="2"/>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鸡、鸭、鹅体重0.5市斤以下（不含0.5市斤）</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每只</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1 </w:t>
            </w:r>
          </w:p>
        </w:tc>
        <w:tc>
          <w:tcPr>
            <w:tcW w:w="2345"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按搬迁费用补偿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trPr>
        <w:tc>
          <w:tcPr>
            <w:tcW w:w="1535" w:type="dxa"/>
            <w:vMerge w:val="continue"/>
            <w:vAlign w:val="center"/>
          </w:tcPr>
          <w:p>
            <w:pPr>
              <w:widowControl/>
              <w:spacing w:line="240" w:lineRule="exact"/>
              <w:jc w:val="left"/>
              <w:rPr>
                <w:rFonts w:ascii="宋体" w:hAnsi="宋体" w:eastAsia="宋体" w:cs="宋体"/>
                <w:b/>
                <w:bCs/>
                <w:kern w:val="0"/>
                <w:sz w:val="20"/>
                <w:szCs w:val="20"/>
              </w:rPr>
            </w:pPr>
          </w:p>
        </w:tc>
        <w:tc>
          <w:tcPr>
            <w:tcW w:w="2551" w:type="dxa"/>
            <w:gridSpan w:val="2"/>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鸡、鸭、鹅体重0.5-1.5市斤（不含1.5市斤）</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每只</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2 </w:t>
            </w:r>
          </w:p>
        </w:tc>
        <w:tc>
          <w:tcPr>
            <w:tcW w:w="2345"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按搬迁费用补偿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trPr>
        <w:tc>
          <w:tcPr>
            <w:tcW w:w="1535" w:type="dxa"/>
            <w:vMerge w:val="continue"/>
            <w:vAlign w:val="center"/>
          </w:tcPr>
          <w:p>
            <w:pPr>
              <w:widowControl/>
              <w:spacing w:line="240" w:lineRule="exact"/>
              <w:jc w:val="left"/>
              <w:rPr>
                <w:rFonts w:ascii="宋体" w:hAnsi="宋体" w:eastAsia="宋体" w:cs="宋体"/>
                <w:b/>
                <w:bCs/>
                <w:kern w:val="0"/>
                <w:sz w:val="20"/>
                <w:szCs w:val="20"/>
              </w:rPr>
            </w:pPr>
          </w:p>
        </w:tc>
        <w:tc>
          <w:tcPr>
            <w:tcW w:w="2551" w:type="dxa"/>
            <w:gridSpan w:val="2"/>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鸡、鸭、鹅体重1.5市斤以上（含1.5市斤）</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每只</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5 </w:t>
            </w:r>
          </w:p>
        </w:tc>
        <w:tc>
          <w:tcPr>
            <w:tcW w:w="2345"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按搬迁费用补偿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trPr>
        <w:tc>
          <w:tcPr>
            <w:tcW w:w="1535" w:type="dxa"/>
            <w:vMerge w:val="continue"/>
            <w:vAlign w:val="center"/>
          </w:tcPr>
          <w:p>
            <w:pPr>
              <w:widowControl/>
              <w:spacing w:line="240" w:lineRule="exact"/>
              <w:jc w:val="left"/>
              <w:rPr>
                <w:rFonts w:ascii="宋体" w:hAnsi="宋体" w:eastAsia="宋体" w:cs="宋体"/>
                <w:b/>
                <w:bCs/>
                <w:kern w:val="0"/>
                <w:sz w:val="20"/>
                <w:szCs w:val="20"/>
              </w:rPr>
            </w:pPr>
          </w:p>
        </w:tc>
        <w:tc>
          <w:tcPr>
            <w:tcW w:w="6751" w:type="dxa"/>
            <w:gridSpan w:val="5"/>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养殖单位牲畜数量小于5头（不含5头）、禽鸟数量小于150只（不含150只）的，原则上不予搬迁补偿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trPr>
        <w:tc>
          <w:tcPr>
            <w:tcW w:w="1535" w:type="dxa"/>
            <w:vMerge w:val="restart"/>
            <w:shd w:val="clear" w:color="auto" w:fill="auto"/>
            <w:vAlign w:val="center"/>
          </w:tcPr>
          <w:p>
            <w:pPr>
              <w:widowControl/>
              <w:spacing w:line="240" w:lineRule="exact"/>
              <w:jc w:val="left"/>
              <w:rPr>
                <w:rFonts w:ascii="宋体" w:hAnsi="宋体" w:eastAsia="宋体" w:cs="宋体"/>
                <w:b/>
                <w:bCs/>
                <w:kern w:val="0"/>
                <w:sz w:val="20"/>
                <w:szCs w:val="20"/>
              </w:rPr>
            </w:pPr>
            <w:r>
              <w:rPr>
                <w:rFonts w:hint="eastAsia" w:ascii="宋体" w:hAnsi="宋体" w:eastAsia="宋体" w:cs="宋体"/>
                <w:b/>
                <w:bCs/>
                <w:kern w:val="0"/>
                <w:sz w:val="20"/>
                <w:szCs w:val="20"/>
              </w:rPr>
              <w:t>十三、征收滩涂</w:t>
            </w:r>
          </w:p>
        </w:tc>
        <w:tc>
          <w:tcPr>
            <w:tcW w:w="2551" w:type="dxa"/>
            <w:gridSpan w:val="2"/>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用于防风、防潮护堤而种植树木的滩涂</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2,500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补偿面积按水平投影面积计算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trPr>
        <w:tc>
          <w:tcPr>
            <w:tcW w:w="1535" w:type="dxa"/>
            <w:vMerge w:val="continue"/>
            <w:vAlign w:val="center"/>
          </w:tcPr>
          <w:p>
            <w:pPr>
              <w:widowControl/>
              <w:spacing w:line="240" w:lineRule="exact"/>
              <w:jc w:val="left"/>
              <w:rPr>
                <w:rFonts w:ascii="宋体" w:hAnsi="宋体" w:eastAsia="宋体" w:cs="宋体"/>
                <w:b/>
                <w:bCs/>
                <w:kern w:val="0"/>
                <w:sz w:val="20"/>
                <w:szCs w:val="20"/>
              </w:rPr>
            </w:pPr>
          </w:p>
        </w:tc>
        <w:tc>
          <w:tcPr>
            <w:tcW w:w="2551" w:type="dxa"/>
            <w:gridSpan w:val="2"/>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已成围但未整治的滩涂</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2,400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按原围垦计划范围的面积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trPr>
        <w:tc>
          <w:tcPr>
            <w:tcW w:w="1535" w:type="dxa"/>
            <w:vMerge w:val="continue"/>
            <w:vAlign w:val="center"/>
          </w:tcPr>
          <w:p>
            <w:pPr>
              <w:widowControl/>
              <w:spacing w:line="240" w:lineRule="exact"/>
              <w:jc w:val="left"/>
              <w:rPr>
                <w:rFonts w:ascii="宋体" w:hAnsi="宋体" w:eastAsia="宋体" w:cs="宋体"/>
                <w:b/>
                <w:bCs/>
                <w:kern w:val="0"/>
                <w:sz w:val="20"/>
                <w:szCs w:val="20"/>
              </w:rPr>
            </w:pPr>
          </w:p>
        </w:tc>
        <w:tc>
          <w:tcPr>
            <w:tcW w:w="2551" w:type="dxa"/>
            <w:gridSpan w:val="2"/>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成围且有土堤分割的已整治的滩涂</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3,100 </w:t>
            </w:r>
          </w:p>
        </w:tc>
        <w:tc>
          <w:tcPr>
            <w:tcW w:w="2345"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按成围面积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6" w:hRule="atLeast"/>
        </w:trPr>
        <w:tc>
          <w:tcPr>
            <w:tcW w:w="1535" w:type="dxa"/>
            <w:vMerge w:val="continue"/>
            <w:vAlign w:val="center"/>
          </w:tcPr>
          <w:p>
            <w:pPr>
              <w:widowControl/>
              <w:spacing w:line="240" w:lineRule="exact"/>
              <w:jc w:val="left"/>
              <w:rPr>
                <w:rFonts w:ascii="宋体" w:hAnsi="宋体" w:eastAsia="宋体" w:cs="宋体"/>
                <w:b/>
                <w:bCs/>
                <w:kern w:val="0"/>
                <w:sz w:val="20"/>
                <w:szCs w:val="20"/>
              </w:rPr>
            </w:pPr>
          </w:p>
        </w:tc>
        <w:tc>
          <w:tcPr>
            <w:tcW w:w="6751" w:type="dxa"/>
            <w:gridSpan w:val="5"/>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正在围垦的滩涂按实际投入成本给予补偿；凡未经政府批准，擅自围垦、种养的滩涂不予补偿，围垦工程款属国家投资的不予补偿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535" w:type="dxa"/>
            <w:vMerge w:val="restart"/>
            <w:shd w:val="clear" w:color="auto" w:fill="auto"/>
            <w:vAlign w:val="center"/>
          </w:tcPr>
          <w:p>
            <w:pPr>
              <w:widowControl/>
              <w:spacing w:line="240" w:lineRule="exact"/>
              <w:jc w:val="left"/>
              <w:rPr>
                <w:rFonts w:ascii="宋体" w:hAnsi="宋体" w:eastAsia="宋体" w:cs="宋体"/>
                <w:b/>
                <w:bCs/>
                <w:kern w:val="0"/>
                <w:sz w:val="20"/>
                <w:szCs w:val="20"/>
              </w:rPr>
            </w:pPr>
            <w:r>
              <w:rPr>
                <w:rFonts w:hint="eastAsia" w:ascii="宋体" w:hAnsi="宋体" w:eastAsia="宋体" w:cs="宋体"/>
                <w:b/>
                <w:bCs/>
                <w:kern w:val="0"/>
                <w:sz w:val="20"/>
                <w:szCs w:val="20"/>
              </w:rPr>
              <w:t>十四、征收蚝田</w:t>
            </w:r>
          </w:p>
        </w:tc>
        <w:tc>
          <w:tcPr>
            <w:tcW w:w="2551" w:type="dxa"/>
            <w:gridSpan w:val="2"/>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投入角石放养的蚝田</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4,000 </w:t>
            </w:r>
          </w:p>
        </w:tc>
        <w:tc>
          <w:tcPr>
            <w:tcW w:w="2345"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4" w:hRule="atLeast"/>
        </w:trPr>
        <w:tc>
          <w:tcPr>
            <w:tcW w:w="1535" w:type="dxa"/>
            <w:vMerge w:val="continue"/>
            <w:vAlign w:val="center"/>
          </w:tcPr>
          <w:p>
            <w:pPr>
              <w:widowControl/>
              <w:spacing w:line="240" w:lineRule="exact"/>
              <w:jc w:val="left"/>
              <w:rPr>
                <w:rFonts w:ascii="宋体" w:hAnsi="宋体" w:eastAsia="宋体" w:cs="宋体"/>
                <w:b/>
                <w:bCs/>
                <w:kern w:val="0"/>
                <w:sz w:val="20"/>
                <w:szCs w:val="20"/>
              </w:rPr>
            </w:pPr>
          </w:p>
        </w:tc>
        <w:tc>
          <w:tcPr>
            <w:tcW w:w="2551" w:type="dxa"/>
            <w:gridSpan w:val="2"/>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设置1.5米以下有效养殖高度的水泥桩柱的蚝田</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5,500 </w:t>
            </w:r>
          </w:p>
        </w:tc>
        <w:tc>
          <w:tcPr>
            <w:tcW w:w="2345"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包含养殖所需桩柱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6" w:hRule="atLeast"/>
        </w:trPr>
        <w:tc>
          <w:tcPr>
            <w:tcW w:w="1535" w:type="dxa"/>
            <w:vMerge w:val="continue"/>
            <w:vAlign w:val="center"/>
          </w:tcPr>
          <w:p>
            <w:pPr>
              <w:widowControl/>
              <w:spacing w:line="240" w:lineRule="exact"/>
              <w:jc w:val="left"/>
              <w:rPr>
                <w:rFonts w:ascii="宋体" w:hAnsi="宋体" w:eastAsia="宋体" w:cs="宋体"/>
                <w:b/>
                <w:bCs/>
                <w:kern w:val="0"/>
                <w:sz w:val="20"/>
                <w:szCs w:val="20"/>
              </w:rPr>
            </w:pPr>
          </w:p>
        </w:tc>
        <w:tc>
          <w:tcPr>
            <w:tcW w:w="2551" w:type="dxa"/>
            <w:gridSpan w:val="2"/>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设置1.5米或以上有效养殖高度的水泥桩柱的蚝田</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6,400 </w:t>
            </w:r>
          </w:p>
        </w:tc>
        <w:tc>
          <w:tcPr>
            <w:tcW w:w="2345"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包含养殖所需桩柱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6" w:hRule="atLeast"/>
        </w:trPr>
        <w:tc>
          <w:tcPr>
            <w:tcW w:w="1535" w:type="dxa"/>
            <w:vMerge w:val="continue"/>
            <w:vAlign w:val="center"/>
          </w:tcPr>
          <w:p>
            <w:pPr>
              <w:widowControl/>
              <w:spacing w:line="240" w:lineRule="exact"/>
              <w:jc w:val="left"/>
              <w:rPr>
                <w:rFonts w:ascii="宋体" w:hAnsi="宋体" w:eastAsia="宋体" w:cs="宋体"/>
                <w:b/>
                <w:bCs/>
                <w:kern w:val="0"/>
                <w:sz w:val="20"/>
                <w:szCs w:val="20"/>
              </w:rPr>
            </w:pPr>
          </w:p>
        </w:tc>
        <w:tc>
          <w:tcPr>
            <w:tcW w:w="2551" w:type="dxa"/>
            <w:gridSpan w:val="2"/>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高密度木（竹）桩柱吊养的蚝田</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7,500 </w:t>
            </w:r>
          </w:p>
        </w:tc>
        <w:tc>
          <w:tcPr>
            <w:tcW w:w="2345"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包含养殖所需桩柱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trPr>
        <w:tc>
          <w:tcPr>
            <w:tcW w:w="1535" w:type="dxa"/>
            <w:vMerge w:val="continue"/>
            <w:vAlign w:val="center"/>
          </w:tcPr>
          <w:p>
            <w:pPr>
              <w:widowControl/>
              <w:spacing w:line="240" w:lineRule="exact"/>
              <w:jc w:val="left"/>
              <w:rPr>
                <w:rFonts w:ascii="宋体" w:hAnsi="宋体" w:eastAsia="宋体" w:cs="宋体"/>
                <w:b/>
                <w:bCs/>
                <w:kern w:val="0"/>
                <w:sz w:val="20"/>
                <w:szCs w:val="20"/>
              </w:rPr>
            </w:pPr>
          </w:p>
        </w:tc>
        <w:tc>
          <w:tcPr>
            <w:tcW w:w="2551" w:type="dxa"/>
            <w:gridSpan w:val="2"/>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高密度水泥桩柱吊养的蚝田</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每亩</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9,900 </w:t>
            </w:r>
          </w:p>
        </w:tc>
        <w:tc>
          <w:tcPr>
            <w:tcW w:w="2345"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包含养殖所需桩柱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535" w:type="dxa"/>
            <w:vMerge w:val="continue"/>
            <w:vAlign w:val="center"/>
          </w:tcPr>
          <w:p>
            <w:pPr>
              <w:widowControl/>
              <w:spacing w:line="240" w:lineRule="exact"/>
              <w:jc w:val="left"/>
              <w:rPr>
                <w:rFonts w:ascii="宋体" w:hAnsi="宋体" w:eastAsia="宋体" w:cs="宋体"/>
                <w:b/>
                <w:bCs/>
                <w:kern w:val="0"/>
                <w:sz w:val="20"/>
                <w:szCs w:val="20"/>
              </w:rPr>
            </w:pPr>
          </w:p>
        </w:tc>
        <w:tc>
          <w:tcPr>
            <w:tcW w:w="6751" w:type="dxa"/>
            <w:gridSpan w:val="5"/>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办理了水域滩涂养殖证和海域使用权《不动产权证书》的按配套设施投资成本给予补偿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0" w:hRule="atLeast"/>
        </w:trPr>
        <w:tc>
          <w:tcPr>
            <w:tcW w:w="1535" w:type="dxa"/>
            <w:shd w:val="clear" w:color="auto" w:fill="auto"/>
            <w:vAlign w:val="center"/>
          </w:tcPr>
          <w:p>
            <w:pPr>
              <w:widowControl/>
              <w:spacing w:line="240" w:lineRule="exact"/>
              <w:jc w:val="left"/>
              <w:rPr>
                <w:rFonts w:ascii="宋体" w:hAnsi="宋体" w:eastAsia="宋体" w:cs="宋体"/>
                <w:b/>
                <w:bCs/>
                <w:kern w:val="0"/>
                <w:sz w:val="20"/>
                <w:szCs w:val="20"/>
              </w:rPr>
            </w:pPr>
            <w:r>
              <w:rPr>
                <w:rFonts w:hint="eastAsia" w:ascii="宋体" w:hAnsi="宋体" w:eastAsia="宋体" w:cs="宋体"/>
                <w:b/>
                <w:bCs/>
                <w:kern w:val="0"/>
                <w:sz w:val="20"/>
                <w:szCs w:val="20"/>
              </w:rPr>
              <w:t>十五、迁坟</w:t>
            </w:r>
          </w:p>
        </w:tc>
        <w:tc>
          <w:tcPr>
            <w:tcW w:w="6751" w:type="dxa"/>
            <w:gridSpan w:val="5"/>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按民政部门现行的有关规定予以计补，并由民政部门负责迁移统一处理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535" w:type="dxa"/>
            <w:vMerge w:val="restart"/>
            <w:shd w:val="clear" w:color="auto" w:fill="auto"/>
            <w:vAlign w:val="center"/>
          </w:tcPr>
          <w:p>
            <w:pPr>
              <w:widowControl/>
              <w:spacing w:line="240" w:lineRule="exact"/>
              <w:jc w:val="left"/>
              <w:rPr>
                <w:rFonts w:ascii="宋体" w:hAnsi="宋体" w:eastAsia="宋体" w:cs="宋体"/>
                <w:b/>
                <w:bCs/>
                <w:kern w:val="0"/>
                <w:sz w:val="20"/>
                <w:szCs w:val="20"/>
              </w:rPr>
            </w:pPr>
            <w:r>
              <w:rPr>
                <w:rFonts w:hint="eastAsia" w:ascii="宋体" w:hAnsi="宋体" w:eastAsia="宋体" w:cs="宋体"/>
                <w:b/>
                <w:bCs/>
                <w:kern w:val="0"/>
                <w:sz w:val="20"/>
                <w:szCs w:val="20"/>
              </w:rPr>
              <w:t>十六、征收水利设施</w:t>
            </w:r>
          </w:p>
        </w:tc>
        <w:tc>
          <w:tcPr>
            <w:tcW w:w="2551" w:type="dxa"/>
            <w:gridSpan w:val="2"/>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用于种养灌溉的配套设施，钢筋混凝土结构</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每立方米</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900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按实体体积计算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535" w:type="dxa"/>
            <w:vMerge w:val="continue"/>
            <w:vAlign w:val="center"/>
          </w:tcPr>
          <w:p>
            <w:pPr>
              <w:widowControl/>
              <w:spacing w:line="240" w:lineRule="exact"/>
              <w:jc w:val="left"/>
              <w:rPr>
                <w:rFonts w:ascii="宋体" w:hAnsi="宋体" w:eastAsia="宋体" w:cs="宋体"/>
                <w:b/>
                <w:bCs/>
                <w:kern w:val="0"/>
                <w:sz w:val="20"/>
                <w:szCs w:val="20"/>
              </w:rPr>
            </w:pPr>
          </w:p>
        </w:tc>
        <w:tc>
          <w:tcPr>
            <w:tcW w:w="2551" w:type="dxa"/>
            <w:gridSpan w:val="2"/>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用于种养灌溉的配套设施，砖石结构</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每立方米</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650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按实体体积计算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535" w:type="dxa"/>
            <w:vMerge w:val="continue"/>
            <w:vAlign w:val="center"/>
          </w:tcPr>
          <w:p>
            <w:pPr>
              <w:widowControl/>
              <w:spacing w:line="240" w:lineRule="exact"/>
              <w:jc w:val="left"/>
              <w:rPr>
                <w:rFonts w:ascii="宋体" w:hAnsi="宋体" w:eastAsia="宋体" w:cs="宋体"/>
                <w:b/>
                <w:bCs/>
                <w:kern w:val="0"/>
                <w:sz w:val="20"/>
                <w:szCs w:val="20"/>
              </w:rPr>
            </w:pPr>
          </w:p>
        </w:tc>
        <w:tc>
          <w:tcPr>
            <w:tcW w:w="992" w:type="dxa"/>
            <w:vMerge w:val="restart"/>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水井</w:t>
            </w: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手摇简易水井</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每口</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1,100 </w:t>
            </w:r>
          </w:p>
        </w:tc>
        <w:tc>
          <w:tcPr>
            <w:tcW w:w="2345" w:type="dxa"/>
            <w:shd w:val="clear" w:color="auto" w:fill="auto"/>
            <w:vAlign w:val="center"/>
          </w:tcPr>
          <w:p>
            <w:pPr>
              <w:widowControl/>
              <w:spacing w:line="240" w:lineRule="exact"/>
              <w:rPr>
                <w:rFonts w:ascii="宋体" w:hAnsi="宋体" w:eastAsia="宋体" w:cs="宋体"/>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535" w:type="dxa"/>
            <w:vMerge w:val="continue"/>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砖石井壁结构</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每立方米</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460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按容量计算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535" w:type="dxa"/>
            <w:vMerge w:val="continue"/>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砼管井壁结构</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每立方米</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550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按容量计算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535" w:type="dxa"/>
            <w:vMerge w:val="continue"/>
            <w:vAlign w:val="center"/>
          </w:tcPr>
          <w:p>
            <w:pPr>
              <w:widowControl/>
              <w:spacing w:line="240" w:lineRule="exact"/>
              <w:jc w:val="left"/>
              <w:rPr>
                <w:rFonts w:ascii="宋体" w:hAnsi="宋体" w:eastAsia="宋体" w:cs="宋体"/>
                <w:b/>
                <w:bCs/>
                <w:kern w:val="0"/>
                <w:sz w:val="20"/>
                <w:szCs w:val="20"/>
              </w:rPr>
            </w:pPr>
          </w:p>
        </w:tc>
        <w:tc>
          <w:tcPr>
            <w:tcW w:w="6751" w:type="dxa"/>
            <w:gridSpan w:val="5"/>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属国家投资和废弃的水利设施不予补偿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4" w:hRule="atLeast"/>
        </w:trPr>
        <w:tc>
          <w:tcPr>
            <w:tcW w:w="1535" w:type="dxa"/>
            <w:vMerge w:val="restart"/>
            <w:shd w:val="clear" w:color="auto" w:fill="auto"/>
            <w:vAlign w:val="center"/>
          </w:tcPr>
          <w:p>
            <w:pPr>
              <w:widowControl/>
              <w:spacing w:line="240" w:lineRule="exact"/>
              <w:jc w:val="center"/>
              <w:rPr>
                <w:rFonts w:ascii="宋体" w:hAnsi="宋体" w:eastAsia="宋体" w:cs="宋体"/>
                <w:b/>
                <w:bCs/>
                <w:kern w:val="0"/>
                <w:sz w:val="20"/>
                <w:szCs w:val="20"/>
              </w:rPr>
            </w:pPr>
            <w:r>
              <w:rPr>
                <w:rFonts w:hint="eastAsia" w:ascii="宋体" w:hAnsi="宋体" w:eastAsia="宋体" w:cs="宋体"/>
                <w:b/>
                <w:bCs/>
                <w:kern w:val="0"/>
                <w:sz w:val="20"/>
                <w:szCs w:val="20"/>
              </w:rPr>
              <w:t>十七、征收集体用地地上有合法产权房屋</w:t>
            </w:r>
          </w:p>
        </w:tc>
        <w:tc>
          <w:tcPr>
            <w:tcW w:w="992" w:type="dxa"/>
            <w:vMerge w:val="restart"/>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钢混结构房屋</w:t>
            </w: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外墙全贴瓷砖、装铝窗、安防盗网</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每平方米</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3,100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室内装修装饰部分：贴地板砖的，每平方米按100元补偿；天花吊顶部分每平方米按70元补偿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4"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外墙正面贴瓷砖、装铝窗、安防盗网</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每平方米</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3,050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室内装修装饰部分：贴地板砖的，每平方米按100元补偿；天花吊顶部分每平方米按70元补偿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4"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外墙正面贴瓷砖、装钢窗、安防盗网</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每平方米</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3,000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室内装修装饰部分：贴地板砖的，每平方米按100元补偿；天花吊顶部分每平方米按70元补偿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4"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外墙刷涂料或水泥砂浆抹面、装铝窗、安防盗网</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每平方米</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2,950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室内装修装饰部分：贴地板砖的，每平方米按100元补偿；天花吊顶部分每平方米按70元补偿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4"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外墙刷涂料或水泥砂浆抹面、装钢窗、安防盗网</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每平方米</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2,900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室内装修装饰部分：贴地板砖的，每平方米按100元补偿；天花吊顶部分每平方米按70元补偿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4"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restart"/>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砖混结构房屋</w:t>
            </w: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外墙全贴瓷砖、装铝窗、安防盗网</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每平方米</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2,700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室内装修装饰部分：贴地板砖的，每平方米按100元补偿；天花吊顶部分每平方米按70元补偿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4"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shd w:val="clear" w:color="auto" w:fill="auto"/>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外墙正面贴瓷砖、装铝窗、安防盗网</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每平方米</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2,650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室内装修装饰部分：贴地板砖的，每平方米按100元补偿；天花吊顶部分每平方米按70元补偿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47" w:hRule="atLeast"/>
        </w:trPr>
        <w:tc>
          <w:tcPr>
            <w:tcW w:w="1535" w:type="dxa"/>
            <w:vMerge w:val="continue"/>
            <w:shd w:val="clear" w:color="auto" w:fill="auto"/>
            <w:vAlign w:val="center"/>
          </w:tcPr>
          <w:p>
            <w:pPr>
              <w:spacing w:line="240" w:lineRule="exact"/>
              <w:jc w:val="left"/>
              <w:rPr>
                <w:rFonts w:ascii="宋体" w:hAnsi="宋体" w:eastAsia="宋体" w:cs="宋体"/>
                <w:b/>
                <w:bCs/>
                <w:kern w:val="0"/>
                <w:sz w:val="20"/>
                <w:szCs w:val="20"/>
              </w:rPr>
            </w:pPr>
          </w:p>
        </w:tc>
        <w:tc>
          <w:tcPr>
            <w:tcW w:w="992" w:type="dxa"/>
            <w:vMerge w:val="continue"/>
            <w:shd w:val="clear" w:color="auto" w:fill="auto"/>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外墙正面贴瓷砖、装钢窗、安防盗网</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每平方米</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2,600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室内装修装饰部分：贴地板砖的，每平方米按100元补偿；天花吊顶部分每平方米按70元补偿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04" w:hRule="atLeast"/>
        </w:trPr>
        <w:tc>
          <w:tcPr>
            <w:tcW w:w="1535" w:type="dxa"/>
            <w:vMerge w:val="restart"/>
            <w:shd w:val="clear" w:color="auto" w:fill="auto"/>
            <w:vAlign w:val="center"/>
          </w:tcPr>
          <w:p>
            <w:pPr>
              <w:widowControl/>
              <w:spacing w:line="240" w:lineRule="exact"/>
              <w:jc w:val="left"/>
              <w:rPr>
                <w:rFonts w:ascii="宋体" w:hAnsi="宋体" w:eastAsia="宋体" w:cs="宋体"/>
                <w:b/>
                <w:bCs/>
                <w:kern w:val="0"/>
                <w:sz w:val="20"/>
                <w:szCs w:val="20"/>
              </w:rPr>
            </w:pPr>
            <w:r>
              <w:rPr>
                <w:rFonts w:hint="eastAsia" w:ascii="宋体" w:hAnsi="宋体" w:eastAsia="宋体" w:cs="宋体"/>
                <w:b/>
                <w:bCs/>
                <w:kern w:val="0"/>
                <w:sz w:val="20"/>
                <w:szCs w:val="20"/>
              </w:rPr>
              <w:t>十七、征收集体用地地上有合法产权房屋</w:t>
            </w:r>
          </w:p>
        </w:tc>
        <w:tc>
          <w:tcPr>
            <w:tcW w:w="992" w:type="dxa"/>
            <w:vMerge w:val="restart"/>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砖混结构房屋</w:t>
            </w: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外墙刷涂料或水泥砂浆抹面、装铝窗、安防盗网</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每平方米</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2,550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室内装修装饰部分：贴地板砖的，每平方米按100元补偿；天花吊顶部分每平方米按70元补偿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04"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shd w:val="clear" w:color="auto" w:fill="auto"/>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外墙刷涂料或水泥砂浆抹面、装钢窗、安防盗网</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每平方米</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2,500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室内装修装饰部分：贴地板砖的，每平方米按100元补偿；天花吊顶部分每平方米按70元补偿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04"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restart"/>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砖木结构房屋</w:t>
            </w: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外墙全贴瓷砖、装铝窗、安防盗网</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每平方米</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1,600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室内装修装饰部分：贴地板砖的，每平方米按100元补偿；天花吊顶部分每平方米按70元补偿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04"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外墙正面贴瓷砖、装铝窗、安防盗网</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每平方米</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1,550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室内装修装饰部分：贴地板砖的，每平方米按100元补偿；天花吊顶部分每平方米按70元补偿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04"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外墙正面贴瓷砖、装钢窗、安防盗网</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每平方米</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1,500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室内装修装饰部分：贴地板砖的，每平方米按100元补偿；天花吊顶部分每平方米按70元补偿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04"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外墙刷涂料或水泥砂浆抹面、装铝窗、安防盗网</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每平方米</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1,450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室内装修装饰部分：贴地板砖的，每平方米按100元补偿；天花吊顶部分每平方米按70元补偿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04"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外墙刷涂料或水泥砂浆抹面、装钢窗、安防盗网</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每平方米</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1,400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室内装修装饰部分：贴地板砖的，每平方米按100元补偿；天花吊顶部分每平方米按70元补偿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trPr>
        <w:tc>
          <w:tcPr>
            <w:tcW w:w="1535" w:type="dxa"/>
            <w:vMerge w:val="restart"/>
            <w:shd w:val="clear" w:color="auto" w:fill="auto"/>
            <w:vAlign w:val="center"/>
          </w:tcPr>
          <w:p>
            <w:pPr>
              <w:widowControl/>
              <w:spacing w:line="240" w:lineRule="exact"/>
              <w:jc w:val="left"/>
              <w:rPr>
                <w:rFonts w:ascii="宋体" w:hAnsi="宋体" w:eastAsia="宋体" w:cs="宋体"/>
                <w:b/>
                <w:bCs/>
                <w:kern w:val="0"/>
                <w:sz w:val="20"/>
                <w:szCs w:val="20"/>
              </w:rPr>
            </w:pPr>
            <w:r>
              <w:rPr>
                <w:rFonts w:hint="eastAsia" w:ascii="宋体" w:hAnsi="宋体" w:eastAsia="宋体" w:cs="宋体"/>
                <w:b/>
                <w:bCs/>
                <w:kern w:val="0"/>
                <w:sz w:val="20"/>
                <w:szCs w:val="20"/>
              </w:rPr>
              <w:t>十八、征收临时建筑物</w:t>
            </w:r>
          </w:p>
        </w:tc>
        <w:tc>
          <w:tcPr>
            <w:tcW w:w="992" w:type="dxa"/>
            <w:vMerge w:val="restart"/>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砖混结构房屋</w:t>
            </w: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水泥顶</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每平方米</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1,100 </w:t>
            </w:r>
          </w:p>
        </w:tc>
        <w:tc>
          <w:tcPr>
            <w:tcW w:w="2345" w:type="dxa"/>
            <w:shd w:val="clear" w:color="auto" w:fill="auto"/>
            <w:vAlign w:val="center"/>
          </w:tcPr>
          <w:p>
            <w:pPr>
              <w:widowControl/>
              <w:spacing w:line="240" w:lineRule="exact"/>
              <w:rPr>
                <w:rFonts w:ascii="宋体" w:hAnsi="宋体" w:eastAsia="宋体" w:cs="宋体"/>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trPr>
        <w:tc>
          <w:tcPr>
            <w:tcW w:w="1535" w:type="dxa"/>
            <w:vMerge w:val="continue"/>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瓦顶</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每平方米</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970 </w:t>
            </w:r>
          </w:p>
        </w:tc>
        <w:tc>
          <w:tcPr>
            <w:tcW w:w="2345" w:type="dxa"/>
            <w:shd w:val="clear" w:color="auto" w:fill="auto"/>
            <w:vAlign w:val="center"/>
          </w:tcPr>
          <w:p>
            <w:pPr>
              <w:widowControl/>
              <w:spacing w:line="240" w:lineRule="exact"/>
              <w:rPr>
                <w:rFonts w:ascii="宋体" w:hAnsi="宋体" w:eastAsia="宋体" w:cs="宋体"/>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trPr>
        <w:tc>
          <w:tcPr>
            <w:tcW w:w="1535" w:type="dxa"/>
            <w:vMerge w:val="continue"/>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铁皮顶</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每平方米</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730 </w:t>
            </w:r>
          </w:p>
        </w:tc>
        <w:tc>
          <w:tcPr>
            <w:tcW w:w="2345" w:type="dxa"/>
            <w:shd w:val="clear" w:color="auto" w:fill="auto"/>
            <w:vAlign w:val="center"/>
          </w:tcPr>
          <w:p>
            <w:pPr>
              <w:widowControl/>
              <w:spacing w:line="240" w:lineRule="exact"/>
              <w:rPr>
                <w:rFonts w:ascii="宋体" w:hAnsi="宋体" w:eastAsia="宋体" w:cs="宋体"/>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6" w:hRule="atLeast"/>
        </w:trPr>
        <w:tc>
          <w:tcPr>
            <w:tcW w:w="1535" w:type="dxa"/>
            <w:vMerge w:val="continue"/>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石棉瓦（树皮）顶</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每平方米</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620 </w:t>
            </w:r>
          </w:p>
        </w:tc>
        <w:tc>
          <w:tcPr>
            <w:tcW w:w="2345" w:type="dxa"/>
            <w:shd w:val="clear" w:color="auto" w:fill="auto"/>
            <w:vAlign w:val="center"/>
          </w:tcPr>
          <w:p>
            <w:pPr>
              <w:widowControl/>
              <w:spacing w:line="240" w:lineRule="exact"/>
              <w:rPr>
                <w:rFonts w:ascii="宋体" w:hAnsi="宋体" w:eastAsia="宋体" w:cs="宋体"/>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trPr>
        <w:tc>
          <w:tcPr>
            <w:tcW w:w="1535" w:type="dxa"/>
            <w:vMerge w:val="continue"/>
            <w:shd w:val="clear" w:color="auto" w:fill="auto"/>
            <w:vAlign w:val="center"/>
          </w:tcPr>
          <w:p>
            <w:pPr>
              <w:widowControl/>
              <w:spacing w:line="240" w:lineRule="exact"/>
              <w:jc w:val="center"/>
              <w:rPr>
                <w:rFonts w:ascii="宋体" w:hAnsi="宋体" w:eastAsia="宋体" w:cs="宋体"/>
                <w:b/>
                <w:bCs/>
                <w:kern w:val="0"/>
                <w:sz w:val="20"/>
                <w:szCs w:val="20"/>
              </w:rPr>
            </w:pPr>
          </w:p>
        </w:tc>
        <w:tc>
          <w:tcPr>
            <w:tcW w:w="992" w:type="dxa"/>
            <w:vMerge w:val="restart"/>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其它结构房屋</w:t>
            </w: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树皮结构</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每平方米</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220 </w:t>
            </w:r>
          </w:p>
        </w:tc>
        <w:tc>
          <w:tcPr>
            <w:tcW w:w="2345" w:type="dxa"/>
            <w:shd w:val="clear" w:color="auto" w:fill="auto"/>
            <w:vAlign w:val="center"/>
          </w:tcPr>
          <w:p>
            <w:pPr>
              <w:widowControl/>
              <w:spacing w:line="240" w:lineRule="exact"/>
              <w:rPr>
                <w:rFonts w:ascii="宋体" w:hAnsi="宋体" w:eastAsia="宋体" w:cs="宋体"/>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铁皮结构</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每平方米</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260 </w:t>
            </w:r>
          </w:p>
        </w:tc>
        <w:tc>
          <w:tcPr>
            <w:tcW w:w="2345" w:type="dxa"/>
            <w:shd w:val="clear" w:color="auto" w:fill="auto"/>
            <w:vAlign w:val="center"/>
          </w:tcPr>
          <w:p>
            <w:pPr>
              <w:widowControl/>
              <w:spacing w:line="240" w:lineRule="exact"/>
              <w:rPr>
                <w:rFonts w:ascii="宋体" w:hAnsi="宋体" w:eastAsia="宋体" w:cs="宋体"/>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石棉瓦结构</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每平方米</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130 </w:t>
            </w:r>
          </w:p>
        </w:tc>
        <w:tc>
          <w:tcPr>
            <w:tcW w:w="2345" w:type="dxa"/>
            <w:shd w:val="clear" w:color="auto" w:fill="auto"/>
            <w:vAlign w:val="center"/>
          </w:tcPr>
          <w:p>
            <w:pPr>
              <w:widowControl/>
              <w:spacing w:line="240" w:lineRule="exact"/>
              <w:rPr>
                <w:rFonts w:ascii="宋体" w:hAnsi="宋体" w:eastAsia="宋体" w:cs="宋体"/>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trPr>
        <w:tc>
          <w:tcPr>
            <w:tcW w:w="1535" w:type="dxa"/>
            <w:vMerge w:val="restart"/>
            <w:shd w:val="clear" w:color="auto" w:fill="auto"/>
            <w:vAlign w:val="center"/>
          </w:tcPr>
          <w:p>
            <w:pPr>
              <w:widowControl/>
              <w:spacing w:line="240" w:lineRule="exact"/>
              <w:jc w:val="left"/>
              <w:rPr>
                <w:rFonts w:ascii="宋体" w:hAnsi="宋体" w:eastAsia="宋体" w:cs="宋体"/>
                <w:b/>
                <w:bCs/>
                <w:kern w:val="0"/>
                <w:sz w:val="20"/>
                <w:szCs w:val="20"/>
              </w:rPr>
            </w:pPr>
            <w:r>
              <w:rPr>
                <w:rFonts w:hint="eastAsia" w:ascii="宋体" w:hAnsi="宋体" w:eastAsia="宋体" w:cs="宋体"/>
                <w:b/>
                <w:bCs/>
                <w:kern w:val="0"/>
                <w:sz w:val="20"/>
                <w:szCs w:val="20"/>
              </w:rPr>
              <w:t>十八、征收临时建筑物</w:t>
            </w:r>
          </w:p>
        </w:tc>
        <w:tc>
          <w:tcPr>
            <w:tcW w:w="992"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活动板房</w:t>
            </w: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活动板房</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每平方米</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450 </w:t>
            </w:r>
          </w:p>
        </w:tc>
        <w:tc>
          <w:tcPr>
            <w:tcW w:w="2345" w:type="dxa"/>
            <w:shd w:val="clear" w:color="auto" w:fill="auto"/>
            <w:vAlign w:val="center"/>
          </w:tcPr>
          <w:p>
            <w:pPr>
              <w:widowControl/>
              <w:spacing w:line="240" w:lineRule="exact"/>
              <w:rPr>
                <w:rFonts w:ascii="宋体" w:hAnsi="宋体" w:eastAsia="宋体" w:cs="宋体"/>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restart"/>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其它临时构筑物</w:t>
            </w: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猪栏、猪舍</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每平方米</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330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按建筑面积计算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简易树皮、铁皮、石棉瓦、木板等棚</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每平方米</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60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按投影面积计算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竹木薄膜顶越冬棚</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每平方米</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6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按投影面积计算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竹木遮光膜棚</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每平方米</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5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按投影面积计算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01" w:hRule="atLeast"/>
        </w:trPr>
        <w:tc>
          <w:tcPr>
            <w:tcW w:w="1535" w:type="dxa"/>
            <w:vMerge w:val="restart"/>
            <w:shd w:val="clear" w:color="auto" w:fill="auto"/>
            <w:vAlign w:val="center"/>
          </w:tcPr>
          <w:p>
            <w:pPr>
              <w:widowControl/>
              <w:spacing w:line="240" w:lineRule="exact"/>
              <w:jc w:val="center"/>
              <w:rPr>
                <w:rFonts w:ascii="宋体" w:hAnsi="宋体" w:eastAsia="宋体" w:cs="宋体"/>
                <w:b/>
                <w:bCs/>
                <w:kern w:val="0"/>
                <w:sz w:val="20"/>
                <w:szCs w:val="20"/>
              </w:rPr>
            </w:pPr>
            <w:r>
              <w:rPr>
                <w:rFonts w:hint="eastAsia" w:ascii="宋体" w:hAnsi="宋体" w:eastAsia="宋体" w:cs="宋体"/>
                <w:b/>
                <w:bCs/>
                <w:kern w:val="0"/>
                <w:sz w:val="20"/>
                <w:szCs w:val="20"/>
              </w:rPr>
              <w:t>十九、征收其它附着物</w:t>
            </w:r>
          </w:p>
        </w:tc>
        <w:tc>
          <w:tcPr>
            <w:tcW w:w="992"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混凝土地面(地面硬化)</w:t>
            </w: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混凝土地面，厚度10厘米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每平方米</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90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混凝土地面，厚度在10厘米的基础上每增减1厘米，每平方米补偿额增减7元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restart"/>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化粪池、储水池</w:t>
            </w: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钢筋混凝土结构</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每立方米</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900 </w:t>
            </w:r>
          </w:p>
        </w:tc>
        <w:tc>
          <w:tcPr>
            <w:tcW w:w="2345" w:type="dxa"/>
            <w:vMerge w:val="restart"/>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按实体体积计算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砖石结构</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每立方米</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650 </w:t>
            </w:r>
          </w:p>
        </w:tc>
        <w:tc>
          <w:tcPr>
            <w:tcW w:w="2345" w:type="dxa"/>
            <w:vMerge w:val="continue"/>
            <w:vAlign w:val="center"/>
          </w:tcPr>
          <w:p>
            <w:pPr>
              <w:widowControl/>
              <w:spacing w:line="240" w:lineRule="exact"/>
              <w:rPr>
                <w:rFonts w:ascii="宋体" w:hAnsi="宋体" w:eastAsia="宋体" w:cs="宋体"/>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9"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restart"/>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围墙</w:t>
            </w: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泥土结构</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每平方米</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30 </w:t>
            </w:r>
          </w:p>
        </w:tc>
        <w:tc>
          <w:tcPr>
            <w:tcW w:w="2345" w:type="dxa"/>
            <w:shd w:val="clear" w:color="auto" w:fill="auto"/>
            <w:vAlign w:val="center"/>
          </w:tcPr>
          <w:p>
            <w:pPr>
              <w:widowControl/>
              <w:spacing w:line="240" w:lineRule="exact"/>
              <w:rPr>
                <w:rFonts w:ascii="宋体" w:hAnsi="宋体" w:eastAsia="宋体" w:cs="宋体"/>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shd w:val="clear" w:color="auto" w:fill="auto"/>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砖砌体结构，清水墙，墙身厚度24厘米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每平方米</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130 </w:t>
            </w:r>
          </w:p>
        </w:tc>
        <w:tc>
          <w:tcPr>
            <w:tcW w:w="2345" w:type="dxa"/>
            <w:shd w:val="clear" w:color="auto" w:fill="auto"/>
            <w:vAlign w:val="center"/>
          </w:tcPr>
          <w:p>
            <w:pPr>
              <w:widowControl/>
              <w:spacing w:line="240" w:lineRule="exact"/>
              <w:rPr>
                <w:rFonts w:ascii="宋体" w:hAnsi="宋体" w:eastAsia="宋体" w:cs="宋体"/>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shd w:val="clear" w:color="auto" w:fill="auto"/>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砖砌体结构，清水墙，墙身厚度18厘米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每平方米</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100 </w:t>
            </w:r>
          </w:p>
        </w:tc>
        <w:tc>
          <w:tcPr>
            <w:tcW w:w="2345" w:type="dxa"/>
            <w:shd w:val="clear" w:color="auto" w:fill="auto"/>
            <w:vAlign w:val="center"/>
          </w:tcPr>
          <w:p>
            <w:pPr>
              <w:widowControl/>
              <w:spacing w:line="240" w:lineRule="exact"/>
              <w:rPr>
                <w:rFonts w:ascii="宋体" w:hAnsi="宋体" w:eastAsia="宋体" w:cs="宋体"/>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shd w:val="clear" w:color="auto" w:fill="auto"/>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砖砌体结构，清水墙，墙身厚度12厘米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每平方米</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70 </w:t>
            </w:r>
          </w:p>
        </w:tc>
        <w:tc>
          <w:tcPr>
            <w:tcW w:w="2345" w:type="dxa"/>
            <w:shd w:val="clear" w:color="auto" w:fill="auto"/>
            <w:vAlign w:val="center"/>
          </w:tcPr>
          <w:p>
            <w:pPr>
              <w:widowControl/>
              <w:spacing w:line="240" w:lineRule="exact"/>
              <w:rPr>
                <w:rFonts w:ascii="宋体" w:hAnsi="宋体" w:eastAsia="宋体" w:cs="宋体"/>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1"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shd w:val="clear" w:color="auto" w:fill="auto"/>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砖砌体结构，外表面水泥砂浆抹灰，墙身厚度24厘米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每平方米</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180 </w:t>
            </w:r>
          </w:p>
        </w:tc>
        <w:tc>
          <w:tcPr>
            <w:tcW w:w="2345" w:type="dxa"/>
            <w:shd w:val="clear" w:color="auto" w:fill="auto"/>
            <w:vAlign w:val="center"/>
          </w:tcPr>
          <w:p>
            <w:pPr>
              <w:widowControl/>
              <w:spacing w:line="240" w:lineRule="exact"/>
              <w:rPr>
                <w:rFonts w:ascii="宋体" w:hAnsi="宋体" w:eastAsia="宋体" w:cs="宋体"/>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1"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shd w:val="clear" w:color="auto" w:fill="auto"/>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砖砌体结构，外表面水泥砂浆抹灰，墙身厚度18厘米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每平方米</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150 </w:t>
            </w:r>
          </w:p>
        </w:tc>
        <w:tc>
          <w:tcPr>
            <w:tcW w:w="2345" w:type="dxa"/>
            <w:shd w:val="clear" w:color="auto" w:fill="auto"/>
            <w:vAlign w:val="center"/>
          </w:tcPr>
          <w:p>
            <w:pPr>
              <w:widowControl/>
              <w:spacing w:line="240" w:lineRule="exact"/>
              <w:rPr>
                <w:rFonts w:ascii="宋体" w:hAnsi="宋体" w:eastAsia="宋体" w:cs="宋体"/>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1"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shd w:val="clear" w:color="auto" w:fill="auto"/>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砖砌体结构，外表面水泥砂浆抹灰，墙身厚度12厘米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每平方米</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120 </w:t>
            </w:r>
          </w:p>
        </w:tc>
        <w:tc>
          <w:tcPr>
            <w:tcW w:w="2345" w:type="dxa"/>
            <w:shd w:val="clear" w:color="auto" w:fill="auto"/>
            <w:vAlign w:val="center"/>
          </w:tcPr>
          <w:p>
            <w:pPr>
              <w:widowControl/>
              <w:spacing w:line="240" w:lineRule="exact"/>
              <w:rPr>
                <w:rFonts w:ascii="宋体" w:hAnsi="宋体" w:eastAsia="宋体" w:cs="宋体"/>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1"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shd w:val="clear" w:color="auto" w:fill="auto"/>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砖砌体结构，外表面贴瓷砖（双面），墙身厚度24厘米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每平方米</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290</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如单面贴瓷砖，每平方米补偿下调</w:t>
            </w:r>
            <w:r>
              <w:rPr>
                <w:rFonts w:ascii="宋体" w:hAnsi="宋体" w:eastAsia="宋体" w:cs="宋体"/>
                <w:kern w:val="0"/>
                <w:sz w:val="20"/>
                <w:szCs w:val="20"/>
              </w:rPr>
              <w:t>80</w:t>
            </w:r>
            <w:r>
              <w:rPr>
                <w:rFonts w:hint="eastAsia" w:ascii="宋体" w:hAnsi="宋体" w:eastAsia="宋体" w:cs="宋体"/>
                <w:kern w:val="0"/>
                <w:sz w:val="20"/>
                <w:szCs w:val="20"/>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1"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shd w:val="clear" w:color="auto" w:fill="auto"/>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砖砌体结构，外表面贴瓷砖（双面），墙身厚度18厘米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每平方米</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260</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如单面贴瓷砖，每平方米补偿下调</w:t>
            </w:r>
            <w:r>
              <w:rPr>
                <w:rFonts w:ascii="宋体" w:hAnsi="宋体" w:eastAsia="宋体" w:cs="宋体"/>
                <w:kern w:val="0"/>
                <w:sz w:val="20"/>
                <w:szCs w:val="20"/>
              </w:rPr>
              <w:t>80</w:t>
            </w:r>
            <w:r>
              <w:rPr>
                <w:rFonts w:hint="eastAsia" w:ascii="宋体" w:hAnsi="宋体" w:eastAsia="宋体" w:cs="宋体"/>
                <w:kern w:val="0"/>
                <w:sz w:val="20"/>
                <w:szCs w:val="20"/>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02" w:hRule="atLeast"/>
        </w:trPr>
        <w:tc>
          <w:tcPr>
            <w:tcW w:w="1535" w:type="dxa"/>
            <w:vMerge w:val="restart"/>
            <w:shd w:val="clear" w:color="auto" w:fill="auto"/>
            <w:vAlign w:val="center"/>
          </w:tcPr>
          <w:p>
            <w:pPr>
              <w:widowControl/>
              <w:spacing w:line="240" w:lineRule="exact"/>
              <w:rPr>
                <w:rFonts w:ascii="宋体" w:hAnsi="宋体" w:eastAsia="宋体" w:cs="宋体"/>
                <w:b/>
                <w:bCs/>
                <w:kern w:val="0"/>
                <w:sz w:val="20"/>
                <w:szCs w:val="20"/>
              </w:rPr>
            </w:pPr>
            <w:r>
              <w:rPr>
                <w:rFonts w:hint="eastAsia" w:ascii="宋体" w:hAnsi="宋体" w:eastAsia="宋体" w:cs="宋体"/>
                <w:b/>
                <w:bCs/>
                <w:kern w:val="0"/>
                <w:sz w:val="20"/>
                <w:szCs w:val="20"/>
              </w:rPr>
              <w:t>十九、征收其它附着物</w:t>
            </w:r>
          </w:p>
        </w:tc>
        <w:tc>
          <w:tcPr>
            <w:tcW w:w="992" w:type="dxa"/>
            <w:vMerge w:val="restart"/>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围墙</w:t>
            </w:r>
          </w:p>
        </w:tc>
        <w:tc>
          <w:tcPr>
            <w:tcW w:w="1559"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砖砌体结构，外表面贴瓷砖（双面），墙身厚度12厘米</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每平方米</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ascii="宋体" w:hAnsi="宋体" w:eastAsia="宋体" w:cs="宋体"/>
                <w:kern w:val="0"/>
                <w:sz w:val="20"/>
                <w:szCs w:val="20"/>
              </w:rPr>
              <w:t>230</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如单面贴瓷砖，每平方米补偿下调</w:t>
            </w:r>
            <w:r>
              <w:rPr>
                <w:rFonts w:ascii="宋体" w:hAnsi="宋体" w:eastAsia="宋体" w:cs="宋体"/>
                <w:kern w:val="0"/>
                <w:sz w:val="20"/>
                <w:szCs w:val="20"/>
              </w:rPr>
              <w:t>80</w:t>
            </w:r>
            <w:r>
              <w:rPr>
                <w:rFonts w:hint="eastAsia" w:ascii="宋体" w:hAnsi="宋体" w:eastAsia="宋体" w:cs="宋体"/>
                <w:kern w:val="0"/>
                <w:sz w:val="20"/>
                <w:szCs w:val="20"/>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2"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shd w:val="clear" w:color="auto" w:fill="auto"/>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石砌体结构围墙</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每立方米</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430 </w:t>
            </w:r>
          </w:p>
        </w:tc>
        <w:tc>
          <w:tcPr>
            <w:tcW w:w="2345" w:type="dxa"/>
            <w:shd w:val="clear" w:color="auto" w:fill="auto"/>
            <w:vAlign w:val="center"/>
          </w:tcPr>
          <w:p>
            <w:pPr>
              <w:widowControl/>
              <w:spacing w:line="240" w:lineRule="exact"/>
              <w:rPr>
                <w:rFonts w:ascii="宋体" w:hAnsi="宋体" w:eastAsia="宋体" w:cs="宋体"/>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2"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shd w:val="clear" w:color="auto" w:fill="auto"/>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铁艺围墙</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每平方米</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260 </w:t>
            </w:r>
          </w:p>
        </w:tc>
        <w:tc>
          <w:tcPr>
            <w:tcW w:w="2345" w:type="dxa"/>
            <w:shd w:val="clear" w:color="auto" w:fill="auto"/>
            <w:vAlign w:val="center"/>
          </w:tcPr>
          <w:p>
            <w:pPr>
              <w:widowControl/>
              <w:spacing w:line="240" w:lineRule="exact"/>
              <w:rPr>
                <w:rFonts w:ascii="宋体" w:hAnsi="宋体" w:eastAsia="宋体" w:cs="宋体"/>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2"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restart"/>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挡土墙</w:t>
            </w: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干砌毛石结构</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每立方米</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270 </w:t>
            </w:r>
          </w:p>
        </w:tc>
        <w:tc>
          <w:tcPr>
            <w:tcW w:w="2345" w:type="dxa"/>
            <w:shd w:val="clear" w:color="auto" w:fill="auto"/>
            <w:vAlign w:val="center"/>
          </w:tcPr>
          <w:p>
            <w:pPr>
              <w:widowControl/>
              <w:spacing w:line="240" w:lineRule="exact"/>
              <w:rPr>
                <w:rFonts w:ascii="宋体" w:hAnsi="宋体" w:eastAsia="宋体" w:cs="宋体"/>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2"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浆砌毛石结构</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每立方米</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450 </w:t>
            </w:r>
          </w:p>
        </w:tc>
        <w:tc>
          <w:tcPr>
            <w:tcW w:w="2345" w:type="dxa"/>
            <w:shd w:val="clear" w:color="auto" w:fill="auto"/>
            <w:vAlign w:val="center"/>
          </w:tcPr>
          <w:p>
            <w:pPr>
              <w:widowControl/>
              <w:spacing w:line="240" w:lineRule="exact"/>
              <w:rPr>
                <w:rFonts w:ascii="宋体" w:hAnsi="宋体" w:eastAsia="宋体" w:cs="宋体"/>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土灶</w:t>
            </w: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土灶（单眼灶）</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每眼</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390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每增加一眼加250元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restart"/>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围栏</w:t>
            </w: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铁丝网围栏</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每平方米</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20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不含围网固定桩及基础等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铁丝网围栏</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每平方米</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40 </w:t>
            </w:r>
          </w:p>
        </w:tc>
        <w:tc>
          <w:tcPr>
            <w:tcW w:w="2345" w:type="dxa"/>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含围网固定桩及基础等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2"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竹片围栏</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每平方米</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15 </w:t>
            </w:r>
          </w:p>
        </w:tc>
        <w:tc>
          <w:tcPr>
            <w:tcW w:w="2345" w:type="dxa"/>
            <w:shd w:val="clear" w:color="auto" w:fill="auto"/>
            <w:vAlign w:val="center"/>
          </w:tcPr>
          <w:p>
            <w:pPr>
              <w:widowControl/>
              <w:spacing w:line="240" w:lineRule="exact"/>
              <w:rPr>
                <w:rFonts w:ascii="宋体" w:hAnsi="宋体" w:eastAsia="宋体" w:cs="宋体"/>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2"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纱网围栏</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每平方米</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5 </w:t>
            </w:r>
          </w:p>
        </w:tc>
        <w:tc>
          <w:tcPr>
            <w:tcW w:w="2345" w:type="dxa"/>
            <w:shd w:val="clear" w:color="auto" w:fill="auto"/>
            <w:vAlign w:val="center"/>
          </w:tcPr>
          <w:p>
            <w:pPr>
              <w:widowControl/>
              <w:spacing w:line="240" w:lineRule="exact"/>
              <w:rPr>
                <w:rFonts w:ascii="宋体" w:hAnsi="宋体" w:eastAsia="宋体" w:cs="宋体"/>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restart"/>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混凝土电线杆</w:t>
            </w: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高5m</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每根</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600 </w:t>
            </w:r>
          </w:p>
        </w:tc>
        <w:tc>
          <w:tcPr>
            <w:tcW w:w="2345" w:type="dxa"/>
            <w:shd w:val="clear" w:color="auto" w:fill="auto"/>
            <w:vAlign w:val="center"/>
          </w:tcPr>
          <w:p>
            <w:pPr>
              <w:widowControl/>
              <w:spacing w:line="240" w:lineRule="exact"/>
              <w:rPr>
                <w:rFonts w:ascii="宋体" w:hAnsi="宋体" w:eastAsia="宋体" w:cs="宋体"/>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高7m</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每根</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840 </w:t>
            </w:r>
          </w:p>
        </w:tc>
        <w:tc>
          <w:tcPr>
            <w:tcW w:w="2345" w:type="dxa"/>
            <w:shd w:val="clear" w:color="auto" w:fill="auto"/>
            <w:vAlign w:val="center"/>
          </w:tcPr>
          <w:p>
            <w:pPr>
              <w:widowControl/>
              <w:spacing w:line="240" w:lineRule="exact"/>
              <w:rPr>
                <w:rFonts w:ascii="宋体" w:hAnsi="宋体" w:eastAsia="宋体" w:cs="宋体"/>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高10m</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每根</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1,200 </w:t>
            </w:r>
          </w:p>
        </w:tc>
        <w:tc>
          <w:tcPr>
            <w:tcW w:w="2345" w:type="dxa"/>
            <w:shd w:val="clear" w:color="auto" w:fill="auto"/>
            <w:vAlign w:val="center"/>
          </w:tcPr>
          <w:p>
            <w:pPr>
              <w:widowControl/>
              <w:spacing w:line="240" w:lineRule="exact"/>
              <w:rPr>
                <w:rFonts w:ascii="宋体" w:hAnsi="宋体" w:eastAsia="宋体" w:cs="宋体"/>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992" w:type="dxa"/>
            <w:vMerge w:val="continue"/>
            <w:vAlign w:val="center"/>
          </w:tcPr>
          <w:p>
            <w:pPr>
              <w:widowControl/>
              <w:spacing w:line="240" w:lineRule="exact"/>
              <w:jc w:val="left"/>
              <w:rPr>
                <w:rFonts w:ascii="宋体" w:hAnsi="宋体" w:eastAsia="宋体" w:cs="宋体"/>
                <w:kern w:val="0"/>
                <w:sz w:val="20"/>
                <w:szCs w:val="20"/>
              </w:rPr>
            </w:pPr>
          </w:p>
        </w:tc>
        <w:tc>
          <w:tcPr>
            <w:tcW w:w="1559" w:type="dxa"/>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高12m</w:t>
            </w:r>
          </w:p>
        </w:tc>
        <w:tc>
          <w:tcPr>
            <w:tcW w:w="709"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每根</w:t>
            </w:r>
          </w:p>
        </w:tc>
        <w:tc>
          <w:tcPr>
            <w:tcW w:w="1146" w:type="dxa"/>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 xml:space="preserve">1,560 </w:t>
            </w:r>
          </w:p>
        </w:tc>
        <w:tc>
          <w:tcPr>
            <w:tcW w:w="2345" w:type="dxa"/>
            <w:shd w:val="clear" w:color="auto" w:fill="auto"/>
            <w:vAlign w:val="center"/>
          </w:tcPr>
          <w:p>
            <w:pPr>
              <w:widowControl/>
              <w:spacing w:line="240" w:lineRule="exact"/>
              <w:jc w:val="left"/>
              <w:rPr>
                <w:rFonts w:ascii="宋体" w:hAnsi="宋体" w:eastAsia="宋体" w:cs="宋体"/>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43" w:hRule="atLeast"/>
        </w:trPr>
        <w:tc>
          <w:tcPr>
            <w:tcW w:w="1535" w:type="dxa"/>
            <w:vMerge w:val="restart"/>
            <w:shd w:val="clear" w:color="auto" w:fill="auto"/>
            <w:vAlign w:val="center"/>
          </w:tcPr>
          <w:p>
            <w:pPr>
              <w:widowControl/>
              <w:spacing w:line="240" w:lineRule="exact"/>
              <w:jc w:val="left"/>
              <w:rPr>
                <w:rFonts w:ascii="宋体" w:hAnsi="宋体" w:eastAsia="宋体" w:cs="宋体"/>
                <w:b/>
                <w:bCs/>
                <w:kern w:val="0"/>
                <w:sz w:val="20"/>
                <w:szCs w:val="20"/>
              </w:rPr>
            </w:pPr>
            <w:r>
              <w:rPr>
                <w:rFonts w:hint="eastAsia" w:ascii="宋体" w:hAnsi="宋体" w:eastAsia="宋体" w:cs="宋体"/>
                <w:b/>
                <w:bCs/>
                <w:kern w:val="0"/>
                <w:sz w:val="20"/>
                <w:szCs w:val="20"/>
              </w:rPr>
              <w:t>二十、相关概念释义或说明</w:t>
            </w:r>
          </w:p>
        </w:tc>
        <w:tc>
          <w:tcPr>
            <w:tcW w:w="6751" w:type="dxa"/>
            <w:gridSpan w:val="5"/>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建筑物、工程等测量根据中华人民共和国国家标准《房产测量规范》（GB/T17986）、《工程测量规范》（GB50026-2007）等测量标准执行。以房屋</w:t>
            </w:r>
            <w:r>
              <w:rPr>
                <w:rFonts w:ascii="宋体" w:hAnsi="宋体" w:eastAsia="宋体" w:cs="宋体"/>
                <w:kern w:val="0"/>
                <w:sz w:val="20"/>
                <w:szCs w:val="20"/>
              </w:rPr>
              <w:t>的建筑面积为例，</w:t>
            </w:r>
            <w:r>
              <w:rPr>
                <w:rFonts w:hint="eastAsia" w:ascii="宋体" w:hAnsi="宋体" w:eastAsia="宋体" w:cs="宋体"/>
                <w:kern w:val="0"/>
                <w:sz w:val="20"/>
                <w:szCs w:val="20"/>
              </w:rPr>
              <w:t>房屋</w:t>
            </w:r>
            <w:r>
              <w:rPr>
                <w:rFonts w:ascii="宋体" w:hAnsi="宋体" w:eastAsia="宋体" w:cs="宋体"/>
                <w:kern w:val="0"/>
                <w:sz w:val="20"/>
                <w:szCs w:val="20"/>
              </w:rPr>
              <w:t>建筑面积</w:t>
            </w:r>
            <w:r>
              <w:rPr>
                <w:rFonts w:hint="eastAsia" w:ascii="宋体" w:hAnsi="宋体" w:eastAsia="宋体" w:cs="宋体"/>
                <w:kern w:val="0"/>
                <w:sz w:val="20"/>
                <w:szCs w:val="20"/>
              </w:rPr>
              <w:t>系指</w:t>
            </w:r>
            <w:r>
              <w:rPr>
                <w:rFonts w:ascii="宋体" w:hAnsi="宋体" w:eastAsia="宋体" w:cs="宋体"/>
                <w:kern w:val="0"/>
                <w:sz w:val="20"/>
                <w:szCs w:val="20"/>
              </w:rPr>
              <w:t>房屋外墙（</w:t>
            </w:r>
            <w:r>
              <w:rPr>
                <w:rFonts w:hint="eastAsia" w:ascii="宋体" w:hAnsi="宋体" w:eastAsia="宋体" w:cs="宋体"/>
                <w:kern w:val="0"/>
                <w:sz w:val="20"/>
                <w:szCs w:val="20"/>
              </w:rPr>
              <w:t>柱</w:t>
            </w:r>
            <w:r>
              <w:rPr>
                <w:rFonts w:ascii="宋体" w:hAnsi="宋体" w:eastAsia="宋体" w:cs="宋体"/>
                <w:kern w:val="0"/>
                <w:sz w:val="20"/>
                <w:szCs w:val="20"/>
              </w:rPr>
              <w:t>）</w:t>
            </w:r>
            <w:r>
              <w:rPr>
                <w:rFonts w:hint="eastAsia" w:ascii="宋体" w:hAnsi="宋体" w:eastAsia="宋体" w:cs="宋体"/>
                <w:kern w:val="0"/>
                <w:sz w:val="20"/>
                <w:szCs w:val="20"/>
              </w:rPr>
              <w:t>勒脚</w:t>
            </w:r>
            <w:r>
              <w:rPr>
                <w:rFonts w:ascii="宋体" w:hAnsi="宋体" w:eastAsia="宋体" w:cs="宋体"/>
                <w:kern w:val="0"/>
                <w:sz w:val="20"/>
                <w:szCs w:val="20"/>
              </w:rPr>
              <w:t>以上各层的外围水平投影面积，包括阳台、挑廊、地下室、室外楼梯等，且具备有上盖，结构牢固，层高</w:t>
            </w:r>
            <w:r>
              <w:rPr>
                <w:rFonts w:hint="eastAsia" w:ascii="宋体" w:hAnsi="宋体" w:eastAsia="宋体" w:cs="宋体"/>
                <w:kern w:val="0"/>
                <w:sz w:val="20"/>
                <w:szCs w:val="20"/>
              </w:rPr>
              <w:t>2.2</w:t>
            </w:r>
            <w:r>
              <w:rPr>
                <w:rFonts w:ascii="宋体" w:hAnsi="宋体" w:eastAsia="宋体" w:cs="宋体"/>
                <w:kern w:val="0"/>
                <w:sz w:val="20"/>
                <w:szCs w:val="20"/>
              </w:rPr>
              <w:t>0</w:t>
            </w:r>
            <w:r>
              <w:rPr>
                <w:rFonts w:hint="eastAsia" w:ascii="宋体" w:hAnsi="宋体" w:eastAsia="宋体" w:cs="宋体"/>
                <w:kern w:val="0"/>
                <w:sz w:val="20"/>
                <w:szCs w:val="20"/>
              </w:rPr>
              <w:t>m以上（含2.20m）的</w:t>
            </w:r>
            <w:r>
              <w:rPr>
                <w:rFonts w:ascii="宋体" w:hAnsi="宋体" w:eastAsia="宋体" w:cs="宋体"/>
                <w:kern w:val="0"/>
                <w:sz w:val="20"/>
                <w:szCs w:val="20"/>
              </w:rPr>
              <w:t>永久性建筑物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8"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6751" w:type="dxa"/>
            <w:gridSpan w:val="5"/>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临时建筑物、构筑物凡檐口高度未达到1.7米的，按上述补偿标准的70%计补；檐口高度达到1.7米（含1.7米），未达到2.2米的，按上述补偿标准的90%计补；2.2米以上（含2.2米）的，按上述补偿标准的100%计补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8"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6751" w:type="dxa"/>
            <w:gridSpan w:val="5"/>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地上附着物：是指在土地上建造的一切建筑物（如平房，楼房及附属房屋等）、构筑物（如水塔，水井，桥梁等）及地上定着物（如花草树木，铺设的电缆等）的总称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6751" w:type="dxa"/>
            <w:gridSpan w:val="5"/>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树木胸径：又称干径，指乔木主干离地表面1.3米处的直径，断面畸形时，测取最大值和最小值的平均值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6751" w:type="dxa"/>
            <w:gridSpan w:val="5"/>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冠幅：是指树(苗)木的南北及东西方向宽度的平均值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0"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6751" w:type="dxa"/>
            <w:gridSpan w:val="5"/>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平均冠幅：在对成片合理密植果园补偿时，应由征收实施部门和被征收人以现场抽样方式选取最高补偿棵数10%（双方各选取5%，双方至少各选取5棵）进行测量，取其平均值作为征收补偿的尺度依据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3" w:hRule="atLeast"/>
        </w:trPr>
        <w:tc>
          <w:tcPr>
            <w:tcW w:w="1535" w:type="dxa"/>
            <w:vMerge w:val="restart"/>
            <w:shd w:val="clear" w:color="auto" w:fill="auto"/>
            <w:vAlign w:val="center"/>
          </w:tcPr>
          <w:p>
            <w:pPr>
              <w:spacing w:line="240" w:lineRule="exact"/>
              <w:jc w:val="left"/>
              <w:rPr>
                <w:rFonts w:ascii="宋体" w:hAnsi="宋体" w:eastAsia="宋体" w:cs="宋体"/>
                <w:b/>
                <w:bCs/>
                <w:kern w:val="0"/>
                <w:sz w:val="20"/>
                <w:szCs w:val="20"/>
              </w:rPr>
            </w:pPr>
            <w:r>
              <w:rPr>
                <w:rFonts w:hint="eastAsia" w:ascii="宋体" w:hAnsi="宋体" w:eastAsia="宋体" w:cs="宋体"/>
                <w:b/>
                <w:bCs/>
                <w:kern w:val="0"/>
                <w:sz w:val="20"/>
                <w:szCs w:val="20"/>
              </w:rPr>
              <w:t>二十、相关概念释义或说明</w:t>
            </w:r>
          </w:p>
        </w:tc>
        <w:tc>
          <w:tcPr>
            <w:tcW w:w="6751" w:type="dxa"/>
            <w:gridSpan w:val="5"/>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地径：是指树(苗)木距地面20厘米处直径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8" w:hRule="atLeast"/>
        </w:trPr>
        <w:tc>
          <w:tcPr>
            <w:tcW w:w="1535" w:type="dxa"/>
            <w:vMerge w:val="continue"/>
            <w:shd w:val="clear" w:color="auto" w:fill="auto"/>
            <w:vAlign w:val="center"/>
          </w:tcPr>
          <w:p>
            <w:pPr>
              <w:spacing w:line="240" w:lineRule="exact"/>
              <w:jc w:val="left"/>
              <w:rPr>
                <w:rFonts w:ascii="宋体" w:hAnsi="宋体" w:eastAsia="宋体" w:cs="宋体"/>
                <w:b/>
                <w:bCs/>
                <w:kern w:val="0"/>
                <w:sz w:val="20"/>
                <w:szCs w:val="20"/>
              </w:rPr>
            </w:pPr>
          </w:p>
        </w:tc>
        <w:tc>
          <w:tcPr>
            <w:tcW w:w="6751" w:type="dxa"/>
            <w:gridSpan w:val="5"/>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藤径：是指葡萄藤离地面0.5米处的直径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7" w:hRule="atLeast"/>
        </w:trPr>
        <w:tc>
          <w:tcPr>
            <w:tcW w:w="1535" w:type="dxa"/>
            <w:vMerge w:val="continue"/>
            <w:shd w:val="clear" w:color="auto" w:fill="auto"/>
            <w:vAlign w:val="center"/>
          </w:tcPr>
          <w:p>
            <w:pPr>
              <w:spacing w:line="240" w:lineRule="exact"/>
              <w:jc w:val="left"/>
              <w:rPr>
                <w:rFonts w:ascii="宋体" w:hAnsi="宋体" w:eastAsia="宋体" w:cs="宋体"/>
                <w:b/>
                <w:bCs/>
                <w:kern w:val="0"/>
                <w:sz w:val="20"/>
                <w:szCs w:val="20"/>
              </w:rPr>
            </w:pPr>
          </w:p>
        </w:tc>
        <w:tc>
          <w:tcPr>
            <w:tcW w:w="6751" w:type="dxa"/>
            <w:gridSpan w:val="5"/>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郁闭度:是指山林土乔木树冠遮蔽地面的程度，是以林地树冠垂直投影面积与实际林地面积之比，以十分数表示，完全覆盖地面郁闭度为1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6751" w:type="dxa"/>
            <w:gridSpan w:val="5"/>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宜林地：凡采伐迹地、火烧迹地、林中空地以及林木生长的一切荒山荒地,统称宜林地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6751" w:type="dxa"/>
            <w:gridSpan w:val="5"/>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疏林地：是指树木郁闭度大于等于0.1小于0.2的林地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6751" w:type="dxa"/>
            <w:gridSpan w:val="5"/>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杂树：是指除绿化景观苗木、果树、经济林以外的树木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67"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6751" w:type="dxa"/>
            <w:gridSpan w:val="5"/>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各种鱼类补偿费用（搬迁补偿费用）：新塘预处理费用、鱼塘捕捞费用、过塘运输费用、可能存在的死亡损失费用、鱼塘基础设施配套费用（如给排水设施、塘内设备电线费用、增氧机搬迁费用、发电机搬迁费用等）、塘基配套工具房、石粉路及人工费用等，不包括鱼塘开发费、塘基上青苗补偿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2"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6751" w:type="dxa"/>
            <w:gridSpan w:val="5"/>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鱼塘水域面积：是按鱼塘合理水面高度进行测量得出的水域面积，鱼塘合理水面高度为塘基到水面垂直距离约30cm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35" w:type="dxa"/>
            <w:vMerge w:val="continue"/>
            <w:shd w:val="clear" w:color="auto" w:fill="auto"/>
            <w:vAlign w:val="center"/>
          </w:tcPr>
          <w:p>
            <w:pPr>
              <w:widowControl/>
              <w:spacing w:line="240" w:lineRule="exact"/>
              <w:jc w:val="left"/>
              <w:rPr>
                <w:rFonts w:ascii="宋体" w:hAnsi="宋体" w:eastAsia="宋体" w:cs="宋体"/>
                <w:b/>
                <w:bCs/>
                <w:kern w:val="0"/>
                <w:sz w:val="20"/>
                <w:szCs w:val="20"/>
              </w:rPr>
            </w:pPr>
          </w:p>
        </w:tc>
        <w:tc>
          <w:tcPr>
            <w:tcW w:w="6751" w:type="dxa"/>
            <w:gridSpan w:val="5"/>
            <w:shd w:val="clear" w:color="auto" w:fill="auto"/>
            <w:vAlign w:val="center"/>
          </w:tcPr>
          <w:p>
            <w:pPr>
              <w:widowControl/>
              <w:spacing w:line="240" w:lineRule="exact"/>
              <w:rPr>
                <w:rFonts w:ascii="宋体" w:hAnsi="宋体" w:eastAsia="宋体" w:cs="宋体"/>
                <w:kern w:val="0"/>
                <w:sz w:val="20"/>
                <w:szCs w:val="20"/>
              </w:rPr>
            </w:pPr>
            <w:r>
              <w:rPr>
                <w:rFonts w:hint="eastAsia" w:ascii="宋体" w:hAnsi="宋体" w:eastAsia="宋体" w:cs="宋体"/>
                <w:kern w:val="0"/>
                <w:sz w:val="20"/>
                <w:szCs w:val="20"/>
              </w:rPr>
              <w:t>已挂果：是指果树生长程度已达到可挂果条件</w:t>
            </w:r>
          </w:p>
        </w:tc>
      </w:tr>
    </w:tbl>
    <w:p>
      <w:pPr>
        <w:widowControl/>
        <w:spacing w:before="156" w:beforeLines="50" w:after="156" w:afterLines="50" w:line="600" w:lineRule="exact"/>
        <w:rPr>
          <w:rFonts w:ascii="仿宋_GB2312" w:hAnsi="黑体" w:eastAsia="仿宋_GB2312" w:cs="宋体"/>
          <w:b/>
          <w:kern w:val="0"/>
          <w:sz w:val="28"/>
          <w:szCs w:val="28"/>
        </w:rPr>
      </w:pPr>
    </w:p>
    <w:p>
      <w:pPr>
        <w:widowControl/>
        <w:spacing w:before="156" w:beforeLines="50" w:after="156" w:afterLines="50" w:line="600" w:lineRule="exact"/>
        <w:jc w:val="center"/>
        <w:rPr>
          <w:rFonts w:ascii="仿宋_GB2312" w:hAnsi="宋体" w:eastAsia="仿宋_GB2312" w:cs="宋体"/>
          <w:b/>
          <w:kern w:val="0"/>
          <w:sz w:val="24"/>
          <w:szCs w:val="24"/>
        </w:rPr>
      </w:pPr>
      <w:r>
        <w:rPr>
          <w:rFonts w:ascii="仿宋_GB2312" w:hAnsi="黑体" w:eastAsia="仿宋_GB2312" w:cs="宋体"/>
          <w:b/>
          <w:kern w:val="0"/>
          <w:sz w:val="28"/>
          <w:szCs w:val="28"/>
        </w:rPr>
        <w:br w:type="page"/>
      </w:r>
      <w:r>
        <w:rPr>
          <w:rFonts w:hint="eastAsia" w:ascii="仿宋_GB2312" w:hAnsi="黑体" w:eastAsia="仿宋_GB2312" w:cs="宋体"/>
          <w:b/>
          <w:kern w:val="0"/>
          <w:sz w:val="24"/>
          <w:szCs w:val="24"/>
        </w:rPr>
        <w:t>附件二：</w:t>
      </w:r>
      <w:r>
        <w:rPr>
          <w:rFonts w:hint="eastAsia" w:ascii="仿宋_GB2312" w:hAnsi="宋体" w:eastAsia="仿宋_GB2312" w:cs="宋体"/>
          <w:b/>
          <w:kern w:val="0"/>
          <w:sz w:val="24"/>
          <w:szCs w:val="24"/>
        </w:rPr>
        <w:t>珠海市征收（征用）土地青苗及地上附着物个案评估流程</w:t>
      </w:r>
    </w:p>
    <w:p>
      <w:pPr>
        <w:widowControl/>
        <w:shd w:val="clear" w:color="auto" w:fill="FFFFFF"/>
        <w:spacing w:line="600" w:lineRule="exact"/>
        <w:ind w:firstLine="482" w:firstLineChars="200"/>
        <w:rPr>
          <w:rFonts w:ascii="仿宋_GB2312" w:hAnsi="仿宋" w:eastAsia="仿宋_GB2312" w:cs="宋体"/>
          <w:kern w:val="0"/>
          <w:sz w:val="24"/>
          <w:szCs w:val="24"/>
        </w:rPr>
      </w:pPr>
      <w:r>
        <w:rPr>
          <w:rFonts w:hint="eastAsia" w:ascii="仿宋_GB2312" w:hAnsi="黑体" w:eastAsia="仿宋_GB2312" w:cs="宋体"/>
          <w:b/>
          <w:kern w:val="0"/>
          <w:sz w:val="24"/>
          <w:szCs w:val="24"/>
        </w:rPr>
        <w:t>第一条</w:t>
      </w:r>
      <w:r>
        <w:rPr>
          <w:rFonts w:ascii="仿宋_GB2312" w:hAnsi="Calibri" w:eastAsia="仿宋_GB2312" w:cs="Calibri"/>
          <w:b/>
          <w:bCs/>
          <w:kern w:val="0"/>
          <w:sz w:val="24"/>
          <w:szCs w:val="24"/>
        </w:rPr>
        <w:t xml:space="preserve"> </w:t>
      </w:r>
      <w:r>
        <w:rPr>
          <w:rFonts w:hint="eastAsia" w:ascii="仿宋_GB2312" w:hAnsi="仿宋" w:eastAsia="仿宋_GB2312" w:cs="宋体"/>
          <w:kern w:val="0"/>
          <w:sz w:val="24"/>
          <w:szCs w:val="24"/>
        </w:rPr>
        <w:t>为规范珠海市征收（征用）土地青苗及地上附着物征收补偿个案评估管理，确保征收补偿评估的客观、公正，维护被征收人合法权益，结合我市实际，制定本流程。</w:t>
      </w:r>
    </w:p>
    <w:p>
      <w:pPr>
        <w:widowControl/>
        <w:shd w:val="clear" w:color="auto" w:fill="FFFFFF"/>
        <w:spacing w:line="600" w:lineRule="exact"/>
        <w:ind w:firstLine="482" w:firstLineChars="200"/>
        <w:rPr>
          <w:rFonts w:ascii="仿宋_GB2312" w:hAnsi="仿宋" w:eastAsia="仿宋_GB2312" w:cs="宋体"/>
          <w:kern w:val="0"/>
          <w:sz w:val="24"/>
          <w:szCs w:val="24"/>
        </w:rPr>
      </w:pPr>
      <w:r>
        <w:rPr>
          <w:rFonts w:hint="eastAsia" w:ascii="仿宋_GB2312" w:hAnsi="黑体" w:eastAsia="仿宋_GB2312" w:cs="宋体"/>
          <w:b/>
          <w:kern w:val="0"/>
          <w:sz w:val="24"/>
          <w:szCs w:val="24"/>
        </w:rPr>
        <w:t>第二条</w:t>
      </w:r>
      <w:r>
        <w:rPr>
          <w:rFonts w:ascii="仿宋_GB2312" w:hAnsi="Calibri" w:eastAsia="仿宋_GB2312" w:cs="Calibri"/>
          <w:b/>
          <w:bCs/>
          <w:kern w:val="0"/>
          <w:sz w:val="24"/>
          <w:szCs w:val="24"/>
        </w:rPr>
        <w:t xml:space="preserve"> </w:t>
      </w:r>
      <w:r>
        <w:rPr>
          <w:rFonts w:hint="eastAsia" w:ascii="仿宋_GB2312" w:hAnsi="仿宋" w:eastAsia="仿宋_GB2312" w:cs="宋体"/>
          <w:kern w:val="0"/>
          <w:sz w:val="24"/>
          <w:szCs w:val="24"/>
        </w:rPr>
        <w:t>在珠海市征收（征用）土地青苗及地上附着物补偿活动中，个案评估工作及价格评估机构(以下简称“评估机构”)的选定，适用本流程。</w:t>
      </w:r>
    </w:p>
    <w:p>
      <w:pPr>
        <w:widowControl/>
        <w:shd w:val="clear" w:color="auto" w:fill="FFFFFF"/>
        <w:spacing w:line="600" w:lineRule="exact"/>
        <w:ind w:firstLine="482" w:firstLineChars="200"/>
        <w:rPr>
          <w:rFonts w:ascii="仿宋_GB2312" w:hAnsi="仿宋" w:eastAsia="仿宋_GB2312" w:cs="宋体"/>
          <w:kern w:val="0"/>
          <w:sz w:val="24"/>
          <w:szCs w:val="24"/>
        </w:rPr>
      </w:pPr>
      <w:r>
        <w:rPr>
          <w:rFonts w:hint="eastAsia" w:ascii="仿宋_GB2312" w:hAnsi="黑体" w:eastAsia="仿宋_GB2312" w:cs="宋体"/>
          <w:b/>
          <w:kern w:val="0"/>
          <w:sz w:val="24"/>
          <w:szCs w:val="24"/>
        </w:rPr>
        <w:t>第三条</w:t>
      </w:r>
      <w:r>
        <w:rPr>
          <w:rFonts w:ascii="仿宋_GB2312" w:hAnsi="Calibri" w:eastAsia="仿宋_GB2312" w:cs="Calibri"/>
          <w:b/>
          <w:bCs/>
          <w:kern w:val="0"/>
          <w:sz w:val="24"/>
          <w:szCs w:val="24"/>
        </w:rPr>
        <w:t xml:space="preserve"> </w:t>
      </w:r>
      <w:r>
        <w:rPr>
          <w:rFonts w:hint="eastAsia" w:ascii="仿宋_GB2312" w:hAnsi="仿宋" w:eastAsia="仿宋_GB2312" w:cs="宋体"/>
          <w:kern w:val="0"/>
          <w:sz w:val="24"/>
          <w:szCs w:val="24"/>
        </w:rPr>
        <w:t>采取个案评估确定征收（征用）补偿的范围包括：</w:t>
      </w:r>
    </w:p>
    <w:p>
      <w:pPr>
        <w:widowControl/>
        <w:shd w:val="clear" w:color="auto" w:fill="FFFFFF"/>
        <w:spacing w:line="600" w:lineRule="exact"/>
        <w:ind w:firstLine="480" w:firstLineChars="200"/>
        <w:rPr>
          <w:rFonts w:ascii="仿宋_GB2312" w:hAnsi="仿宋" w:eastAsia="仿宋_GB2312" w:cs="宋体"/>
          <w:kern w:val="0"/>
          <w:sz w:val="24"/>
          <w:szCs w:val="24"/>
        </w:rPr>
      </w:pPr>
      <w:r>
        <w:rPr>
          <w:rFonts w:hint="eastAsia" w:ascii="仿宋_GB2312" w:hAnsi="仿宋" w:eastAsia="仿宋_GB2312" w:cs="宋体"/>
          <w:kern w:val="0"/>
          <w:sz w:val="24"/>
          <w:szCs w:val="24"/>
        </w:rPr>
        <w:t>（一）地上附着物中有合法产权建筑物，且未安排土地用于被征收人新建房屋的征收补偿项目；</w:t>
      </w:r>
    </w:p>
    <w:p>
      <w:pPr>
        <w:widowControl/>
        <w:shd w:val="clear" w:color="auto" w:fill="FFFFFF"/>
        <w:spacing w:line="600" w:lineRule="exact"/>
        <w:ind w:firstLine="480" w:firstLineChars="200"/>
        <w:rPr>
          <w:rFonts w:ascii="仿宋_GB2312" w:hAnsi="仿宋" w:eastAsia="仿宋_GB2312" w:cs="宋体"/>
          <w:kern w:val="0"/>
          <w:sz w:val="24"/>
          <w:szCs w:val="24"/>
        </w:rPr>
      </w:pPr>
      <w:r>
        <w:rPr>
          <w:rFonts w:hint="eastAsia" w:ascii="仿宋_GB2312" w:hAnsi="仿宋" w:eastAsia="仿宋_GB2312" w:cs="宋体"/>
          <w:kern w:val="0"/>
          <w:sz w:val="24"/>
          <w:szCs w:val="24"/>
        </w:rPr>
        <w:t>（二）本办法及附件中未列举的其他补偿项目。</w:t>
      </w:r>
    </w:p>
    <w:p>
      <w:pPr>
        <w:widowControl/>
        <w:shd w:val="clear" w:color="auto" w:fill="FFFFFF"/>
        <w:spacing w:line="600" w:lineRule="exact"/>
        <w:ind w:firstLine="482" w:firstLineChars="200"/>
        <w:rPr>
          <w:rFonts w:ascii="仿宋_GB2312" w:hAnsi="仿宋" w:eastAsia="仿宋_GB2312" w:cs="宋体"/>
          <w:kern w:val="0"/>
          <w:sz w:val="24"/>
          <w:szCs w:val="24"/>
        </w:rPr>
      </w:pPr>
      <w:r>
        <w:rPr>
          <w:rFonts w:hint="eastAsia" w:ascii="仿宋_GB2312" w:hAnsi="黑体" w:eastAsia="仿宋_GB2312" w:cs="宋体"/>
          <w:b/>
          <w:kern w:val="0"/>
          <w:sz w:val="24"/>
          <w:szCs w:val="24"/>
        </w:rPr>
        <w:t>第四条</w:t>
      </w:r>
      <w:r>
        <w:rPr>
          <w:rFonts w:ascii="仿宋_GB2312" w:hAnsi="Calibri" w:eastAsia="仿宋_GB2312" w:cs="Calibri"/>
          <w:b/>
          <w:bCs/>
          <w:kern w:val="0"/>
          <w:sz w:val="24"/>
          <w:szCs w:val="24"/>
        </w:rPr>
        <w:t xml:space="preserve"> </w:t>
      </w:r>
      <w:r>
        <w:rPr>
          <w:rFonts w:hint="eastAsia" w:ascii="仿宋_GB2312" w:hAnsi="仿宋" w:eastAsia="仿宋_GB2312" w:cs="宋体"/>
          <w:kern w:val="0"/>
          <w:sz w:val="24"/>
          <w:szCs w:val="24"/>
        </w:rPr>
        <w:t>评估机构的选定应当遵循公正、公开、透明的原则。</w:t>
      </w:r>
    </w:p>
    <w:p>
      <w:pPr>
        <w:widowControl/>
        <w:shd w:val="clear" w:color="auto" w:fill="FFFFFF"/>
        <w:spacing w:line="600" w:lineRule="exact"/>
        <w:ind w:firstLine="482" w:firstLineChars="200"/>
        <w:rPr>
          <w:rFonts w:ascii="仿宋_GB2312" w:hAnsi="仿宋" w:eastAsia="仿宋_GB2312" w:cs="宋体"/>
          <w:kern w:val="0"/>
          <w:sz w:val="24"/>
          <w:szCs w:val="24"/>
        </w:rPr>
      </w:pPr>
      <w:r>
        <w:rPr>
          <w:rFonts w:hint="eastAsia" w:ascii="仿宋_GB2312" w:hAnsi="黑体" w:eastAsia="仿宋_GB2312" w:cs="宋体"/>
          <w:b/>
          <w:kern w:val="0"/>
          <w:sz w:val="24"/>
          <w:szCs w:val="24"/>
        </w:rPr>
        <w:t>第五条</w:t>
      </w:r>
      <w:r>
        <w:rPr>
          <w:rFonts w:ascii="仿宋_GB2312" w:hAnsi="Calibri" w:eastAsia="仿宋_GB2312" w:cs="Calibri"/>
          <w:b/>
          <w:bCs/>
          <w:kern w:val="0"/>
          <w:sz w:val="24"/>
          <w:szCs w:val="24"/>
        </w:rPr>
        <w:t xml:space="preserve"> </w:t>
      </w:r>
      <w:r>
        <w:rPr>
          <w:rFonts w:hint="eastAsia" w:ascii="仿宋_GB2312" w:hAnsi="仿宋" w:eastAsia="仿宋_GB2312" w:cs="宋体"/>
          <w:kern w:val="0"/>
          <w:sz w:val="24"/>
          <w:szCs w:val="24"/>
        </w:rPr>
        <w:t>对被征收（征用）土地青苗及地上附着物价格的评估，应当委托具有房地产评估资质的评估机构进行评估。</w:t>
      </w:r>
    </w:p>
    <w:p>
      <w:pPr>
        <w:widowControl/>
        <w:shd w:val="clear" w:color="auto" w:fill="FFFFFF"/>
        <w:spacing w:line="600" w:lineRule="exact"/>
        <w:ind w:firstLine="482" w:firstLineChars="200"/>
        <w:rPr>
          <w:rFonts w:ascii="仿宋_GB2312" w:hAnsi="仿宋" w:eastAsia="仿宋_GB2312" w:cs="宋体"/>
          <w:kern w:val="0"/>
          <w:sz w:val="24"/>
          <w:szCs w:val="24"/>
        </w:rPr>
      </w:pPr>
      <w:r>
        <w:rPr>
          <w:rFonts w:hint="eastAsia" w:ascii="仿宋_GB2312" w:hAnsi="黑体" w:eastAsia="仿宋_GB2312" w:cs="宋体"/>
          <w:b/>
          <w:kern w:val="0"/>
          <w:sz w:val="24"/>
          <w:szCs w:val="24"/>
        </w:rPr>
        <w:t>第六条</w:t>
      </w:r>
      <w:r>
        <w:rPr>
          <w:rFonts w:ascii="仿宋_GB2312" w:hAnsi="Calibri" w:eastAsia="仿宋_GB2312" w:cs="Calibri"/>
          <w:b/>
          <w:kern w:val="0"/>
          <w:sz w:val="24"/>
          <w:szCs w:val="24"/>
        </w:rPr>
        <w:t xml:space="preserve"> </w:t>
      </w:r>
      <w:r>
        <w:rPr>
          <w:rFonts w:hint="eastAsia" w:ascii="仿宋_GB2312" w:hAnsi="仿宋" w:eastAsia="仿宋_GB2312" w:cs="宋体"/>
          <w:kern w:val="0"/>
          <w:sz w:val="24"/>
          <w:szCs w:val="24"/>
        </w:rPr>
        <w:t>珠海市自然资源局负责珠海市征收（征用）土地青苗及地上附着物补偿评估机构库（以下简称“评估机构库”）组建工作。</w:t>
      </w:r>
    </w:p>
    <w:p>
      <w:pPr>
        <w:widowControl/>
        <w:shd w:val="clear" w:color="auto" w:fill="FFFFFF"/>
        <w:spacing w:line="600" w:lineRule="exact"/>
        <w:ind w:firstLine="480" w:firstLineChars="200"/>
        <w:rPr>
          <w:rFonts w:ascii="仿宋_GB2312" w:hAnsi="仿宋" w:eastAsia="仿宋_GB2312" w:cs="宋体"/>
          <w:kern w:val="0"/>
          <w:sz w:val="24"/>
          <w:szCs w:val="24"/>
        </w:rPr>
      </w:pPr>
      <w:r>
        <w:rPr>
          <w:rFonts w:hint="eastAsia" w:ascii="仿宋_GB2312" w:hAnsi="仿宋" w:eastAsia="仿宋_GB2312" w:cs="宋体"/>
          <w:kern w:val="0"/>
          <w:sz w:val="24"/>
          <w:szCs w:val="24"/>
        </w:rPr>
        <w:t>由珠海市自然资源局采取公开招投标方式选择8家综合实力强、社会信誉好、能提供持续服务的评估机构组建评估机构库，以三年为一个服务周期，并定期向社会公布入库的评估机构名单。</w:t>
      </w:r>
    </w:p>
    <w:p>
      <w:pPr>
        <w:widowControl/>
        <w:shd w:val="clear" w:color="auto" w:fill="FFFFFF"/>
        <w:spacing w:line="600" w:lineRule="exact"/>
        <w:ind w:firstLine="482" w:firstLineChars="200"/>
        <w:rPr>
          <w:rFonts w:ascii="仿宋_GB2312" w:hAnsi="仿宋" w:eastAsia="仿宋_GB2312" w:cs="宋体"/>
          <w:kern w:val="0"/>
          <w:sz w:val="24"/>
          <w:szCs w:val="24"/>
        </w:rPr>
      </w:pPr>
      <w:r>
        <w:rPr>
          <w:rFonts w:hint="eastAsia" w:ascii="仿宋_GB2312" w:hAnsi="黑体" w:eastAsia="仿宋_GB2312" w:cs="宋体"/>
          <w:b/>
          <w:kern w:val="0"/>
          <w:sz w:val="24"/>
          <w:szCs w:val="24"/>
        </w:rPr>
        <w:t>第七条</w:t>
      </w:r>
      <w:r>
        <w:rPr>
          <w:rFonts w:hint="eastAsia" w:ascii="仿宋_GB2312" w:hAnsi="Calibri" w:eastAsia="仿宋_GB2312" w:cs="Calibri"/>
          <w:b/>
          <w:bCs/>
          <w:kern w:val="0"/>
          <w:sz w:val="24"/>
          <w:szCs w:val="24"/>
        </w:rPr>
        <w:t> </w:t>
      </w:r>
      <w:r>
        <w:rPr>
          <w:rFonts w:hint="eastAsia" w:ascii="仿宋_GB2312" w:hAnsi="仿宋" w:eastAsia="仿宋_GB2312" w:cs="宋体"/>
          <w:kern w:val="0"/>
          <w:sz w:val="24"/>
          <w:szCs w:val="24"/>
        </w:rPr>
        <w:t>评估费用可按评估机构库约定</w:t>
      </w:r>
      <w:r>
        <w:rPr>
          <w:rFonts w:ascii="仿宋_GB2312" w:hAnsi="仿宋" w:eastAsia="仿宋_GB2312" w:cs="宋体"/>
          <w:kern w:val="0"/>
          <w:sz w:val="24"/>
          <w:szCs w:val="24"/>
        </w:rPr>
        <w:t>价格标准</w:t>
      </w:r>
      <w:r>
        <w:rPr>
          <w:rFonts w:hint="eastAsia" w:ascii="仿宋_GB2312" w:hAnsi="仿宋" w:eastAsia="仿宋_GB2312" w:cs="宋体"/>
          <w:kern w:val="0"/>
          <w:sz w:val="24"/>
          <w:szCs w:val="24"/>
        </w:rPr>
        <w:t>执行，在征地专项补偿款中列支，评估费用的支付按有关规定执行。</w:t>
      </w:r>
    </w:p>
    <w:p>
      <w:pPr>
        <w:widowControl/>
        <w:shd w:val="clear" w:color="auto" w:fill="FFFFFF"/>
        <w:spacing w:line="600" w:lineRule="exact"/>
        <w:ind w:firstLine="482" w:firstLineChars="200"/>
        <w:rPr>
          <w:rFonts w:ascii="仿宋_GB2312" w:hAnsi="仿宋" w:eastAsia="仿宋_GB2312" w:cs="宋体"/>
          <w:kern w:val="0"/>
          <w:sz w:val="24"/>
          <w:szCs w:val="24"/>
        </w:rPr>
      </w:pPr>
      <w:r>
        <w:rPr>
          <w:rFonts w:hint="eastAsia" w:ascii="仿宋_GB2312" w:hAnsi="黑体" w:eastAsia="仿宋_GB2312" w:cs="宋体"/>
          <w:b/>
          <w:kern w:val="0"/>
          <w:sz w:val="24"/>
          <w:szCs w:val="24"/>
        </w:rPr>
        <w:t>第八条</w:t>
      </w:r>
      <w:r>
        <w:rPr>
          <w:rFonts w:ascii="Cambria" w:hAnsi="Cambria" w:eastAsia="仿宋_GB2312" w:cs="Cambria"/>
          <w:b/>
          <w:kern w:val="0"/>
          <w:sz w:val="24"/>
          <w:szCs w:val="24"/>
        </w:rPr>
        <w:t> </w:t>
      </w:r>
      <w:r>
        <w:rPr>
          <w:rFonts w:hint="eastAsia" w:ascii="仿宋_GB2312" w:hAnsi="仿宋" w:eastAsia="仿宋_GB2312" w:cs="宋体"/>
          <w:kern w:val="0"/>
          <w:sz w:val="24"/>
          <w:szCs w:val="24"/>
        </w:rPr>
        <w:t>经项目征地补偿领导小组批准后进行个案评估的项目，由征地实施单位与被征收人在评估机构库中协商选定评估机构；协商不成的，可通过抽签或摇号等公开方式在评估机构库中选定评估机构。</w:t>
      </w:r>
    </w:p>
    <w:p>
      <w:pPr>
        <w:widowControl/>
        <w:shd w:val="clear" w:color="auto" w:fill="FFFFFF"/>
        <w:spacing w:line="600" w:lineRule="exact"/>
        <w:ind w:firstLine="482" w:firstLineChars="200"/>
        <w:rPr>
          <w:rFonts w:ascii="仿宋_GB2312" w:hAnsi="仿宋" w:eastAsia="仿宋_GB2312" w:cs="宋体"/>
          <w:kern w:val="0"/>
          <w:sz w:val="24"/>
          <w:szCs w:val="24"/>
        </w:rPr>
      </w:pPr>
      <w:r>
        <w:rPr>
          <w:rFonts w:hint="eastAsia" w:ascii="仿宋_GB2312" w:hAnsi="黑体" w:eastAsia="仿宋_GB2312" w:cs="宋体"/>
          <w:b/>
          <w:kern w:val="0"/>
          <w:sz w:val="24"/>
          <w:szCs w:val="24"/>
        </w:rPr>
        <w:t>第九条</w:t>
      </w:r>
      <w:r>
        <w:rPr>
          <w:rFonts w:hint="eastAsia" w:ascii="仿宋_GB2312" w:hAnsi="Calibri" w:eastAsia="仿宋_GB2312" w:cs="Calibri"/>
          <w:b/>
          <w:bCs/>
          <w:kern w:val="0"/>
          <w:sz w:val="24"/>
          <w:szCs w:val="24"/>
        </w:rPr>
        <w:t> </w:t>
      </w:r>
      <w:r>
        <w:rPr>
          <w:rFonts w:hint="eastAsia" w:ascii="仿宋_GB2312" w:hAnsi="仿宋" w:eastAsia="仿宋_GB2312" w:cs="宋体"/>
          <w:kern w:val="0"/>
          <w:sz w:val="24"/>
          <w:szCs w:val="24"/>
        </w:rPr>
        <w:t>以抽签或摇号等公开方式在评估机构库中选定评估机构的，评估机构的选择按以下程序进行：</w:t>
      </w:r>
    </w:p>
    <w:p>
      <w:pPr>
        <w:widowControl/>
        <w:shd w:val="clear" w:color="auto" w:fill="FFFFFF"/>
        <w:spacing w:line="600" w:lineRule="exact"/>
        <w:ind w:firstLine="480" w:firstLineChars="200"/>
        <w:rPr>
          <w:rFonts w:ascii="仿宋_GB2312" w:hAnsi="仿宋" w:eastAsia="仿宋_GB2312" w:cs="宋体"/>
          <w:kern w:val="0"/>
          <w:sz w:val="24"/>
          <w:szCs w:val="24"/>
        </w:rPr>
      </w:pPr>
      <w:r>
        <w:rPr>
          <w:rFonts w:hint="eastAsia" w:ascii="仿宋_GB2312" w:hAnsi="仿宋" w:eastAsia="仿宋_GB2312" w:cs="宋体"/>
          <w:kern w:val="0"/>
          <w:sz w:val="24"/>
          <w:szCs w:val="24"/>
        </w:rPr>
        <w:t>（一）发布抽签或摇号会议公告。项目征收补偿实施单位应提前3日公开发布抽签或摇号会议公告。</w:t>
      </w:r>
    </w:p>
    <w:p>
      <w:pPr>
        <w:widowControl/>
        <w:shd w:val="clear" w:color="auto" w:fill="FFFFFF"/>
        <w:spacing w:line="600" w:lineRule="exact"/>
        <w:ind w:firstLine="480" w:firstLineChars="200"/>
        <w:rPr>
          <w:rFonts w:ascii="仿宋_GB2312" w:hAnsi="仿宋" w:eastAsia="仿宋_GB2312" w:cs="宋体"/>
          <w:kern w:val="0"/>
          <w:sz w:val="24"/>
          <w:szCs w:val="24"/>
        </w:rPr>
      </w:pPr>
      <w:r>
        <w:rPr>
          <w:rFonts w:hint="eastAsia" w:ascii="仿宋_GB2312" w:hAnsi="仿宋" w:eastAsia="仿宋_GB2312" w:cs="宋体"/>
          <w:kern w:val="0"/>
          <w:sz w:val="24"/>
          <w:szCs w:val="24"/>
        </w:rPr>
        <w:t>（二）举行抽签或摇号会议。抽签或摇号的组织工作由项目征收实施部门负责，选取适当数量的代表参加抽签或摇号会议。抽签或摇号会议按如下程序组织：</w:t>
      </w:r>
    </w:p>
    <w:p>
      <w:pPr>
        <w:widowControl/>
        <w:shd w:val="clear" w:color="auto" w:fill="FFFFFF"/>
        <w:spacing w:line="600" w:lineRule="exact"/>
        <w:ind w:firstLine="480" w:firstLineChars="200"/>
        <w:rPr>
          <w:rFonts w:ascii="仿宋_GB2312" w:hAnsi="仿宋" w:eastAsia="仿宋_GB2312" w:cs="宋体"/>
          <w:kern w:val="0"/>
          <w:sz w:val="24"/>
          <w:szCs w:val="24"/>
        </w:rPr>
      </w:pPr>
      <w:r>
        <w:rPr>
          <w:rFonts w:hint="eastAsia" w:ascii="仿宋_GB2312" w:hAnsi="仿宋" w:eastAsia="仿宋_GB2312" w:cs="宋体"/>
          <w:kern w:val="0"/>
          <w:sz w:val="24"/>
          <w:szCs w:val="24"/>
        </w:rPr>
        <w:t>1.介绍情况：介绍征收项目的基本情况以及抽签或摇号形式。</w:t>
      </w:r>
    </w:p>
    <w:p>
      <w:pPr>
        <w:widowControl/>
        <w:shd w:val="clear" w:color="auto" w:fill="FFFFFF"/>
        <w:spacing w:line="600" w:lineRule="exact"/>
        <w:ind w:firstLine="480" w:firstLineChars="200"/>
        <w:rPr>
          <w:rFonts w:ascii="仿宋_GB2312" w:hAnsi="仿宋" w:eastAsia="仿宋_GB2312" w:cs="宋体"/>
          <w:kern w:val="0"/>
          <w:sz w:val="24"/>
          <w:szCs w:val="24"/>
        </w:rPr>
      </w:pPr>
      <w:r>
        <w:rPr>
          <w:rFonts w:hint="eastAsia" w:ascii="仿宋_GB2312" w:hAnsi="仿宋" w:eastAsia="仿宋_GB2312" w:cs="宋体"/>
          <w:kern w:val="0"/>
          <w:sz w:val="24"/>
          <w:szCs w:val="24"/>
        </w:rPr>
        <w:t>2.抽签或摇号：由参选的评估机构在公证部门监督下进行抽签或摇号。</w:t>
      </w:r>
    </w:p>
    <w:p>
      <w:pPr>
        <w:widowControl/>
        <w:shd w:val="clear" w:color="auto" w:fill="FFFFFF"/>
        <w:spacing w:line="600" w:lineRule="exact"/>
        <w:ind w:firstLine="480" w:firstLineChars="200"/>
        <w:rPr>
          <w:rFonts w:ascii="仿宋_GB2312" w:hAnsi="仿宋" w:eastAsia="仿宋_GB2312" w:cs="宋体"/>
          <w:kern w:val="0"/>
          <w:sz w:val="24"/>
          <w:szCs w:val="24"/>
        </w:rPr>
      </w:pPr>
      <w:r>
        <w:rPr>
          <w:rFonts w:hint="eastAsia" w:ascii="仿宋_GB2312" w:hAnsi="仿宋" w:eastAsia="仿宋_GB2312" w:cs="宋体"/>
          <w:kern w:val="0"/>
          <w:sz w:val="24"/>
          <w:szCs w:val="24"/>
        </w:rPr>
        <w:t>3.宣布结果：工作人员对现场抽出或摇出的号码进行确认，并当场宣布结果，现场参与人员在签字表上确认。</w:t>
      </w:r>
    </w:p>
    <w:p>
      <w:pPr>
        <w:widowControl/>
        <w:shd w:val="clear" w:color="auto" w:fill="FFFFFF"/>
        <w:spacing w:line="600" w:lineRule="exact"/>
        <w:ind w:firstLine="480" w:firstLineChars="200"/>
        <w:rPr>
          <w:rFonts w:ascii="仿宋_GB2312" w:hAnsi="仿宋" w:eastAsia="仿宋_GB2312" w:cs="宋体"/>
          <w:kern w:val="0"/>
          <w:sz w:val="24"/>
          <w:szCs w:val="24"/>
        </w:rPr>
      </w:pPr>
      <w:r>
        <w:rPr>
          <w:rFonts w:hint="eastAsia" w:ascii="仿宋_GB2312" w:hAnsi="仿宋" w:eastAsia="仿宋_GB2312" w:cs="宋体"/>
          <w:kern w:val="0"/>
          <w:sz w:val="24"/>
          <w:szCs w:val="24"/>
        </w:rPr>
        <w:t>（三）签订书面评估委托合同。评估机构选定后，项目征收实施部门应当向评估机构出具青苗及地上附着物征收补偿评估委托书，并与其签订书面评估委托合同。</w:t>
      </w:r>
    </w:p>
    <w:p>
      <w:pPr>
        <w:widowControl/>
        <w:shd w:val="clear" w:color="auto" w:fill="FFFFFF"/>
        <w:spacing w:line="600" w:lineRule="exact"/>
        <w:ind w:firstLine="482" w:firstLineChars="200"/>
        <w:rPr>
          <w:rFonts w:ascii="仿宋_GB2312" w:hAnsi="仿宋" w:eastAsia="仿宋_GB2312" w:cs="宋体"/>
          <w:kern w:val="0"/>
          <w:sz w:val="24"/>
          <w:szCs w:val="24"/>
        </w:rPr>
      </w:pPr>
      <w:r>
        <w:rPr>
          <w:rFonts w:hint="eastAsia" w:ascii="仿宋_GB2312" w:hAnsi="黑体" w:eastAsia="仿宋_GB2312" w:cs="宋体"/>
          <w:b/>
          <w:kern w:val="0"/>
          <w:sz w:val="24"/>
          <w:szCs w:val="24"/>
        </w:rPr>
        <w:t>第十条</w:t>
      </w:r>
      <w:r>
        <w:rPr>
          <w:rFonts w:hint="eastAsia" w:ascii="仿宋_GB2312" w:hAnsi="Calibri" w:eastAsia="仿宋_GB2312" w:cs="Calibri"/>
          <w:b/>
          <w:bCs/>
          <w:kern w:val="0"/>
          <w:sz w:val="24"/>
          <w:szCs w:val="24"/>
        </w:rPr>
        <w:t> </w:t>
      </w:r>
      <w:r>
        <w:rPr>
          <w:rFonts w:hint="eastAsia" w:ascii="仿宋_GB2312" w:hAnsi="仿宋" w:eastAsia="仿宋_GB2312" w:cs="宋体"/>
          <w:kern w:val="0"/>
          <w:sz w:val="24"/>
          <w:szCs w:val="24"/>
        </w:rPr>
        <w:t>选定的评估机构接受征收补偿评估业务后，不得转让或者变相转让受托的征收补偿评估业务，否则按第十六条处理。</w:t>
      </w:r>
    </w:p>
    <w:p>
      <w:pPr>
        <w:widowControl/>
        <w:shd w:val="clear" w:color="auto" w:fill="FFFFFF"/>
        <w:spacing w:line="600" w:lineRule="exact"/>
        <w:ind w:firstLine="482" w:firstLineChars="200"/>
        <w:rPr>
          <w:rFonts w:ascii="仿宋_GB2312" w:hAnsi="仿宋" w:eastAsia="仿宋_GB2312" w:cs="宋体"/>
          <w:kern w:val="0"/>
          <w:sz w:val="24"/>
          <w:szCs w:val="24"/>
        </w:rPr>
      </w:pPr>
      <w:r>
        <w:rPr>
          <w:rFonts w:hint="eastAsia" w:ascii="仿宋_GB2312" w:hAnsi="黑体" w:eastAsia="仿宋_GB2312" w:cs="宋体"/>
          <w:b/>
          <w:kern w:val="0"/>
          <w:sz w:val="24"/>
          <w:szCs w:val="24"/>
        </w:rPr>
        <w:t xml:space="preserve">第十一条 </w:t>
      </w:r>
      <w:r>
        <w:rPr>
          <w:rFonts w:hint="eastAsia" w:ascii="仿宋_GB2312" w:hAnsi="仿宋" w:eastAsia="仿宋_GB2312" w:cs="宋体"/>
          <w:kern w:val="0"/>
          <w:sz w:val="24"/>
          <w:szCs w:val="24"/>
        </w:rPr>
        <w:t>征收青苗及地上附着物的补偿</w:t>
      </w:r>
      <w:r>
        <w:rPr>
          <w:rFonts w:hint="eastAsia" w:ascii="仿宋_GB2312" w:hAnsi="Calibri" w:eastAsia="仿宋_GB2312" w:cs="Calibri"/>
          <w:bCs/>
          <w:kern w:val="0"/>
          <w:sz w:val="24"/>
          <w:szCs w:val="24"/>
        </w:rPr>
        <w:t>价格基准日</w:t>
      </w:r>
      <w:r>
        <w:rPr>
          <w:rFonts w:hint="eastAsia" w:ascii="仿宋_GB2312" w:hAnsi="仿宋" w:eastAsia="仿宋_GB2312" w:cs="宋体"/>
          <w:kern w:val="0"/>
          <w:sz w:val="24"/>
          <w:szCs w:val="24"/>
        </w:rPr>
        <w:t>为土地征收预公告</w:t>
      </w:r>
      <w:r>
        <w:rPr>
          <w:rFonts w:ascii="仿宋_GB2312" w:hAnsi="Calibri" w:eastAsia="仿宋_GB2312" w:cs="Calibri"/>
          <w:bCs/>
          <w:kern w:val="0"/>
          <w:sz w:val="24"/>
          <w:szCs w:val="24"/>
        </w:rPr>
        <w:t>日</w:t>
      </w:r>
      <w:r>
        <w:rPr>
          <w:rFonts w:hint="eastAsia" w:ascii="仿宋_GB2312" w:hAnsi="仿宋" w:eastAsia="仿宋_GB2312" w:cs="宋体"/>
          <w:kern w:val="0"/>
          <w:sz w:val="24"/>
          <w:szCs w:val="24"/>
        </w:rPr>
        <w:t>。</w:t>
      </w:r>
    </w:p>
    <w:p>
      <w:pPr>
        <w:widowControl/>
        <w:shd w:val="clear" w:color="auto" w:fill="FFFFFF"/>
        <w:spacing w:line="600" w:lineRule="exact"/>
        <w:ind w:firstLine="482" w:firstLineChars="200"/>
        <w:rPr>
          <w:rFonts w:ascii="仿宋_GB2312" w:hAnsi="仿宋" w:eastAsia="仿宋_GB2312" w:cs="宋体"/>
          <w:kern w:val="0"/>
          <w:sz w:val="24"/>
          <w:szCs w:val="24"/>
        </w:rPr>
      </w:pPr>
      <w:r>
        <w:rPr>
          <w:rFonts w:hint="eastAsia" w:ascii="仿宋_GB2312" w:hAnsi="黑体" w:eastAsia="仿宋_GB2312" w:cs="宋体"/>
          <w:b/>
          <w:kern w:val="0"/>
          <w:sz w:val="24"/>
          <w:szCs w:val="24"/>
        </w:rPr>
        <w:t>第十二条</w:t>
      </w:r>
      <w:r>
        <w:rPr>
          <w:rFonts w:hint="eastAsia" w:ascii="仿宋_GB2312" w:hAnsi="Calibri" w:eastAsia="仿宋_GB2312" w:cs="Calibri"/>
          <w:b/>
          <w:bCs/>
          <w:kern w:val="0"/>
          <w:sz w:val="24"/>
          <w:szCs w:val="24"/>
        </w:rPr>
        <w:t> </w:t>
      </w:r>
      <w:r>
        <w:rPr>
          <w:rFonts w:hint="eastAsia" w:ascii="仿宋_GB2312" w:hAnsi="仿宋" w:eastAsia="仿宋_GB2312" w:cs="宋体"/>
          <w:kern w:val="0"/>
          <w:sz w:val="24"/>
          <w:szCs w:val="24"/>
        </w:rPr>
        <w:t>在青苗及地上附着物征收补偿评估中，评估机构或者估价师有下列情形的，应当回避：</w:t>
      </w:r>
    </w:p>
    <w:p>
      <w:pPr>
        <w:widowControl/>
        <w:shd w:val="clear" w:color="auto" w:fill="FFFFFF"/>
        <w:spacing w:line="600" w:lineRule="exact"/>
        <w:ind w:firstLine="480" w:firstLineChars="200"/>
        <w:rPr>
          <w:rFonts w:ascii="仿宋_GB2312" w:hAnsi="仿宋" w:eastAsia="仿宋_GB2312" w:cs="宋体"/>
          <w:kern w:val="0"/>
          <w:sz w:val="24"/>
          <w:szCs w:val="24"/>
        </w:rPr>
      </w:pPr>
      <w:r>
        <w:rPr>
          <w:rFonts w:hint="eastAsia" w:ascii="仿宋_GB2312" w:hAnsi="仿宋" w:eastAsia="仿宋_GB2312" w:cs="宋体"/>
          <w:kern w:val="0"/>
          <w:sz w:val="24"/>
          <w:szCs w:val="24"/>
        </w:rPr>
        <w:t>（一）是委托评估的当事人或者当事人的亲属；</w:t>
      </w:r>
    </w:p>
    <w:p>
      <w:pPr>
        <w:widowControl/>
        <w:shd w:val="clear" w:color="auto" w:fill="FFFFFF"/>
        <w:spacing w:line="600" w:lineRule="exact"/>
        <w:ind w:firstLine="480" w:firstLineChars="200"/>
        <w:rPr>
          <w:rFonts w:ascii="仿宋_GB2312" w:hAnsi="仿宋" w:eastAsia="仿宋_GB2312" w:cs="宋体"/>
          <w:kern w:val="0"/>
          <w:sz w:val="24"/>
          <w:szCs w:val="24"/>
        </w:rPr>
      </w:pPr>
      <w:r>
        <w:rPr>
          <w:rFonts w:hint="eastAsia" w:ascii="仿宋_GB2312" w:hAnsi="仿宋" w:eastAsia="仿宋_GB2312" w:cs="宋体"/>
          <w:kern w:val="0"/>
          <w:sz w:val="24"/>
          <w:szCs w:val="24"/>
        </w:rPr>
        <w:t>（二）与征收当事人有利害关系的；</w:t>
      </w:r>
    </w:p>
    <w:p>
      <w:pPr>
        <w:widowControl/>
        <w:shd w:val="clear" w:color="auto" w:fill="FFFFFF"/>
        <w:spacing w:line="600" w:lineRule="exact"/>
        <w:ind w:firstLine="480" w:firstLineChars="200"/>
        <w:rPr>
          <w:rFonts w:ascii="仿宋_GB2312" w:hAnsi="仿宋" w:eastAsia="仿宋_GB2312" w:cs="宋体"/>
          <w:kern w:val="0"/>
          <w:sz w:val="24"/>
          <w:szCs w:val="24"/>
        </w:rPr>
      </w:pPr>
      <w:r>
        <w:rPr>
          <w:rFonts w:hint="eastAsia" w:ascii="仿宋_GB2312" w:hAnsi="仿宋" w:eastAsia="仿宋_GB2312" w:cs="宋体"/>
          <w:kern w:val="0"/>
          <w:sz w:val="24"/>
          <w:szCs w:val="24"/>
        </w:rPr>
        <w:t>（三）与征收当事人有其他关系，可能影响公正评估的。</w:t>
      </w:r>
    </w:p>
    <w:p>
      <w:pPr>
        <w:widowControl/>
        <w:shd w:val="clear" w:color="auto" w:fill="FFFFFF"/>
        <w:spacing w:line="600" w:lineRule="exact"/>
        <w:ind w:firstLine="480" w:firstLineChars="200"/>
        <w:rPr>
          <w:rFonts w:ascii="仿宋_GB2312" w:hAnsi="仿宋" w:eastAsia="仿宋_GB2312" w:cs="宋体"/>
          <w:kern w:val="0"/>
          <w:sz w:val="24"/>
          <w:szCs w:val="24"/>
        </w:rPr>
      </w:pPr>
      <w:r>
        <w:rPr>
          <w:rFonts w:hint="eastAsia" w:ascii="仿宋_GB2312" w:hAnsi="仿宋" w:eastAsia="仿宋_GB2312" w:cs="宋体"/>
          <w:kern w:val="0"/>
          <w:sz w:val="24"/>
          <w:szCs w:val="24"/>
        </w:rPr>
        <w:t>评估机构不得串通一方当事人，损害另一方当事人的利益。征收当事人不得以任何理由阻挠评估机构独立、客观、公正地开展评估活动。</w:t>
      </w:r>
    </w:p>
    <w:p>
      <w:pPr>
        <w:widowControl/>
        <w:shd w:val="clear" w:color="auto" w:fill="FFFFFF"/>
        <w:spacing w:line="600" w:lineRule="exact"/>
        <w:ind w:firstLine="482" w:firstLineChars="200"/>
        <w:rPr>
          <w:rFonts w:ascii="仿宋_GB2312" w:hAnsi="仿宋" w:eastAsia="仿宋_GB2312" w:cs="宋体"/>
          <w:kern w:val="0"/>
          <w:sz w:val="24"/>
          <w:szCs w:val="24"/>
        </w:rPr>
      </w:pPr>
      <w:r>
        <w:rPr>
          <w:rFonts w:hint="eastAsia" w:ascii="仿宋_GB2312" w:hAnsi="黑体" w:eastAsia="仿宋_GB2312" w:cs="宋体"/>
          <w:b/>
          <w:kern w:val="0"/>
          <w:sz w:val="24"/>
          <w:szCs w:val="24"/>
        </w:rPr>
        <w:t>第十三条</w:t>
      </w:r>
      <w:r>
        <w:rPr>
          <w:rFonts w:ascii="Calibri" w:hAnsi="Calibri" w:eastAsia="仿宋_GB2312" w:cs="Calibri"/>
          <w:b/>
          <w:kern w:val="0"/>
          <w:sz w:val="24"/>
          <w:szCs w:val="24"/>
        </w:rPr>
        <w:t> </w:t>
      </w:r>
      <w:r>
        <w:rPr>
          <w:rFonts w:hint="eastAsia" w:ascii="仿宋_GB2312" w:hAnsi="仿宋" w:eastAsia="仿宋_GB2312" w:cs="宋体"/>
          <w:kern w:val="0"/>
          <w:sz w:val="24"/>
          <w:szCs w:val="24"/>
        </w:rPr>
        <w:t>同一征收范围内的征收补偿评估工作，原则上由一家评估机构承担。征收范围较大的，可以由两家或者两家以上评估机构共同承担。</w:t>
      </w:r>
    </w:p>
    <w:p>
      <w:pPr>
        <w:widowControl/>
        <w:shd w:val="clear" w:color="auto" w:fill="FFFFFF"/>
        <w:spacing w:line="600" w:lineRule="exact"/>
        <w:ind w:firstLine="480" w:firstLineChars="200"/>
        <w:rPr>
          <w:rFonts w:ascii="仿宋_GB2312" w:hAnsi="仿宋" w:eastAsia="仿宋_GB2312" w:cs="宋体"/>
          <w:kern w:val="0"/>
          <w:sz w:val="24"/>
          <w:szCs w:val="24"/>
        </w:rPr>
      </w:pPr>
      <w:r>
        <w:rPr>
          <w:rFonts w:hint="eastAsia" w:ascii="仿宋_GB2312" w:hAnsi="仿宋" w:eastAsia="仿宋_GB2312" w:cs="宋体"/>
          <w:kern w:val="0"/>
          <w:sz w:val="24"/>
          <w:szCs w:val="24"/>
        </w:rPr>
        <w:t>两家或者两家以上评估机构承担同一征收评估项目的，各评估机构应当就评估对象、价值时点、价值内涵、评估依据、评估原则、评估技术路线、评估方法、重要参数选取等进行沟通协商，执行统一标准。</w:t>
      </w:r>
    </w:p>
    <w:p>
      <w:pPr>
        <w:widowControl/>
        <w:shd w:val="clear" w:color="auto" w:fill="FFFFFF"/>
        <w:spacing w:line="600" w:lineRule="exact"/>
        <w:ind w:firstLine="482" w:firstLineChars="200"/>
        <w:rPr>
          <w:rFonts w:ascii="仿宋_GB2312" w:hAnsi="仿宋" w:eastAsia="仿宋_GB2312" w:cs="宋体"/>
          <w:kern w:val="0"/>
          <w:sz w:val="24"/>
          <w:szCs w:val="24"/>
        </w:rPr>
      </w:pPr>
      <w:r>
        <w:rPr>
          <w:rFonts w:hint="eastAsia" w:ascii="仿宋_GB2312" w:hAnsi="黑体" w:eastAsia="仿宋_GB2312" w:cs="宋体"/>
          <w:b/>
          <w:kern w:val="0"/>
          <w:sz w:val="24"/>
          <w:szCs w:val="24"/>
        </w:rPr>
        <w:t>第十四条</w:t>
      </w:r>
      <w:r>
        <w:rPr>
          <w:rFonts w:ascii="Calibri" w:hAnsi="Calibri" w:eastAsia="仿宋_GB2312" w:cs="Calibri"/>
          <w:b/>
          <w:kern w:val="0"/>
          <w:sz w:val="24"/>
          <w:szCs w:val="24"/>
        </w:rPr>
        <w:t> </w:t>
      </w:r>
      <w:r>
        <w:rPr>
          <w:rFonts w:hint="eastAsia" w:ascii="仿宋_GB2312" w:hAnsi="仿宋" w:eastAsia="仿宋_GB2312" w:cs="宋体"/>
          <w:kern w:val="0"/>
          <w:sz w:val="24"/>
          <w:szCs w:val="24"/>
        </w:rPr>
        <w:t>对于承接的征收补偿评估项目，评估机构应当指派与征收补偿评估项目工作量相适应的估价师开展评估业务，避免影响项目征收补偿工作推进。</w:t>
      </w:r>
    </w:p>
    <w:p>
      <w:pPr>
        <w:widowControl/>
        <w:shd w:val="clear" w:color="auto" w:fill="FFFFFF"/>
        <w:spacing w:line="600" w:lineRule="exact"/>
        <w:ind w:firstLine="482" w:firstLineChars="200"/>
        <w:rPr>
          <w:rFonts w:ascii="仿宋_GB2312" w:hAnsi="仿宋" w:eastAsia="仿宋_GB2312" w:cs="宋体"/>
          <w:kern w:val="0"/>
          <w:sz w:val="24"/>
          <w:szCs w:val="24"/>
        </w:rPr>
      </w:pPr>
      <w:r>
        <w:rPr>
          <w:rFonts w:hint="eastAsia" w:ascii="仿宋_GB2312" w:hAnsi="黑体" w:eastAsia="仿宋_GB2312" w:cs="宋体"/>
          <w:b/>
          <w:kern w:val="0"/>
          <w:sz w:val="24"/>
          <w:szCs w:val="24"/>
        </w:rPr>
        <w:t>第十五条</w:t>
      </w:r>
      <w:r>
        <w:rPr>
          <w:rFonts w:hint="eastAsia" w:ascii="仿宋_GB2312" w:hAnsi="Calibri" w:eastAsia="仿宋_GB2312" w:cs="Calibri"/>
          <w:kern w:val="0"/>
          <w:sz w:val="24"/>
          <w:szCs w:val="24"/>
        </w:rPr>
        <w:t> </w:t>
      </w:r>
      <w:r>
        <w:rPr>
          <w:rFonts w:hint="eastAsia" w:ascii="仿宋_GB2312" w:hAnsi="仿宋" w:eastAsia="仿宋_GB2312" w:cs="宋体"/>
          <w:kern w:val="0"/>
          <w:sz w:val="24"/>
          <w:szCs w:val="24"/>
        </w:rPr>
        <w:t>被征收人或者项目征收实施部门对评估报告有疑问的，出具评估报告的评估机构应当向其作出解释和说明。</w:t>
      </w:r>
    </w:p>
    <w:p>
      <w:pPr>
        <w:widowControl/>
        <w:shd w:val="clear" w:color="auto" w:fill="FFFFFF"/>
        <w:spacing w:line="600" w:lineRule="exact"/>
        <w:ind w:firstLine="482" w:firstLineChars="200"/>
        <w:rPr>
          <w:rFonts w:ascii="仿宋_GB2312" w:hAnsi="仿宋" w:eastAsia="仿宋_GB2312" w:cs="宋体"/>
          <w:kern w:val="0"/>
          <w:sz w:val="24"/>
          <w:szCs w:val="24"/>
        </w:rPr>
      </w:pPr>
      <w:r>
        <w:rPr>
          <w:rFonts w:hint="eastAsia" w:ascii="仿宋_GB2312" w:hAnsi="黑体" w:eastAsia="仿宋_GB2312" w:cs="宋体"/>
          <w:b/>
          <w:kern w:val="0"/>
          <w:sz w:val="24"/>
          <w:szCs w:val="24"/>
        </w:rPr>
        <w:t>第十六条</w:t>
      </w:r>
      <w:r>
        <w:rPr>
          <w:rFonts w:hint="eastAsia" w:ascii="仿宋_GB2312" w:hAnsi="Calibri" w:eastAsia="仿宋_GB2312" w:cs="Calibri"/>
          <w:kern w:val="0"/>
          <w:sz w:val="24"/>
          <w:szCs w:val="24"/>
        </w:rPr>
        <w:t> </w:t>
      </w:r>
      <w:r>
        <w:rPr>
          <w:rFonts w:hint="eastAsia" w:ascii="仿宋_GB2312" w:hAnsi="仿宋" w:eastAsia="仿宋_GB2312" w:cs="宋体"/>
          <w:kern w:val="0"/>
          <w:sz w:val="24"/>
          <w:szCs w:val="24"/>
        </w:rPr>
        <w:t>被征收人或者项目征收实施部门对评估结果有异议的，应当自收到评估报告之日起10日内，向评估机构申请复核评估。</w:t>
      </w:r>
    </w:p>
    <w:p>
      <w:pPr>
        <w:widowControl/>
        <w:shd w:val="clear" w:color="auto" w:fill="FFFFFF"/>
        <w:spacing w:line="600" w:lineRule="exact"/>
        <w:ind w:firstLine="480" w:firstLineChars="200"/>
        <w:rPr>
          <w:rFonts w:ascii="仿宋_GB2312" w:hAnsi="仿宋" w:eastAsia="仿宋_GB2312" w:cs="宋体"/>
          <w:kern w:val="0"/>
          <w:sz w:val="24"/>
          <w:szCs w:val="24"/>
        </w:rPr>
      </w:pPr>
      <w:r>
        <w:rPr>
          <w:rFonts w:hint="eastAsia" w:ascii="仿宋_GB2312" w:hAnsi="仿宋" w:eastAsia="仿宋_GB2312" w:cs="宋体"/>
          <w:kern w:val="0"/>
          <w:sz w:val="24"/>
          <w:szCs w:val="24"/>
        </w:rPr>
        <w:t>申请复核评估的，应当向原评估机构提出书面复核评估申请，并指出评估报告存在的问题。</w:t>
      </w:r>
    </w:p>
    <w:p>
      <w:pPr>
        <w:widowControl/>
        <w:shd w:val="clear" w:color="auto" w:fill="FFFFFF"/>
        <w:spacing w:line="600" w:lineRule="exact"/>
        <w:ind w:firstLine="480" w:firstLineChars="200"/>
        <w:rPr>
          <w:rFonts w:ascii="仿宋_GB2312" w:hAnsi="仿宋" w:eastAsia="仿宋_GB2312" w:cs="宋体"/>
          <w:kern w:val="0"/>
          <w:sz w:val="24"/>
          <w:szCs w:val="24"/>
        </w:rPr>
      </w:pPr>
      <w:r>
        <w:rPr>
          <w:rFonts w:hint="eastAsia" w:ascii="仿宋_GB2312" w:hAnsi="仿宋" w:eastAsia="仿宋_GB2312" w:cs="宋体"/>
          <w:kern w:val="0"/>
          <w:sz w:val="24"/>
          <w:szCs w:val="24"/>
        </w:rPr>
        <w:t>原评估机构应当自收到书面复核评估申请之日起10日内对评估结果进行复核。复核后，改变原评估结果的，应当重新出具评估报告；评估结果没有改变的，应当书面告知复核评估申请人。</w:t>
      </w:r>
    </w:p>
    <w:p>
      <w:pPr>
        <w:widowControl/>
        <w:shd w:val="clear" w:color="auto" w:fill="FFFFFF"/>
        <w:spacing w:line="600" w:lineRule="exact"/>
        <w:ind w:firstLine="480" w:firstLineChars="200"/>
        <w:rPr>
          <w:rFonts w:ascii="仿宋_GB2312" w:hAnsi="仿宋" w:eastAsia="仿宋_GB2312" w:cs="宋体"/>
          <w:kern w:val="0"/>
          <w:sz w:val="24"/>
          <w:szCs w:val="24"/>
        </w:rPr>
      </w:pPr>
      <w:r>
        <w:rPr>
          <w:rFonts w:hint="eastAsia" w:ascii="仿宋_GB2312" w:hAnsi="仿宋" w:eastAsia="仿宋_GB2312" w:cs="宋体"/>
          <w:kern w:val="0"/>
          <w:sz w:val="24"/>
          <w:szCs w:val="24"/>
        </w:rPr>
        <w:t>被征收人或者项目征收实施部门对原评估机构的复核结果有异议的，应当自收到复核结果之日起10日内，委托珠海市房地产价格评估专家委员会申请鉴定。</w:t>
      </w:r>
    </w:p>
    <w:p>
      <w:pPr>
        <w:widowControl/>
        <w:shd w:val="clear" w:color="auto" w:fill="FFFFFF"/>
        <w:spacing w:line="600" w:lineRule="exact"/>
        <w:ind w:firstLine="480" w:firstLineChars="200"/>
        <w:rPr>
          <w:rFonts w:ascii="仿宋_GB2312" w:hAnsi="仿宋" w:eastAsia="仿宋_GB2312" w:cs="宋体"/>
          <w:kern w:val="0"/>
          <w:sz w:val="24"/>
          <w:szCs w:val="24"/>
        </w:rPr>
      </w:pPr>
      <w:r>
        <w:rPr>
          <w:rFonts w:hint="eastAsia" w:ascii="仿宋_GB2312" w:hAnsi="仿宋" w:eastAsia="仿宋_GB2312" w:cs="宋体"/>
          <w:kern w:val="0"/>
          <w:sz w:val="24"/>
          <w:szCs w:val="24"/>
        </w:rPr>
        <w:t>评估专家委员会应当自收到鉴定申请之日起10日内，对申请鉴定评估报告的评估程序、评估依据、评估假设、评估技术路线、评估方法选用、参数选取、评估结果确定方式等评估技术问题进行审核，出具书面鉴定意见。</w:t>
      </w:r>
    </w:p>
    <w:p>
      <w:pPr>
        <w:widowControl/>
        <w:shd w:val="clear" w:color="auto" w:fill="FFFFFF"/>
        <w:spacing w:line="600" w:lineRule="exact"/>
        <w:ind w:firstLine="480" w:firstLineChars="200"/>
        <w:rPr>
          <w:rFonts w:ascii="仿宋_GB2312" w:hAnsi="仿宋" w:eastAsia="仿宋_GB2312" w:cs="宋体"/>
          <w:kern w:val="0"/>
          <w:sz w:val="24"/>
          <w:szCs w:val="24"/>
        </w:rPr>
      </w:pPr>
      <w:r>
        <w:rPr>
          <w:rFonts w:hint="eastAsia" w:ascii="仿宋_GB2312" w:hAnsi="仿宋" w:eastAsia="仿宋_GB2312" w:cs="宋体"/>
          <w:kern w:val="0"/>
          <w:sz w:val="24"/>
          <w:szCs w:val="24"/>
        </w:rPr>
        <w:t>被征收人对补偿仍有异议的，按照《珠海经济特区土地管理条例》有关规定执行。</w:t>
      </w:r>
    </w:p>
    <w:p>
      <w:pPr>
        <w:widowControl/>
        <w:shd w:val="clear" w:color="auto" w:fill="FFFFFF"/>
        <w:spacing w:line="600" w:lineRule="exact"/>
        <w:ind w:firstLine="482" w:firstLineChars="200"/>
        <w:rPr>
          <w:rFonts w:ascii="仿宋_GB2312" w:hAnsi="仿宋" w:eastAsia="仿宋_GB2312" w:cs="宋体"/>
          <w:kern w:val="0"/>
          <w:sz w:val="24"/>
          <w:szCs w:val="24"/>
        </w:rPr>
      </w:pPr>
      <w:r>
        <w:rPr>
          <w:rFonts w:hint="eastAsia" w:ascii="仿宋_GB2312" w:hAnsi="黑体" w:eastAsia="仿宋_GB2312" w:cs="宋体"/>
          <w:b/>
          <w:kern w:val="0"/>
          <w:sz w:val="24"/>
          <w:szCs w:val="24"/>
        </w:rPr>
        <w:t>第十七条</w:t>
      </w:r>
      <w:r>
        <w:rPr>
          <w:rFonts w:ascii="Calibri" w:hAnsi="Calibri" w:eastAsia="仿宋_GB2312" w:cs="Calibri"/>
          <w:b/>
          <w:kern w:val="0"/>
          <w:sz w:val="24"/>
          <w:szCs w:val="24"/>
        </w:rPr>
        <w:t> </w:t>
      </w:r>
      <w:r>
        <w:rPr>
          <w:rFonts w:hint="eastAsia" w:ascii="仿宋_GB2312" w:hAnsi="仿宋" w:eastAsia="仿宋_GB2312" w:cs="宋体"/>
          <w:kern w:val="0"/>
          <w:sz w:val="24"/>
          <w:szCs w:val="24"/>
        </w:rPr>
        <w:t>评估机构有下列行为之一的，珠海市自然资源局将其列入信用档案并在三年内禁止其参与珠海市征收（征用）土地青苗及地上附着物征收补偿项目评估：</w:t>
      </w:r>
    </w:p>
    <w:p>
      <w:pPr>
        <w:widowControl/>
        <w:shd w:val="clear" w:color="auto" w:fill="FFFFFF"/>
        <w:spacing w:line="600" w:lineRule="exact"/>
        <w:ind w:firstLine="480" w:firstLineChars="200"/>
        <w:rPr>
          <w:rFonts w:ascii="仿宋_GB2312" w:hAnsi="仿宋" w:eastAsia="仿宋_GB2312" w:cs="宋体"/>
          <w:kern w:val="0"/>
          <w:sz w:val="24"/>
          <w:szCs w:val="24"/>
        </w:rPr>
      </w:pPr>
      <w:r>
        <w:rPr>
          <w:rFonts w:hint="eastAsia" w:ascii="仿宋_GB2312" w:hAnsi="仿宋" w:eastAsia="仿宋_GB2312" w:cs="宋体"/>
          <w:kern w:val="0"/>
          <w:sz w:val="24"/>
          <w:szCs w:val="24"/>
        </w:rPr>
        <w:t>（一）未依照约定及时出具评估报告次数累计达两次的；</w:t>
      </w:r>
    </w:p>
    <w:p>
      <w:pPr>
        <w:widowControl/>
        <w:shd w:val="clear" w:color="auto" w:fill="FFFFFF"/>
        <w:spacing w:line="600" w:lineRule="exact"/>
        <w:ind w:firstLine="480" w:firstLineChars="200"/>
        <w:rPr>
          <w:rFonts w:ascii="仿宋_GB2312" w:hAnsi="仿宋" w:eastAsia="仿宋_GB2312" w:cs="宋体"/>
          <w:kern w:val="0"/>
          <w:sz w:val="24"/>
          <w:szCs w:val="24"/>
        </w:rPr>
      </w:pPr>
      <w:r>
        <w:rPr>
          <w:rFonts w:hint="eastAsia" w:ascii="仿宋_GB2312" w:hAnsi="仿宋" w:eastAsia="仿宋_GB2312" w:cs="宋体"/>
          <w:kern w:val="0"/>
          <w:sz w:val="24"/>
          <w:szCs w:val="24"/>
        </w:rPr>
        <w:t>（二）评估报告经技术评审存在重大技术问题的；</w:t>
      </w:r>
    </w:p>
    <w:p>
      <w:pPr>
        <w:widowControl/>
        <w:shd w:val="clear" w:color="auto" w:fill="FFFFFF"/>
        <w:spacing w:line="600" w:lineRule="exact"/>
        <w:ind w:firstLine="480" w:firstLineChars="200"/>
        <w:rPr>
          <w:rFonts w:ascii="仿宋_GB2312" w:hAnsi="仿宋" w:eastAsia="仿宋_GB2312" w:cs="宋体"/>
          <w:kern w:val="0"/>
          <w:sz w:val="24"/>
          <w:szCs w:val="24"/>
        </w:rPr>
      </w:pPr>
      <w:r>
        <w:rPr>
          <w:rFonts w:hint="eastAsia" w:ascii="仿宋_GB2312" w:hAnsi="仿宋" w:eastAsia="仿宋_GB2312" w:cs="宋体"/>
          <w:kern w:val="0"/>
          <w:sz w:val="24"/>
          <w:szCs w:val="24"/>
        </w:rPr>
        <w:t>（三）接受评估委托后无正当理由拒绝继续进行项目评估的；</w:t>
      </w:r>
    </w:p>
    <w:p>
      <w:pPr>
        <w:widowControl/>
        <w:shd w:val="clear" w:color="auto" w:fill="FFFFFF"/>
        <w:spacing w:line="600" w:lineRule="exact"/>
        <w:ind w:firstLine="480" w:firstLineChars="200"/>
        <w:rPr>
          <w:rFonts w:ascii="仿宋_GB2312" w:hAnsi="仿宋" w:eastAsia="仿宋_GB2312" w:cs="宋体"/>
          <w:kern w:val="0"/>
          <w:sz w:val="24"/>
          <w:szCs w:val="24"/>
        </w:rPr>
      </w:pPr>
      <w:r>
        <w:rPr>
          <w:rFonts w:hint="eastAsia" w:ascii="仿宋_GB2312" w:hAnsi="仿宋" w:eastAsia="仿宋_GB2312" w:cs="宋体"/>
          <w:kern w:val="0"/>
          <w:sz w:val="24"/>
          <w:szCs w:val="24"/>
        </w:rPr>
        <w:t>（四）连续二次不参加抽签的；</w:t>
      </w:r>
    </w:p>
    <w:p>
      <w:pPr>
        <w:widowControl/>
        <w:shd w:val="clear" w:color="auto" w:fill="FFFFFF"/>
        <w:spacing w:line="600" w:lineRule="exact"/>
        <w:ind w:firstLine="480" w:firstLineChars="200"/>
        <w:rPr>
          <w:rFonts w:ascii="仿宋_GB2312" w:hAnsi="仿宋" w:eastAsia="仿宋_GB2312" w:cs="宋体"/>
          <w:kern w:val="0"/>
          <w:sz w:val="24"/>
          <w:szCs w:val="24"/>
        </w:rPr>
      </w:pPr>
      <w:r>
        <w:rPr>
          <w:rFonts w:hint="eastAsia" w:ascii="仿宋_GB2312" w:hAnsi="仿宋" w:eastAsia="仿宋_GB2312" w:cs="宋体"/>
          <w:kern w:val="0"/>
          <w:sz w:val="24"/>
          <w:szCs w:val="24"/>
        </w:rPr>
        <w:t>（五）擅自转让征收补偿评估业务的；</w:t>
      </w:r>
    </w:p>
    <w:p>
      <w:pPr>
        <w:widowControl/>
        <w:shd w:val="clear" w:color="auto" w:fill="FFFFFF"/>
        <w:spacing w:line="600" w:lineRule="exact"/>
        <w:ind w:firstLine="480" w:firstLineChars="200"/>
        <w:rPr>
          <w:rFonts w:ascii="仿宋_GB2312" w:hAnsi="仿宋" w:eastAsia="仿宋_GB2312" w:cs="宋体"/>
          <w:kern w:val="0"/>
          <w:sz w:val="24"/>
          <w:szCs w:val="24"/>
        </w:rPr>
      </w:pPr>
      <w:r>
        <w:rPr>
          <w:rFonts w:hint="eastAsia" w:ascii="仿宋_GB2312" w:hAnsi="仿宋" w:eastAsia="仿宋_GB2312" w:cs="宋体"/>
          <w:kern w:val="0"/>
          <w:sz w:val="24"/>
          <w:szCs w:val="24"/>
        </w:rPr>
        <w:t>（六）出现其他违法违规行为的。</w:t>
      </w:r>
    </w:p>
    <w:p>
      <w:pPr>
        <w:widowControl/>
        <w:shd w:val="clear" w:color="auto" w:fill="FFFFFF"/>
        <w:spacing w:line="600" w:lineRule="exact"/>
        <w:ind w:firstLine="482" w:firstLineChars="200"/>
        <w:rPr>
          <w:rFonts w:ascii="仿宋_GB2312" w:eastAsia="仿宋_GB2312"/>
          <w:sz w:val="24"/>
          <w:szCs w:val="24"/>
        </w:rPr>
      </w:pPr>
      <w:r>
        <w:rPr>
          <w:rFonts w:hint="eastAsia" w:ascii="仿宋_GB2312" w:hAnsi="黑体" w:eastAsia="仿宋_GB2312" w:cs="宋体"/>
          <w:b/>
          <w:kern w:val="0"/>
          <w:sz w:val="24"/>
          <w:szCs w:val="24"/>
        </w:rPr>
        <w:t>第十八条</w:t>
      </w:r>
      <w:r>
        <w:rPr>
          <w:rFonts w:hint="eastAsia" w:ascii="仿宋_GB2312" w:hAnsi="Calibri" w:eastAsia="仿宋_GB2312" w:cs="Calibri"/>
          <w:b/>
          <w:bCs/>
          <w:kern w:val="0"/>
          <w:sz w:val="24"/>
          <w:szCs w:val="24"/>
        </w:rPr>
        <w:t> </w:t>
      </w:r>
      <w:r>
        <w:rPr>
          <w:rFonts w:hint="eastAsia" w:ascii="仿宋_GB2312" w:hAnsi="仿宋" w:eastAsia="仿宋_GB2312" w:cs="宋体"/>
          <w:kern w:val="0"/>
          <w:sz w:val="24"/>
          <w:szCs w:val="24"/>
        </w:rPr>
        <w:t>本流程自实施之日起施行。</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方正小标宋简体">
    <w:altName w:val="微软雅黑"/>
    <w:panose1 w:val="00000000000000000000"/>
    <w:charset w:val="86"/>
    <w:family w:val="script"/>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27</w:t>
                          </w:r>
                          <w:r>
                            <w:rPr>
                              <w:rFonts w:hint="eastAsia"/>
                            </w:rPr>
                            <w:fldChar w:fldCharType="end"/>
                          </w:r>
                          <w:r>
                            <w:rPr>
                              <w:rFonts w:hint="eastAsia"/>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O5poOAgAABw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k7mmg4CAAAHBAAADgAAAAAAAAABACAAAAAf&#10;AQAAZHJzL2Uyb0RvYy54bWxQSwUGAAAAAAYABgBZAQAAnwUAAAAA&#10;">
              <v:fill on="f" focussize="0,0"/>
              <v:stroke on="f" weight="0.5pt"/>
              <v:imagedata o:title=""/>
              <o:lock v:ext="edit" aspectratio="f"/>
              <v:textbox inset="0mm,0mm,0mm,0mm" style="mso-fit-shape-to-text:t;">
                <w:txbxContent>
                  <w:p>
                    <w:pPr>
                      <w:pStyle w:val="6"/>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27</w:t>
                    </w:r>
                    <w:r>
                      <w:rPr>
                        <w:rFonts w:hint="eastAsia"/>
                      </w:rPr>
                      <w:fldChar w:fldCharType="end"/>
                    </w:r>
                    <w:r>
                      <w:rPr>
                        <w:rFonts w:hint="eastAsia"/>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hideSpelling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CF7"/>
    <w:rsid w:val="00005010"/>
    <w:rsid w:val="00045840"/>
    <w:rsid w:val="000560DB"/>
    <w:rsid w:val="000669B7"/>
    <w:rsid w:val="0006713F"/>
    <w:rsid w:val="00076827"/>
    <w:rsid w:val="00085C78"/>
    <w:rsid w:val="00091D41"/>
    <w:rsid w:val="00095A66"/>
    <w:rsid w:val="00097CDD"/>
    <w:rsid w:val="000A676C"/>
    <w:rsid w:val="000A6AD4"/>
    <w:rsid w:val="000F0FC0"/>
    <w:rsid w:val="000F77AE"/>
    <w:rsid w:val="00101DD8"/>
    <w:rsid w:val="00103BD0"/>
    <w:rsid w:val="0011712C"/>
    <w:rsid w:val="0012739D"/>
    <w:rsid w:val="00142C40"/>
    <w:rsid w:val="0014357D"/>
    <w:rsid w:val="0015390A"/>
    <w:rsid w:val="00154F2C"/>
    <w:rsid w:val="001A5E7F"/>
    <w:rsid w:val="001D2A98"/>
    <w:rsid w:val="001F0A2F"/>
    <w:rsid w:val="001F1C34"/>
    <w:rsid w:val="00202AD2"/>
    <w:rsid w:val="002218F7"/>
    <w:rsid w:val="002243BE"/>
    <w:rsid w:val="00237E8E"/>
    <w:rsid w:val="00256B1B"/>
    <w:rsid w:val="002714C3"/>
    <w:rsid w:val="00285484"/>
    <w:rsid w:val="002858AC"/>
    <w:rsid w:val="002A46DD"/>
    <w:rsid w:val="002C0DA9"/>
    <w:rsid w:val="002D3A0D"/>
    <w:rsid w:val="002E5245"/>
    <w:rsid w:val="002F287B"/>
    <w:rsid w:val="002F5745"/>
    <w:rsid w:val="00304D71"/>
    <w:rsid w:val="00321E06"/>
    <w:rsid w:val="00355C8E"/>
    <w:rsid w:val="0036031F"/>
    <w:rsid w:val="0038296F"/>
    <w:rsid w:val="003909E7"/>
    <w:rsid w:val="003978F0"/>
    <w:rsid w:val="003A1DF3"/>
    <w:rsid w:val="003A7E87"/>
    <w:rsid w:val="003B6C81"/>
    <w:rsid w:val="003B7218"/>
    <w:rsid w:val="003C7BCB"/>
    <w:rsid w:val="003D4B6A"/>
    <w:rsid w:val="003D4E3A"/>
    <w:rsid w:val="003F36B6"/>
    <w:rsid w:val="003F5C13"/>
    <w:rsid w:val="00417A56"/>
    <w:rsid w:val="004318FE"/>
    <w:rsid w:val="00442775"/>
    <w:rsid w:val="004428D9"/>
    <w:rsid w:val="00467185"/>
    <w:rsid w:val="00472BC5"/>
    <w:rsid w:val="004A7223"/>
    <w:rsid w:val="004B39D8"/>
    <w:rsid w:val="004F2A99"/>
    <w:rsid w:val="005040EF"/>
    <w:rsid w:val="00512F9C"/>
    <w:rsid w:val="00517DE4"/>
    <w:rsid w:val="0052579F"/>
    <w:rsid w:val="005330C2"/>
    <w:rsid w:val="00542436"/>
    <w:rsid w:val="005678F7"/>
    <w:rsid w:val="0058120A"/>
    <w:rsid w:val="00581818"/>
    <w:rsid w:val="005A42A4"/>
    <w:rsid w:val="005D0152"/>
    <w:rsid w:val="005D5141"/>
    <w:rsid w:val="005D6C50"/>
    <w:rsid w:val="005D7B34"/>
    <w:rsid w:val="005E7032"/>
    <w:rsid w:val="006240CC"/>
    <w:rsid w:val="00626A90"/>
    <w:rsid w:val="00632AFE"/>
    <w:rsid w:val="006438CB"/>
    <w:rsid w:val="00697253"/>
    <w:rsid w:val="00697D12"/>
    <w:rsid w:val="006A0A9A"/>
    <w:rsid w:val="006E5515"/>
    <w:rsid w:val="006E5BAE"/>
    <w:rsid w:val="00724FCB"/>
    <w:rsid w:val="007261EA"/>
    <w:rsid w:val="007361C2"/>
    <w:rsid w:val="0075145B"/>
    <w:rsid w:val="0078234E"/>
    <w:rsid w:val="0078609C"/>
    <w:rsid w:val="00786393"/>
    <w:rsid w:val="007E4D64"/>
    <w:rsid w:val="007E758F"/>
    <w:rsid w:val="007F5117"/>
    <w:rsid w:val="00803C01"/>
    <w:rsid w:val="00822268"/>
    <w:rsid w:val="008264D0"/>
    <w:rsid w:val="00831647"/>
    <w:rsid w:val="00841CE2"/>
    <w:rsid w:val="00842F83"/>
    <w:rsid w:val="00846A99"/>
    <w:rsid w:val="0085469D"/>
    <w:rsid w:val="00873494"/>
    <w:rsid w:val="00873CDC"/>
    <w:rsid w:val="008759CD"/>
    <w:rsid w:val="00880154"/>
    <w:rsid w:val="008A2302"/>
    <w:rsid w:val="008C1346"/>
    <w:rsid w:val="008C72CF"/>
    <w:rsid w:val="008C77A5"/>
    <w:rsid w:val="008E0218"/>
    <w:rsid w:val="008E19C4"/>
    <w:rsid w:val="0090169D"/>
    <w:rsid w:val="0090716B"/>
    <w:rsid w:val="00920CF7"/>
    <w:rsid w:val="0092119A"/>
    <w:rsid w:val="00926A40"/>
    <w:rsid w:val="0093014C"/>
    <w:rsid w:val="00934446"/>
    <w:rsid w:val="0093455D"/>
    <w:rsid w:val="00942368"/>
    <w:rsid w:val="009504AF"/>
    <w:rsid w:val="009979D8"/>
    <w:rsid w:val="009D148A"/>
    <w:rsid w:val="009D780C"/>
    <w:rsid w:val="009F1FD7"/>
    <w:rsid w:val="00A20929"/>
    <w:rsid w:val="00A218A0"/>
    <w:rsid w:val="00A313A3"/>
    <w:rsid w:val="00A54712"/>
    <w:rsid w:val="00A66731"/>
    <w:rsid w:val="00A9016C"/>
    <w:rsid w:val="00A911B0"/>
    <w:rsid w:val="00AA1E86"/>
    <w:rsid w:val="00AD1FCD"/>
    <w:rsid w:val="00AE7D4C"/>
    <w:rsid w:val="00B047F3"/>
    <w:rsid w:val="00B049AA"/>
    <w:rsid w:val="00B05840"/>
    <w:rsid w:val="00B106F0"/>
    <w:rsid w:val="00B12379"/>
    <w:rsid w:val="00B16E66"/>
    <w:rsid w:val="00B20674"/>
    <w:rsid w:val="00B76200"/>
    <w:rsid w:val="00B81AF8"/>
    <w:rsid w:val="00B86C84"/>
    <w:rsid w:val="00BB078E"/>
    <w:rsid w:val="00BC3F91"/>
    <w:rsid w:val="00BE0D76"/>
    <w:rsid w:val="00BE72CE"/>
    <w:rsid w:val="00C14C24"/>
    <w:rsid w:val="00C23485"/>
    <w:rsid w:val="00C268A9"/>
    <w:rsid w:val="00C33FB0"/>
    <w:rsid w:val="00C50E7A"/>
    <w:rsid w:val="00C55188"/>
    <w:rsid w:val="00C6566E"/>
    <w:rsid w:val="00C666D0"/>
    <w:rsid w:val="00C93FB7"/>
    <w:rsid w:val="00C95569"/>
    <w:rsid w:val="00CA57A7"/>
    <w:rsid w:val="00CB4A16"/>
    <w:rsid w:val="00CC7332"/>
    <w:rsid w:val="00CC739F"/>
    <w:rsid w:val="00CE3C1A"/>
    <w:rsid w:val="00CF10F3"/>
    <w:rsid w:val="00D01DF2"/>
    <w:rsid w:val="00D032FF"/>
    <w:rsid w:val="00D06B38"/>
    <w:rsid w:val="00D24762"/>
    <w:rsid w:val="00D52BBA"/>
    <w:rsid w:val="00D53378"/>
    <w:rsid w:val="00D62950"/>
    <w:rsid w:val="00D643A9"/>
    <w:rsid w:val="00D718FC"/>
    <w:rsid w:val="00D743FE"/>
    <w:rsid w:val="00D8204D"/>
    <w:rsid w:val="00D828B1"/>
    <w:rsid w:val="00D855A2"/>
    <w:rsid w:val="00D87537"/>
    <w:rsid w:val="00D92A5F"/>
    <w:rsid w:val="00DB5785"/>
    <w:rsid w:val="00DB57DE"/>
    <w:rsid w:val="00DE77CD"/>
    <w:rsid w:val="00DF3BE5"/>
    <w:rsid w:val="00E5249F"/>
    <w:rsid w:val="00E553E4"/>
    <w:rsid w:val="00E56E97"/>
    <w:rsid w:val="00E6036B"/>
    <w:rsid w:val="00E67DCD"/>
    <w:rsid w:val="00E822D7"/>
    <w:rsid w:val="00E840EE"/>
    <w:rsid w:val="00E92847"/>
    <w:rsid w:val="00E94BE6"/>
    <w:rsid w:val="00EB1B28"/>
    <w:rsid w:val="00ED2BEE"/>
    <w:rsid w:val="00ED5C31"/>
    <w:rsid w:val="00EE6C4E"/>
    <w:rsid w:val="00F12A30"/>
    <w:rsid w:val="00F314FC"/>
    <w:rsid w:val="00F31FBD"/>
    <w:rsid w:val="00F4328E"/>
    <w:rsid w:val="00F45B31"/>
    <w:rsid w:val="00F45E22"/>
    <w:rsid w:val="00F47985"/>
    <w:rsid w:val="00F8015F"/>
    <w:rsid w:val="00FA218C"/>
    <w:rsid w:val="00FC1BC5"/>
    <w:rsid w:val="00FD28F4"/>
    <w:rsid w:val="00FD7D11"/>
    <w:rsid w:val="00FE5AA7"/>
    <w:rsid w:val="00FF0437"/>
    <w:rsid w:val="00FF635F"/>
    <w:rsid w:val="02A03BC8"/>
    <w:rsid w:val="13960098"/>
    <w:rsid w:val="2CFB4167"/>
    <w:rsid w:val="2E042A18"/>
    <w:rsid w:val="31005DFF"/>
    <w:rsid w:val="46575DFF"/>
    <w:rsid w:val="4B317146"/>
    <w:rsid w:val="5B9650A4"/>
    <w:rsid w:val="6A2E6691"/>
    <w:rsid w:val="6B774943"/>
    <w:rsid w:val="7EC12B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7"/>
    <w:qFormat/>
    <w:uiPriority w:val="9"/>
    <w:pPr>
      <w:keepNext/>
      <w:keepLines/>
      <w:spacing w:before="340" w:after="330" w:line="578" w:lineRule="auto"/>
      <w:outlineLvl w:val="0"/>
    </w:pPr>
    <w:rPr>
      <w:b/>
      <w:bCs/>
      <w:kern w:val="44"/>
      <w:sz w:val="44"/>
      <w:szCs w:val="44"/>
    </w:rPr>
  </w:style>
  <w:style w:type="paragraph" w:styleId="3">
    <w:name w:val="heading 3"/>
    <w:basedOn w:val="1"/>
    <w:next w:val="1"/>
    <w:link w:val="16"/>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character" w:default="1" w:styleId="12">
    <w:name w:val="Default Paragraph Font"/>
    <w:semiHidden/>
    <w:unhideWhenUsed/>
    <w:uiPriority w:val="1"/>
  </w:style>
  <w:style w:type="table" w:default="1" w:styleId="11">
    <w:name w:val="Normal Table"/>
    <w:semiHidden/>
    <w:unhideWhenUsed/>
    <w:uiPriority w:val="99"/>
    <w:tblPr>
      <w:tblLayout w:type="fixed"/>
      <w:tblCellMar>
        <w:top w:w="0" w:type="dxa"/>
        <w:left w:w="108" w:type="dxa"/>
        <w:bottom w:w="0" w:type="dxa"/>
        <w:right w:w="108" w:type="dxa"/>
      </w:tblCellMar>
    </w:tblPr>
  </w:style>
  <w:style w:type="paragraph" w:styleId="4">
    <w:name w:val="annotation text"/>
    <w:basedOn w:val="1"/>
    <w:link w:val="23"/>
    <w:semiHidden/>
    <w:unhideWhenUsed/>
    <w:qFormat/>
    <w:uiPriority w:val="99"/>
    <w:pPr>
      <w:jc w:val="left"/>
    </w:pPr>
  </w:style>
  <w:style w:type="paragraph" w:styleId="5">
    <w:name w:val="Balloon Text"/>
    <w:basedOn w:val="1"/>
    <w:link w:val="20"/>
    <w:semiHidden/>
    <w:unhideWhenUsed/>
    <w:qFormat/>
    <w:uiPriority w:val="99"/>
    <w:rPr>
      <w:sz w:val="18"/>
      <w:szCs w:val="18"/>
    </w:rPr>
  </w:style>
  <w:style w:type="paragraph" w:styleId="6">
    <w:name w:val="footer"/>
    <w:basedOn w:val="1"/>
    <w:link w:val="19"/>
    <w:unhideWhenUsed/>
    <w:qFormat/>
    <w:uiPriority w:val="99"/>
    <w:pPr>
      <w:tabs>
        <w:tab w:val="center" w:pos="4153"/>
        <w:tab w:val="right" w:pos="8306"/>
      </w:tabs>
      <w:snapToGrid w:val="0"/>
      <w:jc w:val="left"/>
    </w:pPr>
    <w:rPr>
      <w:sz w:val="18"/>
      <w:szCs w:val="18"/>
    </w:rPr>
  </w:style>
  <w:style w:type="paragraph" w:styleId="7">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toc 1"/>
    <w:basedOn w:val="1"/>
    <w:next w:val="1"/>
    <w:unhideWhenUsed/>
    <w:qFormat/>
    <w:uiPriority w:val="39"/>
  </w:style>
  <w:style w:type="paragraph" w:styleId="9">
    <w:name w:val="toc 2"/>
    <w:basedOn w:val="1"/>
    <w:next w:val="1"/>
    <w:unhideWhenUsed/>
    <w:qFormat/>
    <w:uiPriority w:val="39"/>
    <w:pPr>
      <w:ind w:left="420" w:leftChars="200"/>
    </w:pPr>
  </w:style>
  <w:style w:type="paragraph" w:styleId="10">
    <w:name w:val="annotation subject"/>
    <w:basedOn w:val="4"/>
    <w:next w:val="4"/>
    <w:link w:val="24"/>
    <w:semiHidden/>
    <w:unhideWhenUsed/>
    <w:qFormat/>
    <w:uiPriority w:val="99"/>
    <w:rPr>
      <w:b/>
      <w:bCs/>
    </w:rPr>
  </w:style>
  <w:style w:type="character" w:styleId="13">
    <w:name w:val="FollowedHyperlink"/>
    <w:basedOn w:val="12"/>
    <w:semiHidden/>
    <w:unhideWhenUsed/>
    <w:qFormat/>
    <w:uiPriority w:val="99"/>
    <w:rPr>
      <w:color w:val="800080"/>
      <w:u w:val="single"/>
    </w:rPr>
  </w:style>
  <w:style w:type="character" w:styleId="14">
    <w:name w:val="Hyperlink"/>
    <w:basedOn w:val="12"/>
    <w:unhideWhenUsed/>
    <w:qFormat/>
    <w:uiPriority w:val="99"/>
    <w:rPr>
      <w:color w:val="0563C1" w:themeColor="hyperlink"/>
      <w:u w:val="single"/>
      <w14:textFill>
        <w14:solidFill>
          <w14:schemeClr w14:val="hlink"/>
        </w14:solidFill>
      </w14:textFill>
    </w:rPr>
  </w:style>
  <w:style w:type="character" w:styleId="15">
    <w:name w:val="annotation reference"/>
    <w:basedOn w:val="12"/>
    <w:semiHidden/>
    <w:unhideWhenUsed/>
    <w:qFormat/>
    <w:uiPriority w:val="99"/>
    <w:rPr>
      <w:sz w:val="21"/>
      <w:szCs w:val="21"/>
    </w:rPr>
  </w:style>
  <w:style w:type="character" w:customStyle="1" w:styleId="16">
    <w:name w:val="标题 3 字符"/>
    <w:basedOn w:val="12"/>
    <w:link w:val="3"/>
    <w:qFormat/>
    <w:uiPriority w:val="9"/>
    <w:rPr>
      <w:rFonts w:ascii="宋体" w:hAnsi="宋体" w:eastAsia="宋体" w:cs="宋体"/>
      <w:b/>
      <w:bCs/>
      <w:kern w:val="0"/>
      <w:sz w:val="27"/>
      <w:szCs w:val="27"/>
    </w:rPr>
  </w:style>
  <w:style w:type="character" w:customStyle="1" w:styleId="17">
    <w:name w:val="标题 1 字符"/>
    <w:basedOn w:val="12"/>
    <w:link w:val="2"/>
    <w:qFormat/>
    <w:uiPriority w:val="9"/>
    <w:rPr>
      <w:b/>
      <w:bCs/>
      <w:kern w:val="44"/>
      <w:sz w:val="44"/>
      <w:szCs w:val="44"/>
    </w:rPr>
  </w:style>
  <w:style w:type="character" w:customStyle="1" w:styleId="18">
    <w:name w:val="页眉 字符"/>
    <w:basedOn w:val="12"/>
    <w:link w:val="7"/>
    <w:qFormat/>
    <w:uiPriority w:val="99"/>
    <w:rPr>
      <w:sz w:val="18"/>
      <w:szCs w:val="18"/>
    </w:rPr>
  </w:style>
  <w:style w:type="character" w:customStyle="1" w:styleId="19">
    <w:name w:val="页脚 字符"/>
    <w:basedOn w:val="12"/>
    <w:link w:val="6"/>
    <w:qFormat/>
    <w:uiPriority w:val="99"/>
    <w:rPr>
      <w:sz w:val="18"/>
      <w:szCs w:val="18"/>
    </w:rPr>
  </w:style>
  <w:style w:type="character" w:customStyle="1" w:styleId="20">
    <w:name w:val="批注框文本 字符"/>
    <w:basedOn w:val="12"/>
    <w:link w:val="5"/>
    <w:semiHidden/>
    <w:qFormat/>
    <w:uiPriority w:val="99"/>
    <w:rPr>
      <w:sz w:val="18"/>
      <w:szCs w:val="18"/>
    </w:rPr>
  </w:style>
  <w:style w:type="paragraph" w:customStyle="1" w:styleId="21">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paragraph" w:styleId="22">
    <w:name w:val="List Paragraph"/>
    <w:basedOn w:val="1"/>
    <w:qFormat/>
    <w:uiPriority w:val="34"/>
    <w:pPr>
      <w:ind w:firstLine="420" w:firstLineChars="200"/>
    </w:pPr>
  </w:style>
  <w:style w:type="character" w:customStyle="1" w:styleId="23">
    <w:name w:val="批注文字 字符"/>
    <w:basedOn w:val="12"/>
    <w:link w:val="4"/>
    <w:semiHidden/>
    <w:qFormat/>
    <w:uiPriority w:val="99"/>
  </w:style>
  <w:style w:type="character" w:customStyle="1" w:styleId="24">
    <w:name w:val="批注主题 字符"/>
    <w:basedOn w:val="23"/>
    <w:link w:val="10"/>
    <w:semiHidden/>
    <w:qFormat/>
    <w:uiPriority w:val="99"/>
    <w:rPr>
      <w:b/>
      <w:bCs/>
    </w:rPr>
  </w:style>
  <w:style w:type="paragraph" w:customStyle="1" w:styleId="25">
    <w:name w:val="font5"/>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26">
    <w:name w:val="font6"/>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27">
    <w:name w:val="xl65"/>
    <w:basedOn w:val="1"/>
    <w:qFormat/>
    <w:uiPriority w:val="0"/>
    <w:pPr>
      <w:widowControl/>
      <w:spacing w:before="100" w:beforeAutospacing="1" w:after="100" w:afterAutospacing="1"/>
      <w:jc w:val="left"/>
      <w:textAlignment w:val="center"/>
    </w:pPr>
    <w:rPr>
      <w:rFonts w:ascii="宋体" w:hAnsi="宋体" w:eastAsia="宋体" w:cs="宋体"/>
      <w:kern w:val="0"/>
      <w:sz w:val="20"/>
      <w:szCs w:val="20"/>
    </w:rPr>
  </w:style>
  <w:style w:type="paragraph" w:customStyle="1" w:styleId="28">
    <w:name w:val="xl66"/>
    <w:basedOn w:val="1"/>
    <w:qFormat/>
    <w:uiPriority w:val="0"/>
    <w:pPr>
      <w:widowControl/>
      <w:spacing w:before="100" w:beforeAutospacing="1" w:after="100" w:afterAutospacing="1"/>
      <w:jc w:val="left"/>
      <w:textAlignment w:val="center"/>
    </w:pPr>
    <w:rPr>
      <w:rFonts w:ascii="宋体" w:hAnsi="宋体" w:eastAsia="宋体" w:cs="宋体"/>
      <w:kern w:val="0"/>
      <w:sz w:val="20"/>
      <w:szCs w:val="20"/>
    </w:rPr>
  </w:style>
  <w:style w:type="paragraph" w:customStyle="1" w:styleId="29">
    <w:name w:val="xl67"/>
    <w:basedOn w:val="1"/>
    <w:qFormat/>
    <w:uiPriority w:val="0"/>
    <w:pPr>
      <w:widowControl/>
      <w:spacing w:before="100" w:beforeAutospacing="1" w:after="100" w:afterAutospacing="1"/>
      <w:jc w:val="center"/>
      <w:textAlignment w:val="center"/>
    </w:pPr>
    <w:rPr>
      <w:rFonts w:ascii="宋体" w:hAnsi="宋体" w:eastAsia="宋体" w:cs="宋体"/>
      <w:kern w:val="0"/>
      <w:sz w:val="20"/>
      <w:szCs w:val="20"/>
    </w:rPr>
  </w:style>
  <w:style w:type="paragraph" w:customStyle="1" w:styleId="30">
    <w:name w:val="xl68"/>
    <w:basedOn w:val="1"/>
    <w:qFormat/>
    <w:uiPriority w:val="0"/>
    <w:pPr>
      <w:widowControl/>
      <w:shd w:val="clear" w:color="000000" w:fill="FFFFFF"/>
      <w:spacing w:before="100" w:beforeAutospacing="1" w:after="100" w:afterAutospacing="1"/>
      <w:jc w:val="left"/>
      <w:textAlignment w:val="center"/>
    </w:pPr>
    <w:rPr>
      <w:rFonts w:ascii="宋体" w:hAnsi="宋体" w:eastAsia="宋体" w:cs="宋体"/>
      <w:kern w:val="0"/>
      <w:sz w:val="20"/>
      <w:szCs w:val="20"/>
    </w:rPr>
  </w:style>
  <w:style w:type="paragraph" w:customStyle="1" w:styleId="31">
    <w:name w:val="xl69"/>
    <w:basedOn w:val="1"/>
    <w:qFormat/>
    <w:uiPriority w:val="0"/>
    <w:pPr>
      <w:widowControl/>
      <w:spacing w:before="100" w:beforeAutospacing="1" w:after="100" w:afterAutospacing="1"/>
      <w:jc w:val="left"/>
      <w:textAlignment w:val="center"/>
    </w:pPr>
    <w:rPr>
      <w:rFonts w:ascii="宋体" w:hAnsi="宋体" w:eastAsia="宋体" w:cs="宋体"/>
      <w:kern w:val="0"/>
      <w:sz w:val="20"/>
      <w:szCs w:val="20"/>
    </w:rPr>
  </w:style>
  <w:style w:type="paragraph" w:customStyle="1" w:styleId="32">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b/>
      <w:bCs/>
      <w:kern w:val="0"/>
      <w:sz w:val="24"/>
      <w:szCs w:val="24"/>
    </w:rPr>
  </w:style>
  <w:style w:type="paragraph" w:customStyle="1" w:styleId="33">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kern w:val="0"/>
      <w:sz w:val="24"/>
      <w:szCs w:val="24"/>
    </w:rPr>
  </w:style>
  <w:style w:type="paragraph" w:customStyle="1" w:styleId="34">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kern w:val="0"/>
      <w:sz w:val="24"/>
      <w:szCs w:val="24"/>
    </w:rPr>
  </w:style>
  <w:style w:type="paragraph" w:customStyle="1" w:styleId="35">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eastAsia="宋体" w:cs="宋体"/>
      <w:kern w:val="0"/>
      <w:sz w:val="24"/>
      <w:szCs w:val="24"/>
    </w:rPr>
  </w:style>
  <w:style w:type="paragraph" w:customStyle="1" w:styleId="36">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kern w:val="0"/>
      <w:sz w:val="24"/>
      <w:szCs w:val="24"/>
    </w:rPr>
  </w:style>
  <w:style w:type="paragraph" w:customStyle="1" w:styleId="37">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eastAsia="宋体" w:cs="宋体"/>
      <w:kern w:val="0"/>
      <w:sz w:val="24"/>
      <w:szCs w:val="24"/>
    </w:rPr>
  </w:style>
  <w:style w:type="paragraph" w:customStyle="1" w:styleId="38">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eastAsia="宋体" w:cs="宋体"/>
      <w:kern w:val="0"/>
      <w:sz w:val="24"/>
      <w:szCs w:val="24"/>
    </w:rPr>
  </w:style>
  <w:style w:type="paragraph" w:customStyle="1" w:styleId="39">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eastAsia="宋体" w:cs="宋体"/>
      <w:b/>
      <w:bCs/>
      <w:kern w:val="0"/>
      <w:sz w:val="24"/>
      <w:szCs w:val="24"/>
    </w:rPr>
  </w:style>
  <w:style w:type="paragraph" w:customStyle="1" w:styleId="40">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kern w:val="0"/>
      <w:sz w:val="24"/>
      <w:szCs w:val="24"/>
    </w:rPr>
  </w:style>
  <w:style w:type="paragraph" w:customStyle="1" w:styleId="41">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b/>
      <w:bCs/>
      <w:kern w:val="0"/>
      <w:sz w:val="24"/>
      <w:szCs w:val="24"/>
    </w:rPr>
  </w:style>
  <w:style w:type="paragraph" w:customStyle="1" w:styleId="42">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kern w:val="0"/>
      <w:sz w:val="24"/>
      <w:szCs w:val="24"/>
    </w:rPr>
  </w:style>
  <w:style w:type="paragraph" w:customStyle="1" w:styleId="43">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eastAsia="宋体" w:cs="宋体"/>
      <w:kern w:val="0"/>
      <w:sz w:val="24"/>
      <w:szCs w:val="24"/>
    </w:rPr>
  </w:style>
  <w:style w:type="paragraph" w:customStyle="1" w:styleId="44">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kern w:val="0"/>
      <w:sz w:val="24"/>
      <w:szCs w:val="24"/>
    </w:rPr>
  </w:style>
  <w:style w:type="paragraph" w:customStyle="1" w:styleId="45">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eastAsia="宋体" w:cs="宋体"/>
      <w:kern w:val="0"/>
      <w:sz w:val="24"/>
      <w:szCs w:val="24"/>
    </w:rPr>
  </w:style>
  <w:style w:type="paragraph" w:customStyle="1" w:styleId="46">
    <w:name w:val="xl84"/>
    <w:basedOn w:val="1"/>
    <w:qFormat/>
    <w:uiPriority w:val="0"/>
    <w:pPr>
      <w:widowControl/>
      <w:pBdr>
        <w:bottom w:val="single" w:color="auto" w:sz="4" w:space="0"/>
      </w:pBdr>
      <w:spacing w:before="100" w:beforeAutospacing="1" w:after="100" w:afterAutospacing="1"/>
      <w:jc w:val="center"/>
      <w:textAlignment w:val="center"/>
    </w:pPr>
    <w:rPr>
      <w:rFonts w:ascii="宋体" w:hAnsi="宋体" w:eastAsia="宋体" w:cs="宋体"/>
      <w:b/>
      <w:bCs/>
      <w:kern w:val="0"/>
      <w:sz w:val="28"/>
      <w:szCs w:val="28"/>
    </w:rPr>
  </w:style>
  <w:style w:type="paragraph" w:customStyle="1" w:styleId="47">
    <w:name w:val="xl8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eastAsia="宋体" w:cs="宋体"/>
      <w:kern w:val="0"/>
      <w:sz w:val="24"/>
      <w:szCs w:val="24"/>
    </w:rPr>
  </w:style>
  <w:style w:type="paragraph" w:customStyle="1" w:styleId="48">
    <w:name w:val="xl86"/>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eastAsia="宋体" w:cs="宋体"/>
      <w:kern w:val="0"/>
      <w:sz w:val="24"/>
      <w:szCs w:val="24"/>
    </w:rPr>
  </w:style>
  <w:style w:type="paragraph" w:customStyle="1" w:styleId="49">
    <w:name w:val="xl8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kern w:val="0"/>
      <w:sz w:val="24"/>
      <w:szCs w:val="24"/>
    </w:rPr>
  </w:style>
  <w:style w:type="paragraph" w:customStyle="1" w:styleId="50">
    <w:name w:val="xl88"/>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eastAsia="宋体" w:cs="宋体"/>
      <w:kern w:val="0"/>
      <w:sz w:val="24"/>
      <w:szCs w:val="24"/>
    </w:rPr>
  </w:style>
  <w:style w:type="paragraph" w:customStyle="1" w:styleId="51">
    <w:name w:val="xl89"/>
    <w:basedOn w:val="1"/>
    <w:qFormat/>
    <w:uiPriority w:val="0"/>
    <w:pPr>
      <w:widowControl/>
      <w:pBdr>
        <w:top w:val="single" w:color="auto" w:sz="4" w:space="0"/>
        <w:bottom w:val="single" w:color="auto" w:sz="4" w:space="0"/>
      </w:pBdr>
      <w:spacing w:before="100" w:beforeAutospacing="1" w:after="100" w:afterAutospacing="1"/>
      <w:jc w:val="left"/>
      <w:textAlignment w:val="center"/>
    </w:pPr>
    <w:rPr>
      <w:rFonts w:ascii="宋体" w:hAnsi="宋体" w:eastAsia="宋体" w:cs="宋体"/>
      <w:kern w:val="0"/>
      <w:sz w:val="24"/>
      <w:szCs w:val="24"/>
    </w:rPr>
  </w:style>
  <w:style w:type="paragraph" w:customStyle="1" w:styleId="52">
    <w:name w:val="xl90"/>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eastAsia="宋体" w:cs="宋体"/>
      <w:kern w:val="0"/>
      <w:sz w:val="24"/>
      <w:szCs w:val="24"/>
    </w:rPr>
  </w:style>
  <w:style w:type="paragraph" w:customStyle="1" w:styleId="53">
    <w:name w:val="xl91"/>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eastAsia="宋体" w:cs="宋体"/>
      <w:kern w:val="0"/>
      <w:sz w:val="24"/>
      <w:szCs w:val="24"/>
    </w:rPr>
  </w:style>
  <w:style w:type="paragraph" w:customStyle="1" w:styleId="54">
    <w:name w:val="xl92"/>
    <w:basedOn w:val="1"/>
    <w:qFormat/>
    <w:uiPriority w:val="0"/>
    <w:pPr>
      <w:widowControl/>
      <w:pBdr>
        <w:top w:val="single" w:color="auto" w:sz="4" w:space="0"/>
        <w:bottom w:val="single" w:color="auto" w:sz="4" w:space="0"/>
      </w:pBdr>
      <w:spacing w:before="100" w:beforeAutospacing="1" w:after="100" w:afterAutospacing="1"/>
      <w:jc w:val="left"/>
      <w:textAlignment w:val="center"/>
    </w:pPr>
    <w:rPr>
      <w:rFonts w:ascii="宋体" w:hAnsi="宋体" w:eastAsia="宋体" w:cs="宋体"/>
      <w:kern w:val="0"/>
      <w:sz w:val="24"/>
      <w:szCs w:val="24"/>
    </w:rPr>
  </w:style>
  <w:style w:type="paragraph" w:customStyle="1" w:styleId="55">
    <w:name w:val="xl93"/>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eastAsia="宋体" w:cs="宋体"/>
      <w:kern w:val="0"/>
      <w:sz w:val="24"/>
      <w:szCs w:val="24"/>
    </w:rPr>
  </w:style>
  <w:style w:type="paragraph" w:customStyle="1" w:styleId="56">
    <w:name w:val="xl9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eastAsia="宋体" w:cs="宋体"/>
      <w:b/>
      <w:bCs/>
      <w:kern w:val="0"/>
      <w:sz w:val="24"/>
      <w:szCs w:val="24"/>
    </w:rPr>
  </w:style>
  <w:style w:type="paragraph" w:customStyle="1" w:styleId="57">
    <w:name w:val="xl95"/>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eastAsia="宋体" w:cs="宋体"/>
      <w:b/>
      <w:bCs/>
      <w:kern w:val="0"/>
      <w:sz w:val="24"/>
      <w:szCs w:val="24"/>
    </w:rPr>
  </w:style>
  <w:style w:type="paragraph" w:customStyle="1" w:styleId="58">
    <w:name w:val="xl96"/>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eastAsia="宋体" w:cs="宋体"/>
      <w:b/>
      <w:bCs/>
      <w:kern w:val="0"/>
      <w:sz w:val="24"/>
      <w:szCs w:val="24"/>
    </w:rPr>
  </w:style>
  <w:style w:type="paragraph" w:customStyle="1" w:styleId="59">
    <w:name w:val="xl9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eastAsia="宋体" w:cs="宋体"/>
      <w:b/>
      <w:bCs/>
      <w:kern w:val="0"/>
      <w:sz w:val="24"/>
      <w:szCs w:val="24"/>
    </w:rPr>
  </w:style>
  <w:style w:type="paragraph" w:customStyle="1" w:styleId="60">
    <w:name w:val="xl98"/>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eastAsia="宋体" w:cs="宋体"/>
      <w:b/>
      <w:bCs/>
      <w:kern w:val="0"/>
      <w:sz w:val="24"/>
      <w:szCs w:val="24"/>
    </w:rPr>
  </w:style>
  <w:style w:type="paragraph" w:customStyle="1" w:styleId="61">
    <w:name w:val="xl9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b/>
      <w:bCs/>
      <w:kern w:val="0"/>
      <w:sz w:val="24"/>
      <w:szCs w:val="24"/>
    </w:rPr>
  </w:style>
  <w:style w:type="paragraph" w:customStyle="1" w:styleId="62">
    <w:name w:val="xl10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eastAsia="宋体" w:cs="宋体"/>
      <w:kern w:val="0"/>
      <w:sz w:val="24"/>
      <w:szCs w:val="24"/>
    </w:rPr>
  </w:style>
  <w:style w:type="paragraph" w:customStyle="1" w:styleId="63">
    <w:name w:val="xl101"/>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eastAsia="宋体" w:cs="宋体"/>
      <w:kern w:val="0"/>
      <w:sz w:val="24"/>
      <w:szCs w:val="24"/>
    </w:rPr>
  </w:style>
  <w:style w:type="paragraph" w:customStyle="1" w:styleId="64">
    <w:name w:val="xl10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eastAsia="宋体" w:cs="宋体"/>
      <w:kern w:val="0"/>
      <w:sz w:val="24"/>
      <w:szCs w:val="24"/>
    </w:rPr>
  </w:style>
  <w:style w:type="paragraph" w:customStyle="1" w:styleId="65">
    <w:name w:val="xl103"/>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eastAsia="宋体" w:cs="宋体"/>
      <w:kern w:val="0"/>
      <w:sz w:val="24"/>
      <w:szCs w:val="24"/>
    </w:rPr>
  </w:style>
  <w:style w:type="paragraph" w:customStyle="1" w:styleId="66">
    <w:name w:val="xl104"/>
    <w:basedOn w:val="1"/>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eastAsia="宋体" w:cs="宋体"/>
      <w:kern w:val="0"/>
      <w:sz w:val="24"/>
      <w:szCs w:val="24"/>
    </w:rPr>
  </w:style>
  <w:style w:type="paragraph" w:customStyle="1" w:styleId="67">
    <w:name w:val="xl105"/>
    <w:basedOn w:val="1"/>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eastAsia="宋体" w:cs="宋体"/>
      <w:kern w:val="0"/>
      <w:sz w:val="24"/>
      <w:szCs w:val="24"/>
    </w:rPr>
  </w:style>
  <w:style w:type="paragraph" w:customStyle="1" w:styleId="68">
    <w:name w:val="xl106"/>
    <w:basedOn w:val="1"/>
    <w:qFormat/>
    <w:uiPriority w:val="0"/>
    <w:pPr>
      <w:widowControl/>
      <w:pBdr>
        <w:top w:val="single" w:color="auto" w:sz="4" w:space="0"/>
        <w:bottom w:val="single" w:color="auto" w:sz="4" w:space="0"/>
      </w:pBdr>
      <w:spacing w:before="100" w:beforeAutospacing="1" w:after="100" w:afterAutospacing="1"/>
      <w:jc w:val="left"/>
      <w:textAlignment w:val="center"/>
    </w:pPr>
    <w:rPr>
      <w:rFonts w:ascii="宋体" w:hAnsi="宋体" w:eastAsia="宋体" w:cs="宋体"/>
      <w:kern w:val="0"/>
      <w:sz w:val="24"/>
      <w:szCs w:val="24"/>
    </w:rPr>
  </w:style>
  <w:style w:type="paragraph" w:customStyle="1" w:styleId="69">
    <w:name w:val="xl107"/>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eastAsia="宋体" w:cs="宋体"/>
      <w:kern w:val="0"/>
      <w:sz w:val="24"/>
      <w:szCs w:val="24"/>
    </w:rPr>
  </w:style>
  <w:style w:type="paragraph" w:customStyle="1" w:styleId="70">
    <w:name w:val="xl108"/>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hAnsi="宋体" w:eastAsia="宋体" w:cs="宋体"/>
      <w:b/>
      <w:bCs/>
      <w:kern w:val="0"/>
      <w:sz w:val="24"/>
      <w:szCs w:val="24"/>
    </w:rPr>
  </w:style>
  <w:style w:type="paragraph" w:customStyle="1" w:styleId="71">
    <w:name w:val="xl109"/>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b/>
      <w:bCs/>
      <w:kern w:val="0"/>
      <w:sz w:val="24"/>
      <w:szCs w:val="24"/>
    </w:rPr>
  </w:style>
  <w:style w:type="paragraph" w:customStyle="1" w:styleId="72">
    <w:name w:val="xl110"/>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eastAsia="宋体" w:cs="宋体"/>
      <w:kern w:val="0"/>
      <w:sz w:val="24"/>
      <w:szCs w:val="24"/>
    </w:rPr>
  </w:style>
  <w:style w:type="paragraph" w:customStyle="1" w:styleId="73">
    <w:name w:val="xl111"/>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eastAsia="宋体" w:cs="宋体"/>
      <w:kern w:val="0"/>
      <w:sz w:val="24"/>
      <w:szCs w:val="24"/>
    </w:rPr>
  </w:style>
  <w:style w:type="paragraph" w:customStyle="1" w:styleId="74">
    <w:name w:val="xl112"/>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kern w:val="0"/>
      <w:sz w:val="24"/>
      <w:szCs w:val="24"/>
    </w:rPr>
  </w:style>
  <w:style w:type="paragraph" w:customStyle="1" w:styleId="75">
    <w:name w:val="xl113"/>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eastAsia="宋体" w:cs="宋体"/>
      <w:b/>
      <w:bCs/>
      <w:kern w:val="0"/>
      <w:sz w:val="24"/>
      <w:szCs w:val="24"/>
    </w:rPr>
  </w:style>
  <w:style w:type="paragraph" w:customStyle="1" w:styleId="76">
    <w:name w:val="xl114"/>
    <w:basedOn w:val="1"/>
    <w:qFormat/>
    <w:uiPriority w:val="0"/>
    <w:pPr>
      <w:widowControl/>
      <w:pBdr>
        <w:top w:val="single" w:color="auto" w:sz="4" w:space="0"/>
        <w:bottom w:val="single" w:color="auto" w:sz="4" w:space="0"/>
      </w:pBdr>
      <w:spacing w:before="100" w:beforeAutospacing="1" w:after="100" w:afterAutospacing="1"/>
      <w:jc w:val="left"/>
      <w:textAlignment w:val="center"/>
    </w:pPr>
    <w:rPr>
      <w:rFonts w:ascii="宋体" w:hAnsi="宋体" w:eastAsia="宋体" w:cs="宋体"/>
      <w:b/>
      <w:bCs/>
      <w:kern w:val="0"/>
      <w:sz w:val="24"/>
      <w:szCs w:val="24"/>
    </w:rPr>
  </w:style>
  <w:style w:type="paragraph" w:customStyle="1" w:styleId="77">
    <w:name w:val="xl115"/>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eastAsia="宋体" w:cs="宋体"/>
      <w:b/>
      <w:bCs/>
      <w:kern w:val="0"/>
      <w:sz w:val="24"/>
      <w:szCs w:val="24"/>
    </w:rPr>
  </w:style>
  <w:style w:type="paragraph" w:customStyle="1" w:styleId="78">
    <w:name w:val="xl116"/>
    <w:basedOn w:val="1"/>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eastAsia="宋体" w:cs="宋体"/>
      <w:kern w:val="0"/>
      <w:sz w:val="24"/>
      <w:szCs w:val="24"/>
    </w:rPr>
  </w:style>
  <w:style w:type="paragraph" w:customStyle="1" w:styleId="79">
    <w:name w:val="xl117"/>
    <w:basedOn w:val="1"/>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eastAsia="宋体" w:cs="宋体"/>
      <w:kern w:val="0"/>
      <w:sz w:val="24"/>
      <w:szCs w:val="24"/>
    </w:rPr>
  </w:style>
  <w:style w:type="paragraph" w:customStyle="1" w:styleId="80">
    <w:name w:val="xl118"/>
    <w:basedOn w:val="1"/>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kern w:val="0"/>
      <w:sz w:val="24"/>
      <w:szCs w:val="24"/>
    </w:rPr>
  </w:style>
  <w:style w:type="paragraph" w:customStyle="1" w:styleId="81">
    <w:name w:val="xl119"/>
    <w:basedOn w:val="1"/>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eastAsia="宋体" w:cs="宋体"/>
      <w:b/>
      <w:bCs/>
      <w:kern w:val="0"/>
      <w:sz w:val="24"/>
      <w:szCs w:val="24"/>
    </w:rPr>
  </w:style>
  <w:style w:type="paragraph" w:customStyle="1" w:styleId="82">
    <w:name w:val="xl120"/>
    <w:basedOn w:val="1"/>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eastAsia="宋体" w:cs="宋体"/>
      <w:b/>
      <w:bCs/>
      <w:kern w:val="0"/>
      <w:sz w:val="24"/>
      <w:szCs w:val="24"/>
    </w:rPr>
  </w:style>
  <w:style w:type="paragraph" w:customStyle="1" w:styleId="83">
    <w:name w:val="xl121"/>
    <w:basedOn w:val="1"/>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eastAsia="宋体" w:cs="宋体"/>
      <w:b/>
      <w:bCs/>
      <w:kern w:val="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0CCF3D6-71DC-4F2F-9A69-B58156E39CF3}">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28</Pages>
  <Words>3036</Words>
  <Characters>17309</Characters>
  <Lines>144</Lines>
  <Paragraphs>40</Paragraphs>
  <TotalTime>1</TotalTime>
  <ScaleCrop>false</ScaleCrop>
  <LinksUpToDate>false</LinksUpToDate>
  <CharactersWithSpaces>20305</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2021-01-15T09:12:00Z</dcterms:created>
  <dc:creator>卢栋龙</dc:creator>
  <cp:lastModifiedBy>韦泽超(拟稿)</cp:lastModifiedBy>
  <cp:lastPrinted>2020-09-10T08:24:00Z</cp:lastPrinted>
  <dcterms:modified xsi:type="dcterms:W3CDTF">2021-01-21T03:21:35Z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ies>
</file>