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bCs/>
          <w:snapToGrid w:val="0"/>
          <w:kern w:val="0"/>
          <w:sz w:val="28"/>
          <w:szCs w:val="28"/>
        </w:rPr>
      </w:pPr>
      <w:r>
        <w:rPr>
          <w:rFonts w:ascii="黑体" w:hAnsi="黑体" w:eastAsia="黑体"/>
          <w:bCs/>
          <w:snapToGrid w:val="0"/>
          <w:kern w:val="0"/>
          <w:sz w:val="28"/>
          <w:szCs w:val="28"/>
        </w:rPr>
        <w:t>附件1</w:t>
      </w:r>
    </w:p>
    <w:p>
      <w:pPr>
        <w:spacing w:line="600" w:lineRule="exact"/>
        <w:jc w:val="center"/>
        <w:rPr>
          <w:rFonts w:ascii="Times New Roman" w:hAnsi="Times New Roman" w:eastAsia="方正小标宋简体"/>
          <w:snapToGrid w:val="0"/>
          <w:kern w:val="0"/>
          <w:sz w:val="44"/>
          <w:szCs w:val="44"/>
        </w:rPr>
      </w:pPr>
      <w:r>
        <w:rPr>
          <w:rFonts w:ascii="Times New Roman" w:hAnsi="Times New Roman" w:eastAsia="方正小标宋简体"/>
          <w:snapToGrid w:val="0"/>
          <w:kern w:val="0"/>
          <w:sz w:val="44"/>
          <w:szCs w:val="44"/>
        </w:rPr>
        <w:t>珠海市物业服务企业基础信息分数标准</w:t>
      </w:r>
    </w:p>
    <w:tbl>
      <w:tblPr>
        <w:tblStyle w:val="2"/>
        <w:tblW w:w="13162" w:type="dxa"/>
        <w:tblInd w:w="2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2370"/>
        <w:gridCol w:w="7584"/>
        <w:gridCol w:w="2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237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  <w:t>基础信息内容</w:t>
            </w:r>
          </w:p>
        </w:tc>
        <w:tc>
          <w:tcPr>
            <w:tcW w:w="758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  <w:t>内容与标准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  <w:t>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  <w:t>1</w:t>
            </w:r>
          </w:p>
        </w:tc>
        <w:tc>
          <w:tcPr>
            <w:tcW w:w="237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  <w:t>企业注册信息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  <w:t>（40分）</w:t>
            </w:r>
          </w:p>
        </w:tc>
        <w:tc>
          <w:tcPr>
            <w:tcW w:w="7584" w:type="dxa"/>
            <w:noWrap w:val="0"/>
            <w:vAlign w:val="center"/>
          </w:tcPr>
          <w:p>
            <w:pPr>
              <w:spacing w:line="500" w:lineRule="exact"/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  <w:t>按珠海市智慧物业管理服务平台设置，主要包括企业登记注册信息、物业服务规模等反映企业身份的信息，企业注册填报及时、完整、准确。每缺一项信息扣5分，发现一项虚假信息按5分标准双倍扣减。可累计扣分，最多可扣20分。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spacing w:line="500" w:lineRule="exact"/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  <w:t>以调查核实为准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6" w:hRule="atLeast"/>
        </w:trPr>
        <w:tc>
          <w:tcPr>
            <w:tcW w:w="88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  <w:t>2</w:t>
            </w:r>
          </w:p>
        </w:tc>
        <w:tc>
          <w:tcPr>
            <w:tcW w:w="237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  <w:t>物业项目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  <w:t>负责人信息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  <w:t>（40分）</w:t>
            </w:r>
          </w:p>
        </w:tc>
        <w:tc>
          <w:tcPr>
            <w:tcW w:w="7584" w:type="dxa"/>
            <w:noWrap w:val="0"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  <w:t>按珠海市智慧物业管理服务平台设置，主要包括物业项目负责人姓名、身份证明、上岗记录及其他有关履历的信息。每缺一项信息扣5分，发现一项虚假信息按5分标准双倍扣减。可累计扣分，最多可扣15分。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spacing w:line="500" w:lineRule="exact"/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  <w:t>以调查核实为准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88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  <w:t>3</w:t>
            </w:r>
          </w:p>
        </w:tc>
        <w:tc>
          <w:tcPr>
            <w:tcW w:w="237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  <w:t>物业项目信息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  <w:t>（20分）</w:t>
            </w:r>
          </w:p>
        </w:tc>
        <w:tc>
          <w:tcPr>
            <w:tcW w:w="7584" w:type="dxa"/>
            <w:noWrap w:val="0"/>
            <w:vAlign w:val="center"/>
          </w:tcPr>
          <w:p>
            <w:pPr>
              <w:spacing w:line="500" w:lineRule="exact"/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  <w:t>按珠海市智慧物业管理服务平台设置，主要包括物业管理面积、类型、从业人员总数等。每缺一项信息扣3分，发现一项虚假信息按3分标准双倍扣减。可累计扣分，最多可扣12分。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spacing w:line="500" w:lineRule="exact"/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napToGrid w:val="0"/>
                <w:kern w:val="0"/>
                <w:sz w:val="28"/>
                <w:szCs w:val="28"/>
              </w:rPr>
              <w:t>以调查核实为准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6D3189"/>
    <w:rsid w:val="4F37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2020-08-27T10:48:00Z</dcterms:created>
  <dc:creator>Administrator</dc:creator>
  <cp:lastModifiedBy>邝玉英</cp:lastModifiedBy>
  <dcterms:modified xsi:type="dcterms:W3CDTF">2020-08-27T10:56:49Z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