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73772">
      <w:pPr>
        <w:keepNext w:val="0"/>
        <w:keepLines w:val="0"/>
        <w:pageBreakBefore w:val="0"/>
        <w:kinsoku/>
        <w:wordWrap/>
        <w:overflowPunct/>
        <w:topLinePunct w:val="0"/>
        <w:autoSpaceDE/>
        <w:autoSpaceDN/>
        <w:bidi w:val="0"/>
        <w:spacing w:line="520" w:lineRule="exact"/>
        <w:jc w:val="center"/>
        <w:rPr>
          <w:rFonts w:ascii="黑体" w:hAnsi="黑体" w:eastAsia="黑体" w:cs="黑体"/>
          <w:sz w:val="44"/>
          <w:szCs w:val="44"/>
        </w:rPr>
      </w:pPr>
      <w:bookmarkStart w:id="1064" w:name="_GoBack"/>
      <w:bookmarkEnd w:id="1064"/>
    </w:p>
    <w:p w14:paraId="4B94CC82">
      <w:pPr>
        <w:pStyle w:val="2"/>
        <w:rPr>
          <w:rFonts w:ascii="黑体" w:hAnsi="黑体" w:eastAsia="黑体" w:cs="黑体"/>
          <w:sz w:val="44"/>
          <w:szCs w:val="44"/>
        </w:rPr>
      </w:pPr>
    </w:p>
    <w:p w14:paraId="136DE98A">
      <w:pPr>
        <w:pStyle w:val="2"/>
        <w:rPr>
          <w:rFonts w:ascii="黑体" w:hAnsi="黑体" w:eastAsia="黑体" w:cs="黑体"/>
          <w:sz w:val="44"/>
          <w:szCs w:val="44"/>
        </w:rPr>
      </w:pPr>
    </w:p>
    <w:p w14:paraId="3E0D77F0">
      <w:pPr>
        <w:keepNext w:val="0"/>
        <w:keepLines w:val="0"/>
        <w:pageBreakBefore w:val="0"/>
        <w:kinsoku/>
        <w:wordWrap/>
        <w:overflowPunct/>
        <w:topLinePunct w:val="0"/>
        <w:autoSpaceDE/>
        <w:autoSpaceDN/>
        <w:bidi w:val="0"/>
        <w:spacing w:line="520" w:lineRule="exact"/>
        <w:jc w:val="center"/>
        <w:rPr>
          <w:rFonts w:ascii="黑体" w:hAnsi="黑体" w:eastAsia="黑体" w:cs="黑体"/>
          <w:sz w:val="44"/>
          <w:szCs w:val="44"/>
        </w:rPr>
      </w:pPr>
    </w:p>
    <w:p w14:paraId="24DA29E1">
      <w:pPr>
        <w:keepNext w:val="0"/>
        <w:keepLines w:val="0"/>
        <w:pageBreakBefore w:val="0"/>
        <w:kinsoku/>
        <w:wordWrap/>
        <w:overflowPunct/>
        <w:topLinePunct w:val="0"/>
        <w:autoSpaceDE/>
        <w:autoSpaceDN/>
        <w:bidi w:val="0"/>
        <w:adjustRightInd w:val="0"/>
        <w:snapToGrid w:val="0"/>
        <w:spacing w:line="52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珠海市建筑节能与绿色建筑发展</w:t>
      </w:r>
    </w:p>
    <w:p w14:paraId="3FCAEB3B">
      <w:pPr>
        <w:keepNext w:val="0"/>
        <w:keepLines w:val="0"/>
        <w:pageBreakBefore w:val="0"/>
        <w:kinsoku/>
        <w:wordWrap/>
        <w:overflowPunct/>
        <w:topLinePunct w:val="0"/>
        <w:autoSpaceDE/>
        <w:autoSpaceDN/>
        <w:bidi w:val="0"/>
        <w:adjustRightInd w:val="0"/>
        <w:snapToGrid w:val="0"/>
        <w:spacing w:line="52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“十四五”规划</w:t>
      </w:r>
    </w:p>
    <w:p w14:paraId="058C72FC">
      <w:pPr>
        <w:pStyle w:val="2"/>
        <w:keepNext w:val="0"/>
        <w:keepLines w:val="0"/>
        <w:pageBreakBefore w:val="0"/>
        <w:kinsoku/>
        <w:wordWrap/>
        <w:overflowPunct/>
        <w:topLinePunct w:val="0"/>
        <w:autoSpaceDE/>
        <w:autoSpaceDN/>
        <w:bidi w:val="0"/>
        <w:spacing w:line="520" w:lineRule="exact"/>
        <w:rPr>
          <w:rFonts w:ascii="楷体" w:hAnsi="楷体" w:eastAsia="楷体" w:cs="楷体"/>
          <w:sz w:val="32"/>
          <w:szCs w:val="32"/>
        </w:rPr>
      </w:pPr>
    </w:p>
    <w:p w14:paraId="42685E19">
      <w:pPr>
        <w:pStyle w:val="2"/>
        <w:keepNext w:val="0"/>
        <w:keepLines w:val="0"/>
        <w:pageBreakBefore w:val="0"/>
        <w:kinsoku/>
        <w:wordWrap/>
        <w:overflowPunct/>
        <w:topLinePunct w:val="0"/>
        <w:autoSpaceDE/>
        <w:autoSpaceDN/>
        <w:bidi w:val="0"/>
        <w:spacing w:line="520" w:lineRule="exact"/>
        <w:ind w:left="0" w:leftChars="0"/>
        <w:rPr>
          <w:rFonts w:ascii="楷体" w:hAnsi="楷体" w:eastAsia="楷体" w:cs="楷体"/>
          <w:sz w:val="32"/>
          <w:szCs w:val="32"/>
        </w:rPr>
      </w:pPr>
    </w:p>
    <w:p w14:paraId="40BD8227">
      <w:pPr>
        <w:pStyle w:val="2"/>
        <w:keepNext w:val="0"/>
        <w:keepLines w:val="0"/>
        <w:pageBreakBefore w:val="0"/>
        <w:kinsoku/>
        <w:wordWrap/>
        <w:overflowPunct/>
        <w:topLinePunct w:val="0"/>
        <w:autoSpaceDE/>
        <w:autoSpaceDN/>
        <w:bidi w:val="0"/>
        <w:spacing w:line="520" w:lineRule="exact"/>
        <w:ind w:left="0" w:leftChars="0" w:firstLine="0" w:firstLineChars="0"/>
        <w:rPr>
          <w:rFonts w:ascii="楷体" w:hAnsi="楷体" w:eastAsia="楷体" w:cs="楷体"/>
          <w:sz w:val="32"/>
          <w:szCs w:val="32"/>
        </w:rPr>
      </w:pPr>
    </w:p>
    <w:p w14:paraId="1B975379">
      <w:pPr>
        <w:pStyle w:val="2"/>
        <w:keepNext w:val="0"/>
        <w:keepLines w:val="0"/>
        <w:pageBreakBefore w:val="0"/>
        <w:kinsoku/>
        <w:wordWrap/>
        <w:overflowPunct/>
        <w:topLinePunct w:val="0"/>
        <w:autoSpaceDE/>
        <w:autoSpaceDN/>
        <w:bidi w:val="0"/>
        <w:spacing w:line="520" w:lineRule="exact"/>
        <w:rPr>
          <w:rFonts w:ascii="楷体" w:hAnsi="楷体" w:eastAsia="楷体" w:cs="楷体"/>
          <w:sz w:val="32"/>
          <w:szCs w:val="32"/>
        </w:rPr>
      </w:pPr>
    </w:p>
    <w:p w14:paraId="4406C8D2">
      <w:pPr>
        <w:pStyle w:val="2"/>
        <w:keepNext w:val="0"/>
        <w:keepLines w:val="0"/>
        <w:pageBreakBefore w:val="0"/>
        <w:kinsoku/>
        <w:wordWrap/>
        <w:overflowPunct/>
        <w:topLinePunct w:val="0"/>
        <w:autoSpaceDE/>
        <w:autoSpaceDN/>
        <w:bidi w:val="0"/>
        <w:spacing w:line="520" w:lineRule="exact"/>
        <w:rPr>
          <w:rFonts w:ascii="楷体" w:hAnsi="楷体" w:eastAsia="楷体" w:cs="楷体"/>
          <w:sz w:val="32"/>
          <w:szCs w:val="32"/>
        </w:rPr>
      </w:pPr>
    </w:p>
    <w:p w14:paraId="60C51137">
      <w:pPr>
        <w:pStyle w:val="2"/>
        <w:keepNext w:val="0"/>
        <w:keepLines w:val="0"/>
        <w:pageBreakBefore w:val="0"/>
        <w:kinsoku/>
        <w:wordWrap/>
        <w:overflowPunct/>
        <w:topLinePunct w:val="0"/>
        <w:autoSpaceDE/>
        <w:autoSpaceDN/>
        <w:bidi w:val="0"/>
        <w:spacing w:line="520" w:lineRule="exact"/>
        <w:rPr>
          <w:rFonts w:ascii="楷体" w:hAnsi="楷体" w:eastAsia="楷体" w:cs="楷体"/>
          <w:sz w:val="32"/>
          <w:szCs w:val="32"/>
        </w:rPr>
      </w:pPr>
    </w:p>
    <w:p w14:paraId="4D880412">
      <w:pPr>
        <w:pStyle w:val="2"/>
        <w:keepNext w:val="0"/>
        <w:keepLines w:val="0"/>
        <w:pageBreakBefore w:val="0"/>
        <w:kinsoku/>
        <w:wordWrap/>
        <w:overflowPunct/>
        <w:topLinePunct w:val="0"/>
        <w:autoSpaceDE/>
        <w:autoSpaceDN/>
        <w:bidi w:val="0"/>
        <w:spacing w:line="520" w:lineRule="exact"/>
        <w:rPr>
          <w:rFonts w:ascii="楷体" w:hAnsi="楷体" w:eastAsia="楷体" w:cs="楷体"/>
          <w:sz w:val="32"/>
          <w:szCs w:val="32"/>
        </w:rPr>
      </w:pPr>
    </w:p>
    <w:p w14:paraId="301465C7">
      <w:pPr>
        <w:pStyle w:val="2"/>
        <w:keepNext w:val="0"/>
        <w:keepLines w:val="0"/>
        <w:pageBreakBefore w:val="0"/>
        <w:kinsoku/>
        <w:wordWrap/>
        <w:overflowPunct/>
        <w:topLinePunct w:val="0"/>
        <w:autoSpaceDE/>
        <w:autoSpaceDN/>
        <w:bidi w:val="0"/>
        <w:spacing w:line="520" w:lineRule="exact"/>
        <w:rPr>
          <w:rFonts w:ascii="楷体" w:hAnsi="楷体" w:eastAsia="楷体" w:cs="楷体"/>
          <w:sz w:val="32"/>
          <w:szCs w:val="32"/>
        </w:rPr>
      </w:pPr>
    </w:p>
    <w:p w14:paraId="0A70DECE">
      <w:pPr>
        <w:pStyle w:val="2"/>
        <w:keepNext w:val="0"/>
        <w:keepLines w:val="0"/>
        <w:pageBreakBefore w:val="0"/>
        <w:kinsoku/>
        <w:wordWrap/>
        <w:overflowPunct/>
        <w:topLinePunct w:val="0"/>
        <w:autoSpaceDE/>
        <w:autoSpaceDN/>
        <w:bidi w:val="0"/>
        <w:spacing w:line="520" w:lineRule="exact"/>
        <w:rPr>
          <w:rFonts w:ascii="楷体" w:hAnsi="楷体" w:eastAsia="楷体" w:cs="楷体"/>
          <w:sz w:val="32"/>
          <w:szCs w:val="32"/>
        </w:rPr>
      </w:pPr>
    </w:p>
    <w:p w14:paraId="242BEFD5">
      <w:pPr>
        <w:pStyle w:val="2"/>
        <w:keepNext w:val="0"/>
        <w:keepLines w:val="0"/>
        <w:pageBreakBefore w:val="0"/>
        <w:kinsoku/>
        <w:wordWrap/>
        <w:overflowPunct/>
        <w:topLinePunct w:val="0"/>
        <w:autoSpaceDE/>
        <w:autoSpaceDN/>
        <w:bidi w:val="0"/>
        <w:spacing w:line="520" w:lineRule="exact"/>
        <w:rPr>
          <w:rFonts w:ascii="楷体" w:hAnsi="楷体" w:eastAsia="楷体" w:cs="楷体"/>
          <w:sz w:val="32"/>
          <w:szCs w:val="32"/>
        </w:rPr>
      </w:pPr>
    </w:p>
    <w:p w14:paraId="34089961">
      <w:pPr>
        <w:pStyle w:val="2"/>
        <w:keepNext w:val="0"/>
        <w:keepLines w:val="0"/>
        <w:pageBreakBefore w:val="0"/>
        <w:kinsoku/>
        <w:wordWrap/>
        <w:overflowPunct/>
        <w:topLinePunct w:val="0"/>
        <w:autoSpaceDE/>
        <w:autoSpaceDN/>
        <w:bidi w:val="0"/>
        <w:spacing w:line="520" w:lineRule="exact"/>
        <w:rPr>
          <w:rFonts w:hint="eastAsia" w:ascii="楷体" w:hAnsi="楷体" w:eastAsia="楷体" w:cs="楷体"/>
          <w:sz w:val="32"/>
          <w:szCs w:val="32"/>
        </w:rPr>
      </w:pPr>
    </w:p>
    <w:p w14:paraId="5F9336D5">
      <w:pPr>
        <w:pStyle w:val="2"/>
        <w:keepNext w:val="0"/>
        <w:keepLines w:val="0"/>
        <w:pageBreakBefore w:val="0"/>
        <w:kinsoku/>
        <w:wordWrap/>
        <w:overflowPunct/>
        <w:topLinePunct w:val="0"/>
        <w:autoSpaceDE/>
        <w:autoSpaceDN/>
        <w:bidi w:val="0"/>
        <w:spacing w:line="520" w:lineRule="exact"/>
        <w:rPr>
          <w:rFonts w:ascii="楷体" w:hAnsi="楷体" w:eastAsia="楷体" w:cs="楷体"/>
          <w:sz w:val="32"/>
          <w:szCs w:val="32"/>
        </w:rPr>
      </w:pPr>
    </w:p>
    <w:p w14:paraId="21F8E6A9">
      <w:pPr>
        <w:keepNext w:val="0"/>
        <w:keepLines w:val="0"/>
        <w:pageBreakBefore w:val="0"/>
        <w:kinsoku/>
        <w:wordWrap/>
        <w:overflowPunct/>
        <w:topLinePunct w:val="0"/>
        <w:autoSpaceDE/>
        <w:autoSpaceDN/>
        <w:bidi w:val="0"/>
        <w:adjustRightInd w:val="0"/>
        <w:snapToGrid w:val="0"/>
        <w:spacing w:line="520" w:lineRule="exact"/>
        <w:jc w:val="center"/>
        <w:rPr>
          <w:rFonts w:ascii="楷体_GB2312" w:hAnsi="楷体_GB2312" w:eastAsia="楷体_GB2312" w:cs="楷体_GB2312"/>
          <w:sz w:val="36"/>
          <w:szCs w:val="36"/>
        </w:rPr>
        <w:sectPr>
          <w:footerReference r:id="rId4" w:type="default"/>
          <w:pgSz w:w="11906" w:h="16838"/>
          <w:pgMar w:top="1440" w:right="1800" w:bottom="1440" w:left="1800" w:header="851" w:footer="992" w:gutter="0"/>
          <w:pgNumType w:start="1"/>
          <w:cols w:space="720" w:num="1"/>
          <w:docGrid w:type="lines" w:linePitch="312" w:charSpace="0"/>
        </w:sectPr>
      </w:pPr>
      <w:r>
        <w:rPr>
          <w:rFonts w:hint="eastAsia" w:ascii="楷体_GB2312" w:hAnsi="楷体_GB2312" w:eastAsia="楷体_GB2312" w:cs="楷体_GB2312"/>
          <w:sz w:val="36"/>
          <w:szCs w:val="36"/>
        </w:rPr>
        <w:t>2</w:t>
      </w:r>
      <w:r>
        <w:rPr>
          <w:rFonts w:ascii="楷体_GB2312" w:hAnsi="楷体_GB2312" w:eastAsia="楷体_GB2312" w:cs="楷体_GB2312"/>
          <w:sz w:val="36"/>
          <w:szCs w:val="36"/>
        </w:rPr>
        <w:t>022</w:t>
      </w:r>
      <w:r>
        <w:rPr>
          <w:rFonts w:hint="eastAsia" w:ascii="楷体_GB2312" w:hAnsi="楷体_GB2312" w:eastAsia="楷体_GB2312" w:cs="楷体_GB2312"/>
          <w:sz w:val="36"/>
          <w:szCs w:val="36"/>
        </w:rPr>
        <w:t>年</w:t>
      </w:r>
      <w:r>
        <w:rPr>
          <w:rFonts w:hint="default" w:ascii="楷体_GB2312" w:hAnsi="楷体_GB2312" w:eastAsia="楷体_GB2312" w:cs="楷体_GB2312"/>
          <w:sz w:val="36"/>
          <w:szCs w:val="36"/>
          <w:lang w:val="en"/>
        </w:rPr>
        <w:t>10</w:t>
      </w:r>
      <w:r>
        <w:rPr>
          <w:rFonts w:hint="eastAsia" w:ascii="楷体_GB2312" w:hAnsi="楷体_GB2312" w:eastAsia="楷体_GB2312" w:cs="楷体_GB2312"/>
          <w:sz w:val="36"/>
          <w:szCs w:val="36"/>
        </w:rPr>
        <w:t>月</w:t>
      </w:r>
    </w:p>
    <w:p w14:paraId="31123E25">
      <w:pPr>
        <w:keepNext w:val="0"/>
        <w:keepLines w:val="0"/>
        <w:pageBreakBefore w:val="0"/>
        <w:widowControl w:val="0"/>
        <w:kinsoku/>
        <w:wordWrap/>
        <w:overflowPunct/>
        <w:topLinePunct w:val="0"/>
        <w:autoSpaceDE/>
        <w:autoSpaceDN/>
        <w:bidi w:val="0"/>
        <w:adjustRightInd w:val="0"/>
        <w:snapToGrid w:val="0"/>
        <w:spacing w:after="156" w:afterLines="50" w:line="520" w:lineRule="exact"/>
        <w:jc w:val="center"/>
        <w:textAlignment w:val="auto"/>
        <w:rPr>
          <w:rFonts w:ascii="黑体" w:hAnsi="黑体" w:eastAsia="黑体" w:cs="黑体"/>
          <w:sz w:val="32"/>
          <w:szCs w:val="32"/>
        </w:rPr>
      </w:pPr>
      <w:bookmarkStart w:id="0" w:name="_Toc20565"/>
      <w:bookmarkStart w:id="1" w:name="_Toc10129"/>
      <w:bookmarkStart w:id="2" w:name="_Toc20636"/>
      <w:bookmarkStart w:id="3" w:name="_Toc10299"/>
      <w:bookmarkStart w:id="4" w:name="_Toc5238"/>
      <w:bookmarkStart w:id="5" w:name="_Toc9114"/>
      <w:bookmarkStart w:id="6" w:name="_Toc15481"/>
      <w:bookmarkStart w:id="7" w:name="_Toc32461"/>
      <w:bookmarkStart w:id="8" w:name="_Toc30086"/>
      <w:bookmarkStart w:id="9" w:name="_Toc18767"/>
      <w:bookmarkStart w:id="10" w:name="_Toc25650"/>
      <w:bookmarkStart w:id="11" w:name="_Toc31194"/>
      <w:bookmarkStart w:id="12" w:name="_Toc28112"/>
      <w:bookmarkStart w:id="13" w:name="_Toc2374"/>
      <w:bookmarkStart w:id="14" w:name="_Toc16673"/>
      <w:bookmarkStart w:id="15" w:name="_Toc9519"/>
      <w:bookmarkStart w:id="16" w:name="_Toc2509"/>
      <w:bookmarkStart w:id="17" w:name="_Toc19516"/>
      <w:bookmarkStart w:id="18" w:name="_Toc17951"/>
      <w:bookmarkStart w:id="19" w:name="_Toc20124"/>
      <w:bookmarkStart w:id="20" w:name="_Toc436"/>
      <w:bookmarkStart w:id="21" w:name="_Toc13822"/>
      <w:bookmarkStart w:id="22" w:name="_Toc4795"/>
      <w:bookmarkStart w:id="23" w:name="_Toc13377"/>
      <w:bookmarkStart w:id="24" w:name="_Toc5354"/>
      <w:bookmarkStart w:id="25" w:name="_Toc2508"/>
      <w:bookmarkStart w:id="26" w:name="_Toc17873"/>
      <w:bookmarkStart w:id="27" w:name="_Toc1415"/>
      <w:bookmarkStart w:id="28" w:name="_Toc6725"/>
      <w:bookmarkStart w:id="29" w:name="_Toc4311"/>
      <w:bookmarkStart w:id="30" w:name="_Toc9129"/>
      <w:bookmarkStart w:id="31" w:name="_Toc13797"/>
      <w:bookmarkStart w:id="32" w:name="_Toc30436"/>
      <w:bookmarkStart w:id="33" w:name="_Toc28845"/>
      <w:bookmarkStart w:id="34" w:name="_Toc26476"/>
      <w:bookmarkStart w:id="35" w:name="_Toc9557"/>
      <w:bookmarkStart w:id="36" w:name="_Toc1869"/>
      <w:bookmarkStart w:id="37" w:name="_Toc29468"/>
      <w:bookmarkStart w:id="38" w:name="_Toc32100"/>
      <w:bookmarkStart w:id="39" w:name="_Toc688"/>
      <w:bookmarkStart w:id="40" w:name="_Toc13421"/>
      <w:bookmarkStart w:id="41" w:name="_Toc7812"/>
      <w:bookmarkStart w:id="42" w:name="_Toc15435"/>
      <w:bookmarkStart w:id="43" w:name="_Toc7782"/>
      <w:bookmarkStart w:id="44" w:name="_Toc29112"/>
      <w:bookmarkStart w:id="45" w:name="_Toc8284"/>
      <w:bookmarkStart w:id="46" w:name="_Toc31063"/>
      <w:bookmarkStart w:id="47" w:name="_Toc8933"/>
      <w:bookmarkStart w:id="48" w:name="_Toc11675"/>
      <w:bookmarkStart w:id="49" w:name="_Toc27154"/>
      <w:bookmarkStart w:id="50" w:name="_Toc12204"/>
      <w:bookmarkStart w:id="51" w:name="_Toc21799"/>
      <w:bookmarkStart w:id="52" w:name="_Toc17206"/>
      <w:bookmarkStart w:id="53" w:name="_Toc28443"/>
      <w:bookmarkStart w:id="54" w:name="_Toc26405"/>
      <w:bookmarkStart w:id="55" w:name="_Toc17250"/>
      <w:bookmarkStart w:id="56" w:name="_Toc2402"/>
      <w:bookmarkStart w:id="57" w:name="_Toc29205"/>
      <w:bookmarkStart w:id="58" w:name="_Toc11397"/>
      <w:bookmarkStart w:id="59" w:name="_Toc23492"/>
      <w:bookmarkStart w:id="60" w:name="_Toc22810"/>
      <w:r>
        <w:rPr>
          <w:rFonts w:hint="eastAsia" w:ascii="黑体" w:hAnsi="黑体" w:eastAsia="黑体" w:cs="黑体"/>
          <w:sz w:val="32"/>
          <w:szCs w:val="32"/>
        </w:rPr>
        <w:t>目</w:t>
      </w:r>
      <w:r>
        <w:rPr>
          <w:rFonts w:ascii="黑体" w:hAnsi="黑体" w:eastAsia="黑体" w:cs="黑体"/>
          <w:sz w:val="32"/>
          <w:szCs w:val="32"/>
        </w:rPr>
        <w:t xml:space="preserve">  </w:t>
      </w:r>
      <w:r>
        <w:rPr>
          <w:rFonts w:hint="eastAsia" w:ascii="黑体" w:hAnsi="黑体" w:eastAsia="黑体" w:cs="黑体"/>
          <w:sz w:val="32"/>
          <w:szCs w:val="32"/>
        </w:rPr>
        <w:t>录</w:t>
      </w:r>
      <w:bookmarkEnd w:id="0"/>
      <w:bookmarkEnd w:id="1"/>
    </w:p>
    <w:p w14:paraId="77F72BA0">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sz w:val="28"/>
          <w:szCs w:val="28"/>
        </w:rPr>
        <w:fldChar w:fldCharType="begin"/>
      </w:r>
      <w:r>
        <w:rPr>
          <w:sz w:val="28"/>
          <w:szCs w:val="28"/>
        </w:rPr>
        <w:instrText xml:space="preserve">TOC \o "1-2" \u </w:instrText>
      </w:r>
      <w:r>
        <w:rPr>
          <w:rFonts w:hint="eastAsia"/>
          <w:sz w:val="28"/>
          <w:szCs w:val="28"/>
        </w:rPr>
        <w:fldChar w:fldCharType="separate"/>
      </w:r>
      <w:r>
        <w:rPr>
          <w:rFonts w:hint="eastAsia" w:ascii="黑体" w:hAnsi="黑体" w:eastAsia="黑体" w:cs="黑体"/>
          <w:sz w:val="28"/>
          <w:szCs w:val="28"/>
        </w:rPr>
        <w:t>一、发展环境</w:t>
      </w:r>
      <w:r>
        <w:rPr>
          <w:sz w:val="28"/>
          <w:szCs w:val="28"/>
        </w:rPr>
        <w:tab/>
      </w:r>
      <w:r>
        <w:rPr>
          <w:sz w:val="28"/>
          <w:szCs w:val="28"/>
        </w:rPr>
        <w:fldChar w:fldCharType="begin"/>
      </w:r>
      <w:r>
        <w:rPr>
          <w:sz w:val="28"/>
          <w:szCs w:val="28"/>
        </w:rPr>
        <w:instrText xml:space="preserve"> PAGEREF _Toc27332 \h </w:instrText>
      </w:r>
      <w:r>
        <w:rPr>
          <w:sz w:val="28"/>
          <w:szCs w:val="28"/>
        </w:rPr>
        <w:fldChar w:fldCharType="separate"/>
      </w:r>
      <w:r>
        <w:rPr>
          <w:sz w:val="28"/>
          <w:szCs w:val="28"/>
        </w:rPr>
        <w:t>1</w:t>
      </w:r>
      <w:r>
        <w:rPr>
          <w:sz w:val="28"/>
          <w:szCs w:val="28"/>
        </w:rPr>
        <w:fldChar w:fldCharType="end"/>
      </w:r>
    </w:p>
    <w:p w14:paraId="6ED02F2B">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（一）发展基础</w:t>
      </w:r>
      <w:r>
        <w:rPr>
          <w:sz w:val="28"/>
          <w:szCs w:val="28"/>
        </w:rPr>
        <w:tab/>
      </w:r>
      <w:r>
        <w:rPr>
          <w:sz w:val="28"/>
          <w:szCs w:val="28"/>
        </w:rPr>
        <w:fldChar w:fldCharType="begin"/>
      </w:r>
      <w:r>
        <w:rPr>
          <w:sz w:val="28"/>
          <w:szCs w:val="28"/>
        </w:rPr>
        <w:instrText xml:space="preserve"> PAGEREF _Toc20546 \h </w:instrText>
      </w:r>
      <w:r>
        <w:rPr>
          <w:sz w:val="28"/>
          <w:szCs w:val="28"/>
        </w:rPr>
        <w:fldChar w:fldCharType="separate"/>
      </w:r>
      <w:r>
        <w:rPr>
          <w:sz w:val="28"/>
          <w:szCs w:val="28"/>
        </w:rPr>
        <w:t>1</w:t>
      </w:r>
      <w:r>
        <w:rPr>
          <w:sz w:val="28"/>
          <w:szCs w:val="28"/>
        </w:rPr>
        <w:fldChar w:fldCharType="end"/>
      </w:r>
    </w:p>
    <w:p w14:paraId="5FD29F22">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（二）发展形势</w:t>
      </w:r>
      <w:r>
        <w:rPr>
          <w:sz w:val="28"/>
          <w:szCs w:val="28"/>
        </w:rPr>
        <w:tab/>
      </w:r>
      <w:r>
        <w:rPr>
          <w:sz w:val="28"/>
          <w:szCs w:val="28"/>
        </w:rPr>
        <w:fldChar w:fldCharType="begin"/>
      </w:r>
      <w:r>
        <w:rPr>
          <w:sz w:val="28"/>
          <w:szCs w:val="28"/>
        </w:rPr>
        <w:instrText xml:space="preserve"> PAGEREF _Toc24070 \h </w:instrText>
      </w:r>
      <w:r>
        <w:rPr>
          <w:sz w:val="28"/>
          <w:szCs w:val="28"/>
        </w:rPr>
        <w:fldChar w:fldCharType="separate"/>
      </w:r>
      <w:r>
        <w:rPr>
          <w:sz w:val="28"/>
          <w:szCs w:val="28"/>
        </w:rPr>
        <w:t>5</w:t>
      </w:r>
      <w:r>
        <w:rPr>
          <w:sz w:val="28"/>
          <w:szCs w:val="28"/>
        </w:rPr>
        <w:fldChar w:fldCharType="end"/>
      </w:r>
    </w:p>
    <w:p w14:paraId="5E8E9778">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黑体" w:hAnsi="黑体" w:eastAsia="黑体" w:cs="黑体"/>
          <w:sz w:val="28"/>
          <w:szCs w:val="28"/>
        </w:rPr>
        <w:t>二、总体要求</w:t>
      </w:r>
      <w:r>
        <w:rPr>
          <w:sz w:val="28"/>
          <w:szCs w:val="28"/>
        </w:rPr>
        <w:tab/>
      </w:r>
      <w:r>
        <w:rPr>
          <w:sz w:val="28"/>
          <w:szCs w:val="28"/>
        </w:rPr>
        <w:fldChar w:fldCharType="begin"/>
      </w:r>
      <w:r>
        <w:rPr>
          <w:sz w:val="28"/>
          <w:szCs w:val="28"/>
        </w:rPr>
        <w:instrText xml:space="preserve"> PAGEREF _Toc7793 \h </w:instrText>
      </w:r>
      <w:r>
        <w:rPr>
          <w:sz w:val="28"/>
          <w:szCs w:val="28"/>
        </w:rPr>
        <w:fldChar w:fldCharType="separate"/>
      </w:r>
      <w:r>
        <w:rPr>
          <w:sz w:val="28"/>
          <w:szCs w:val="28"/>
        </w:rPr>
        <w:t>6</w:t>
      </w:r>
      <w:r>
        <w:rPr>
          <w:sz w:val="28"/>
          <w:szCs w:val="28"/>
        </w:rPr>
        <w:fldChar w:fldCharType="end"/>
      </w:r>
    </w:p>
    <w:p w14:paraId="41E7EB93">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（一）指导思想</w:t>
      </w:r>
      <w:r>
        <w:rPr>
          <w:sz w:val="28"/>
          <w:szCs w:val="28"/>
        </w:rPr>
        <w:tab/>
      </w:r>
      <w:r>
        <w:rPr>
          <w:sz w:val="28"/>
          <w:szCs w:val="28"/>
        </w:rPr>
        <w:fldChar w:fldCharType="begin"/>
      </w:r>
      <w:r>
        <w:rPr>
          <w:sz w:val="28"/>
          <w:szCs w:val="28"/>
        </w:rPr>
        <w:instrText xml:space="preserve"> PAGEREF _Toc29376 \h </w:instrText>
      </w:r>
      <w:r>
        <w:rPr>
          <w:sz w:val="28"/>
          <w:szCs w:val="28"/>
        </w:rPr>
        <w:fldChar w:fldCharType="separate"/>
      </w:r>
      <w:r>
        <w:rPr>
          <w:sz w:val="28"/>
          <w:szCs w:val="28"/>
        </w:rPr>
        <w:t>6</w:t>
      </w:r>
      <w:r>
        <w:rPr>
          <w:sz w:val="28"/>
          <w:szCs w:val="28"/>
        </w:rPr>
        <w:fldChar w:fldCharType="end"/>
      </w:r>
    </w:p>
    <w:p w14:paraId="32EABB86">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（二）基本原则</w:t>
      </w:r>
      <w:r>
        <w:rPr>
          <w:sz w:val="28"/>
          <w:szCs w:val="28"/>
        </w:rPr>
        <w:tab/>
      </w:r>
      <w:r>
        <w:rPr>
          <w:sz w:val="28"/>
          <w:szCs w:val="28"/>
        </w:rPr>
        <w:fldChar w:fldCharType="begin"/>
      </w:r>
      <w:r>
        <w:rPr>
          <w:sz w:val="28"/>
          <w:szCs w:val="28"/>
        </w:rPr>
        <w:instrText xml:space="preserve"> PAGEREF _Toc32015 \h </w:instrText>
      </w:r>
      <w:r>
        <w:rPr>
          <w:sz w:val="28"/>
          <w:szCs w:val="28"/>
        </w:rPr>
        <w:fldChar w:fldCharType="separate"/>
      </w:r>
      <w:r>
        <w:rPr>
          <w:sz w:val="28"/>
          <w:szCs w:val="28"/>
        </w:rPr>
        <w:t>7</w:t>
      </w:r>
      <w:r>
        <w:rPr>
          <w:sz w:val="28"/>
          <w:szCs w:val="28"/>
        </w:rPr>
        <w:fldChar w:fldCharType="end"/>
      </w:r>
    </w:p>
    <w:p w14:paraId="094A3783">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（三）发展目标</w:t>
      </w:r>
      <w:r>
        <w:rPr>
          <w:sz w:val="28"/>
          <w:szCs w:val="28"/>
        </w:rPr>
        <w:tab/>
      </w:r>
      <w:r>
        <w:rPr>
          <w:sz w:val="28"/>
          <w:szCs w:val="28"/>
        </w:rPr>
        <w:fldChar w:fldCharType="begin"/>
      </w:r>
      <w:r>
        <w:rPr>
          <w:sz w:val="28"/>
          <w:szCs w:val="28"/>
        </w:rPr>
        <w:instrText xml:space="preserve"> PAGEREF _Toc12446 \h </w:instrText>
      </w:r>
      <w:r>
        <w:rPr>
          <w:sz w:val="28"/>
          <w:szCs w:val="28"/>
        </w:rPr>
        <w:fldChar w:fldCharType="separate"/>
      </w:r>
      <w:r>
        <w:rPr>
          <w:sz w:val="28"/>
          <w:szCs w:val="28"/>
        </w:rPr>
        <w:t>7</w:t>
      </w:r>
      <w:r>
        <w:rPr>
          <w:sz w:val="28"/>
          <w:szCs w:val="28"/>
        </w:rPr>
        <w:fldChar w:fldCharType="end"/>
      </w:r>
    </w:p>
    <w:p w14:paraId="4DB703D9">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黑体" w:hAnsi="黑体" w:eastAsia="黑体" w:cs="黑体"/>
          <w:sz w:val="28"/>
          <w:szCs w:val="28"/>
        </w:rPr>
        <w:t>三、重点任务</w:t>
      </w:r>
      <w:r>
        <w:rPr>
          <w:sz w:val="28"/>
          <w:szCs w:val="28"/>
        </w:rPr>
        <w:tab/>
      </w:r>
      <w:r>
        <w:rPr>
          <w:sz w:val="28"/>
          <w:szCs w:val="28"/>
        </w:rPr>
        <w:fldChar w:fldCharType="begin"/>
      </w:r>
      <w:r>
        <w:rPr>
          <w:sz w:val="28"/>
          <w:szCs w:val="28"/>
        </w:rPr>
        <w:instrText xml:space="preserve"> PAGEREF _Toc16301 \h </w:instrText>
      </w:r>
      <w:r>
        <w:rPr>
          <w:sz w:val="28"/>
          <w:szCs w:val="28"/>
        </w:rPr>
        <w:fldChar w:fldCharType="separate"/>
      </w:r>
      <w:r>
        <w:rPr>
          <w:sz w:val="28"/>
          <w:szCs w:val="28"/>
        </w:rPr>
        <w:t>8</w:t>
      </w:r>
      <w:r>
        <w:rPr>
          <w:sz w:val="28"/>
          <w:szCs w:val="28"/>
        </w:rPr>
        <w:fldChar w:fldCharType="end"/>
      </w:r>
    </w:p>
    <w:p w14:paraId="69A17EF2">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（一）提升建筑能源利用效率</w:t>
      </w:r>
      <w:r>
        <w:rPr>
          <w:sz w:val="28"/>
          <w:szCs w:val="28"/>
        </w:rPr>
        <w:tab/>
      </w:r>
      <w:r>
        <w:rPr>
          <w:sz w:val="28"/>
          <w:szCs w:val="28"/>
        </w:rPr>
        <w:fldChar w:fldCharType="begin"/>
      </w:r>
      <w:r>
        <w:rPr>
          <w:sz w:val="28"/>
          <w:szCs w:val="28"/>
        </w:rPr>
        <w:instrText xml:space="preserve"> PAGEREF _Toc18507 \h </w:instrText>
      </w:r>
      <w:r>
        <w:rPr>
          <w:sz w:val="28"/>
          <w:szCs w:val="28"/>
        </w:rPr>
        <w:fldChar w:fldCharType="separate"/>
      </w:r>
      <w:r>
        <w:rPr>
          <w:sz w:val="28"/>
          <w:szCs w:val="28"/>
        </w:rPr>
        <w:t>9</w:t>
      </w:r>
      <w:r>
        <w:rPr>
          <w:sz w:val="28"/>
          <w:szCs w:val="28"/>
        </w:rPr>
        <w:fldChar w:fldCharType="end"/>
      </w:r>
    </w:p>
    <w:p w14:paraId="2D740ED9">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（二）拓宽建筑节能改造渠道</w:t>
      </w:r>
      <w:r>
        <w:rPr>
          <w:sz w:val="28"/>
          <w:szCs w:val="28"/>
        </w:rPr>
        <w:tab/>
      </w:r>
      <w:r>
        <w:rPr>
          <w:sz w:val="28"/>
          <w:szCs w:val="28"/>
        </w:rPr>
        <w:fldChar w:fldCharType="begin"/>
      </w:r>
      <w:r>
        <w:rPr>
          <w:sz w:val="28"/>
          <w:szCs w:val="28"/>
        </w:rPr>
        <w:instrText xml:space="preserve"> PAGEREF _Toc2545 \h </w:instrText>
      </w:r>
      <w:r>
        <w:rPr>
          <w:sz w:val="28"/>
          <w:szCs w:val="28"/>
        </w:rPr>
        <w:fldChar w:fldCharType="separate"/>
      </w:r>
      <w:r>
        <w:rPr>
          <w:sz w:val="28"/>
          <w:szCs w:val="28"/>
        </w:rPr>
        <w:t>10</w:t>
      </w:r>
      <w:r>
        <w:rPr>
          <w:sz w:val="28"/>
          <w:szCs w:val="28"/>
        </w:rPr>
        <w:fldChar w:fldCharType="end"/>
      </w:r>
    </w:p>
    <w:p w14:paraId="121A69AE">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（三）加强建筑低碳能力建设</w:t>
      </w:r>
      <w:r>
        <w:rPr>
          <w:sz w:val="28"/>
          <w:szCs w:val="28"/>
        </w:rPr>
        <w:tab/>
      </w:r>
      <w:r>
        <w:rPr>
          <w:sz w:val="28"/>
          <w:szCs w:val="28"/>
        </w:rPr>
        <w:fldChar w:fldCharType="begin"/>
      </w:r>
      <w:r>
        <w:rPr>
          <w:sz w:val="28"/>
          <w:szCs w:val="28"/>
        </w:rPr>
        <w:instrText xml:space="preserve"> PAGEREF _Toc7482 \h </w:instrText>
      </w:r>
      <w:r>
        <w:rPr>
          <w:sz w:val="28"/>
          <w:szCs w:val="28"/>
        </w:rPr>
        <w:fldChar w:fldCharType="separate"/>
      </w:r>
      <w:r>
        <w:rPr>
          <w:sz w:val="28"/>
          <w:szCs w:val="28"/>
        </w:rPr>
        <w:t>10</w:t>
      </w:r>
      <w:r>
        <w:rPr>
          <w:sz w:val="28"/>
          <w:szCs w:val="28"/>
        </w:rPr>
        <w:fldChar w:fldCharType="end"/>
      </w:r>
    </w:p>
    <w:p w14:paraId="7439C035">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（四）促进绿色建筑高质量发展</w:t>
      </w:r>
      <w:r>
        <w:rPr>
          <w:sz w:val="28"/>
          <w:szCs w:val="28"/>
        </w:rPr>
        <w:tab/>
      </w:r>
      <w:r>
        <w:rPr>
          <w:sz w:val="28"/>
          <w:szCs w:val="28"/>
        </w:rPr>
        <w:fldChar w:fldCharType="begin"/>
      </w:r>
      <w:r>
        <w:rPr>
          <w:sz w:val="28"/>
          <w:szCs w:val="28"/>
        </w:rPr>
        <w:instrText xml:space="preserve"> PAGEREF _Toc17205 \h </w:instrText>
      </w:r>
      <w:r>
        <w:rPr>
          <w:sz w:val="28"/>
          <w:szCs w:val="28"/>
        </w:rPr>
        <w:fldChar w:fldCharType="separate"/>
      </w:r>
      <w:r>
        <w:rPr>
          <w:sz w:val="28"/>
          <w:szCs w:val="28"/>
        </w:rPr>
        <w:t>12</w:t>
      </w:r>
      <w:r>
        <w:rPr>
          <w:sz w:val="28"/>
          <w:szCs w:val="28"/>
        </w:rPr>
        <w:fldChar w:fldCharType="end"/>
      </w:r>
    </w:p>
    <w:p w14:paraId="4A8C37B0">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（五）强化建筑智能健康属性</w:t>
      </w:r>
      <w:r>
        <w:rPr>
          <w:sz w:val="28"/>
          <w:szCs w:val="28"/>
        </w:rPr>
        <w:tab/>
      </w:r>
      <w:r>
        <w:rPr>
          <w:sz w:val="28"/>
          <w:szCs w:val="28"/>
        </w:rPr>
        <w:fldChar w:fldCharType="begin"/>
      </w:r>
      <w:r>
        <w:rPr>
          <w:sz w:val="28"/>
          <w:szCs w:val="28"/>
        </w:rPr>
        <w:instrText xml:space="preserve"> PAGEREF _Toc26605 \h </w:instrText>
      </w:r>
      <w:r>
        <w:rPr>
          <w:sz w:val="28"/>
          <w:szCs w:val="28"/>
        </w:rPr>
        <w:fldChar w:fldCharType="separate"/>
      </w:r>
      <w:r>
        <w:rPr>
          <w:sz w:val="28"/>
          <w:szCs w:val="28"/>
        </w:rPr>
        <w:t>12</w:t>
      </w:r>
      <w:r>
        <w:rPr>
          <w:sz w:val="28"/>
          <w:szCs w:val="28"/>
        </w:rPr>
        <w:fldChar w:fldCharType="end"/>
      </w:r>
    </w:p>
    <w:p w14:paraId="671B61C3">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（六）完善绿色建筑全过程监管</w:t>
      </w:r>
      <w:r>
        <w:rPr>
          <w:sz w:val="28"/>
          <w:szCs w:val="28"/>
        </w:rPr>
        <w:tab/>
      </w:r>
      <w:r>
        <w:rPr>
          <w:sz w:val="28"/>
          <w:szCs w:val="28"/>
        </w:rPr>
        <w:fldChar w:fldCharType="begin"/>
      </w:r>
      <w:r>
        <w:rPr>
          <w:sz w:val="28"/>
          <w:szCs w:val="28"/>
        </w:rPr>
        <w:instrText xml:space="preserve"> PAGEREF _Toc21308 \h </w:instrText>
      </w:r>
      <w:r>
        <w:rPr>
          <w:sz w:val="28"/>
          <w:szCs w:val="28"/>
        </w:rPr>
        <w:fldChar w:fldCharType="separate"/>
      </w:r>
      <w:r>
        <w:rPr>
          <w:sz w:val="28"/>
          <w:szCs w:val="28"/>
        </w:rPr>
        <w:t>13</w:t>
      </w:r>
      <w:r>
        <w:rPr>
          <w:sz w:val="28"/>
          <w:szCs w:val="28"/>
        </w:rPr>
        <w:fldChar w:fldCharType="end"/>
      </w:r>
    </w:p>
    <w:p w14:paraId="6C9BDAC5">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（七）推进新型建筑工业化发展</w:t>
      </w:r>
      <w:r>
        <w:rPr>
          <w:sz w:val="28"/>
          <w:szCs w:val="28"/>
        </w:rPr>
        <w:tab/>
      </w:r>
      <w:r>
        <w:rPr>
          <w:sz w:val="28"/>
          <w:szCs w:val="28"/>
        </w:rPr>
        <w:fldChar w:fldCharType="begin"/>
      </w:r>
      <w:r>
        <w:rPr>
          <w:sz w:val="28"/>
          <w:szCs w:val="28"/>
        </w:rPr>
        <w:instrText xml:space="preserve"> PAGEREF _Toc27804 \h </w:instrText>
      </w:r>
      <w:r>
        <w:rPr>
          <w:sz w:val="28"/>
          <w:szCs w:val="28"/>
        </w:rPr>
        <w:fldChar w:fldCharType="separate"/>
      </w:r>
      <w:r>
        <w:rPr>
          <w:sz w:val="28"/>
          <w:szCs w:val="28"/>
        </w:rPr>
        <w:t>15</w:t>
      </w:r>
      <w:r>
        <w:rPr>
          <w:sz w:val="28"/>
          <w:szCs w:val="28"/>
        </w:rPr>
        <w:fldChar w:fldCharType="end"/>
      </w:r>
    </w:p>
    <w:p w14:paraId="4BC86224">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（八）培育壮大装配式产业</w:t>
      </w:r>
      <w:r>
        <w:rPr>
          <w:sz w:val="28"/>
          <w:szCs w:val="28"/>
        </w:rPr>
        <w:tab/>
      </w:r>
      <w:r>
        <w:rPr>
          <w:sz w:val="28"/>
          <w:szCs w:val="28"/>
        </w:rPr>
        <w:fldChar w:fldCharType="begin"/>
      </w:r>
      <w:r>
        <w:rPr>
          <w:sz w:val="28"/>
          <w:szCs w:val="28"/>
        </w:rPr>
        <w:instrText xml:space="preserve"> PAGEREF _Toc6019 \h </w:instrText>
      </w:r>
      <w:r>
        <w:rPr>
          <w:sz w:val="28"/>
          <w:szCs w:val="28"/>
        </w:rPr>
        <w:fldChar w:fldCharType="separate"/>
      </w:r>
      <w:r>
        <w:rPr>
          <w:sz w:val="28"/>
          <w:szCs w:val="28"/>
        </w:rPr>
        <w:t>15</w:t>
      </w:r>
      <w:r>
        <w:rPr>
          <w:sz w:val="28"/>
          <w:szCs w:val="28"/>
        </w:rPr>
        <w:fldChar w:fldCharType="end"/>
      </w:r>
    </w:p>
    <w:p w14:paraId="21700511">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（九）提高建材信息化与绿色化水平</w:t>
      </w:r>
      <w:r>
        <w:rPr>
          <w:sz w:val="28"/>
          <w:szCs w:val="28"/>
        </w:rPr>
        <w:tab/>
      </w:r>
      <w:r>
        <w:rPr>
          <w:sz w:val="28"/>
          <w:szCs w:val="28"/>
        </w:rPr>
        <w:fldChar w:fldCharType="begin"/>
      </w:r>
      <w:r>
        <w:rPr>
          <w:sz w:val="28"/>
          <w:szCs w:val="28"/>
        </w:rPr>
        <w:instrText xml:space="preserve"> PAGEREF _Toc22247 \h </w:instrText>
      </w:r>
      <w:r>
        <w:rPr>
          <w:sz w:val="28"/>
          <w:szCs w:val="28"/>
        </w:rPr>
        <w:fldChar w:fldCharType="separate"/>
      </w:r>
      <w:r>
        <w:rPr>
          <w:sz w:val="28"/>
          <w:szCs w:val="28"/>
        </w:rPr>
        <w:t>16</w:t>
      </w:r>
      <w:r>
        <w:rPr>
          <w:sz w:val="28"/>
          <w:szCs w:val="28"/>
        </w:rPr>
        <w:fldChar w:fldCharType="end"/>
      </w:r>
    </w:p>
    <w:p w14:paraId="52D5EA1E">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（十）推动新型材料绿色建材应用</w:t>
      </w:r>
      <w:r>
        <w:rPr>
          <w:sz w:val="28"/>
          <w:szCs w:val="28"/>
        </w:rPr>
        <w:tab/>
      </w:r>
      <w:r>
        <w:rPr>
          <w:sz w:val="28"/>
          <w:szCs w:val="28"/>
        </w:rPr>
        <w:fldChar w:fldCharType="begin"/>
      </w:r>
      <w:r>
        <w:rPr>
          <w:sz w:val="28"/>
          <w:szCs w:val="28"/>
        </w:rPr>
        <w:instrText xml:space="preserve"> PAGEREF _Toc10463 \h </w:instrText>
      </w:r>
      <w:r>
        <w:rPr>
          <w:sz w:val="28"/>
          <w:szCs w:val="28"/>
        </w:rPr>
        <w:fldChar w:fldCharType="separate"/>
      </w:r>
      <w:r>
        <w:rPr>
          <w:sz w:val="28"/>
          <w:szCs w:val="28"/>
        </w:rPr>
        <w:t>17</w:t>
      </w:r>
      <w:r>
        <w:rPr>
          <w:sz w:val="28"/>
          <w:szCs w:val="28"/>
        </w:rPr>
        <w:fldChar w:fldCharType="end"/>
      </w:r>
    </w:p>
    <w:p w14:paraId="2ACD62F1">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黑体" w:hAnsi="黑体" w:eastAsia="黑体" w:cs="黑体"/>
          <w:sz w:val="28"/>
          <w:szCs w:val="28"/>
        </w:rPr>
        <w:t>四、保障措施</w:t>
      </w:r>
      <w:r>
        <w:rPr>
          <w:sz w:val="28"/>
          <w:szCs w:val="28"/>
        </w:rPr>
        <w:tab/>
      </w:r>
      <w:r>
        <w:rPr>
          <w:sz w:val="28"/>
          <w:szCs w:val="28"/>
        </w:rPr>
        <w:fldChar w:fldCharType="begin"/>
      </w:r>
      <w:r>
        <w:rPr>
          <w:sz w:val="28"/>
          <w:szCs w:val="28"/>
        </w:rPr>
        <w:instrText xml:space="preserve"> PAGEREF _Toc20809 \h </w:instrText>
      </w:r>
      <w:r>
        <w:rPr>
          <w:sz w:val="28"/>
          <w:szCs w:val="28"/>
        </w:rPr>
        <w:fldChar w:fldCharType="separate"/>
      </w:r>
      <w:r>
        <w:rPr>
          <w:sz w:val="28"/>
          <w:szCs w:val="28"/>
        </w:rPr>
        <w:t>20</w:t>
      </w:r>
      <w:r>
        <w:rPr>
          <w:sz w:val="28"/>
          <w:szCs w:val="28"/>
        </w:rPr>
        <w:fldChar w:fldCharType="end"/>
      </w:r>
    </w:p>
    <w:p w14:paraId="42A1B902">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（一）加强组织领导</w:t>
      </w:r>
      <w:r>
        <w:rPr>
          <w:sz w:val="28"/>
          <w:szCs w:val="28"/>
        </w:rPr>
        <w:tab/>
      </w:r>
      <w:r>
        <w:rPr>
          <w:sz w:val="28"/>
          <w:szCs w:val="28"/>
        </w:rPr>
        <w:fldChar w:fldCharType="begin"/>
      </w:r>
      <w:r>
        <w:rPr>
          <w:sz w:val="28"/>
          <w:szCs w:val="28"/>
        </w:rPr>
        <w:instrText xml:space="preserve"> PAGEREF _Toc10726 \h </w:instrText>
      </w:r>
      <w:r>
        <w:rPr>
          <w:sz w:val="28"/>
          <w:szCs w:val="28"/>
        </w:rPr>
        <w:fldChar w:fldCharType="separate"/>
      </w:r>
      <w:r>
        <w:rPr>
          <w:sz w:val="28"/>
          <w:szCs w:val="28"/>
        </w:rPr>
        <w:t>20</w:t>
      </w:r>
      <w:r>
        <w:rPr>
          <w:sz w:val="28"/>
          <w:szCs w:val="28"/>
        </w:rPr>
        <w:fldChar w:fldCharType="end"/>
      </w:r>
    </w:p>
    <w:p w14:paraId="14C87A35">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（二）强化目标考核</w:t>
      </w:r>
      <w:r>
        <w:rPr>
          <w:sz w:val="28"/>
          <w:szCs w:val="28"/>
        </w:rPr>
        <w:tab/>
      </w:r>
      <w:r>
        <w:rPr>
          <w:sz w:val="28"/>
          <w:szCs w:val="28"/>
        </w:rPr>
        <w:fldChar w:fldCharType="begin"/>
      </w:r>
      <w:r>
        <w:rPr>
          <w:sz w:val="28"/>
          <w:szCs w:val="28"/>
        </w:rPr>
        <w:instrText xml:space="preserve"> PAGEREF _Toc2350 \h </w:instrText>
      </w:r>
      <w:r>
        <w:rPr>
          <w:sz w:val="28"/>
          <w:szCs w:val="28"/>
        </w:rPr>
        <w:fldChar w:fldCharType="separate"/>
      </w:r>
      <w:r>
        <w:rPr>
          <w:sz w:val="28"/>
          <w:szCs w:val="28"/>
        </w:rPr>
        <w:t>20</w:t>
      </w:r>
      <w:r>
        <w:rPr>
          <w:sz w:val="28"/>
          <w:szCs w:val="28"/>
        </w:rPr>
        <w:fldChar w:fldCharType="end"/>
      </w:r>
    </w:p>
    <w:p w14:paraId="5C2EE7B8">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（三）加大政策激励</w:t>
      </w:r>
      <w:r>
        <w:rPr>
          <w:sz w:val="28"/>
          <w:szCs w:val="28"/>
        </w:rPr>
        <w:tab/>
      </w:r>
      <w:r>
        <w:rPr>
          <w:sz w:val="28"/>
          <w:szCs w:val="28"/>
        </w:rPr>
        <w:fldChar w:fldCharType="begin"/>
      </w:r>
      <w:r>
        <w:rPr>
          <w:sz w:val="28"/>
          <w:szCs w:val="28"/>
        </w:rPr>
        <w:instrText xml:space="preserve"> PAGEREF _Toc5548 \h </w:instrText>
      </w:r>
      <w:r>
        <w:rPr>
          <w:sz w:val="28"/>
          <w:szCs w:val="28"/>
        </w:rPr>
        <w:fldChar w:fldCharType="separate"/>
      </w:r>
      <w:r>
        <w:rPr>
          <w:sz w:val="28"/>
          <w:szCs w:val="28"/>
        </w:rPr>
        <w:t>20</w:t>
      </w:r>
      <w:r>
        <w:rPr>
          <w:sz w:val="28"/>
          <w:szCs w:val="28"/>
        </w:rPr>
        <w:fldChar w:fldCharType="end"/>
      </w:r>
    </w:p>
    <w:p w14:paraId="31AD4D54">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（四）发挥市场作用</w:t>
      </w:r>
      <w:r>
        <w:rPr>
          <w:sz w:val="28"/>
          <w:szCs w:val="28"/>
        </w:rPr>
        <w:tab/>
      </w:r>
      <w:r>
        <w:rPr>
          <w:sz w:val="28"/>
          <w:szCs w:val="28"/>
        </w:rPr>
        <w:fldChar w:fldCharType="begin"/>
      </w:r>
      <w:r>
        <w:rPr>
          <w:sz w:val="28"/>
          <w:szCs w:val="28"/>
        </w:rPr>
        <w:instrText xml:space="preserve"> PAGEREF _Toc29 \h </w:instrText>
      </w:r>
      <w:r>
        <w:rPr>
          <w:sz w:val="28"/>
          <w:szCs w:val="28"/>
        </w:rPr>
        <w:fldChar w:fldCharType="separate"/>
      </w:r>
      <w:r>
        <w:rPr>
          <w:sz w:val="28"/>
          <w:szCs w:val="28"/>
        </w:rPr>
        <w:t>21</w:t>
      </w:r>
      <w:r>
        <w:rPr>
          <w:sz w:val="28"/>
          <w:szCs w:val="28"/>
        </w:rPr>
        <w:fldChar w:fldCharType="end"/>
      </w:r>
    </w:p>
    <w:p w14:paraId="059839FC">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（五）推进科技创新</w:t>
      </w:r>
      <w:r>
        <w:rPr>
          <w:sz w:val="28"/>
          <w:szCs w:val="28"/>
        </w:rPr>
        <w:tab/>
      </w:r>
      <w:r>
        <w:rPr>
          <w:sz w:val="28"/>
          <w:szCs w:val="28"/>
        </w:rPr>
        <w:fldChar w:fldCharType="begin"/>
      </w:r>
      <w:r>
        <w:rPr>
          <w:sz w:val="28"/>
          <w:szCs w:val="28"/>
        </w:rPr>
        <w:instrText xml:space="preserve"> PAGEREF _Toc9273 \h </w:instrText>
      </w:r>
      <w:r>
        <w:rPr>
          <w:sz w:val="28"/>
          <w:szCs w:val="28"/>
        </w:rPr>
        <w:fldChar w:fldCharType="separate"/>
      </w:r>
      <w:r>
        <w:rPr>
          <w:sz w:val="28"/>
          <w:szCs w:val="28"/>
        </w:rPr>
        <w:t>21</w:t>
      </w:r>
      <w:r>
        <w:rPr>
          <w:sz w:val="28"/>
          <w:szCs w:val="28"/>
        </w:rPr>
        <w:fldChar w:fldCharType="end"/>
      </w:r>
    </w:p>
    <w:p w14:paraId="3D7A9734">
      <w:pPr>
        <w:pStyle w:val="17"/>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楷体_GB2312" w:hAnsi="楷体_GB2312" w:eastAsia="楷体_GB2312" w:cs="楷体_GB2312"/>
          <w:sz w:val="28"/>
          <w:szCs w:val="28"/>
        </w:rPr>
        <w:t>（六）做好宣传培训</w:t>
      </w:r>
      <w:r>
        <w:rPr>
          <w:sz w:val="28"/>
          <w:szCs w:val="28"/>
        </w:rPr>
        <w:tab/>
      </w:r>
      <w:r>
        <w:rPr>
          <w:sz w:val="28"/>
          <w:szCs w:val="28"/>
        </w:rPr>
        <w:fldChar w:fldCharType="begin"/>
      </w:r>
      <w:r>
        <w:rPr>
          <w:sz w:val="28"/>
          <w:szCs w:val="28"/>
        </w:rPr>
        <w:instrText xml:space="preserve"> PAGEREF _Toc5129 \h </w:instrText>
      </w:r>
      <w:r>
        <w:rPr>
          <w:sz w:val="28"/>
          <w:szCs w:val="28"/>
        </w:rPr>
        <w:fldChar w:fldCharType="separate"/>
      </w:r>
      <w:r>
        <w:rPr>
          <w:sz w:val="28"/>
          <w:szCs w:val="28"/>
        </w:rPr>
        <w:t>22</w:t>
      </w:r>
      <w:r>
        <w:rPr>
          <w:sz w:val="28"/>
          <w:szCs w:val="28"/>
        </w:rPr>
        <w:fldChar w:fldCharType="end"/>
      </w:r>
    </w:p>
    <w:p w14:paraId="65CB6865">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sz w:val="28"/>
          <w:szCs w:val="28"/>
        </w:rPr>
      </w:pPr>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 xml:space="preserve">1 </w:t>
      </w:r>
      <w:r>
        <w:rPr>
          <w:rFonts w:hint="eastAsia" w:ascii="仿宋_GB2312" w:hAnsi="仿宋_GB2312" w:eastAsia="仿宋_GB2312" w:cs="仿宋_GB2312"/>
          <w:sz w:val="28"/>
          <w:szCs w:val="28"/>
        </w:rPr>
        <w:t>主要任务列表</w:t>
      </w:r>
      <w:r>
        <w:rPr>
          <w:sz w:val="28"/>
          <w:szCs w:val="28"/>
        </w:rPr>
        <w:tab/>
      </w:r>
      <w:r>
        <w:rPr>
          <w:sz w:val="28"/>
          <w:szCs w:val="28"/>
        </w:rPr>
        <w:fldChar w:fldCharType="begin"/>
      </w:r>
      <w:r>
        <w:rPr>
          <w:sz w:val="28"/>
          <w:szCs w:val="28"/>
        </w:rPr>
        <w:instrText xml:space="preserve"> PAGEREF _Toc23776 \h </w:instrText>
      </w:r>
      <w:r>
        <w:rPr>
          <w:sz w:val="28"/>
          <w:szCs w:val="28"/>
        </w:rPr>
        <w:fldChar w:fldCharType="separate"/>
      </w:r>
      <w:r>
        <w:rPr>
          <w:sz w:val="28"/>
          <w:szCs w:val="28"/>
        </w:rPr>
        <w:t>23</w:t>
      </w:r>
      <w:r>
        <w:rPr>
          <w:sz w:val="28"/>
          <w:szCs w:val="28"/>
        </w:rPr>
        <w:fldChar w:fldCharType="end"/>
      </w:r>
    </w:p>
    <w:p w14:paraId="71BCCAF3">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pPr>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2 各行政（功能）区目标分解表</w:t>
      </w:r>
      <w:r>
        <w:rPr>
          <w:sz w:val="28"/>
          <w:szCs w:val="28"/>
        </w:rPr>
        <w:tab/>
      </w:r>
      <w:r>
        <w:rPr>
          <w:sz w:val="28"/>
          <w:szCs w:val="28"/>
        </w:rPr>
        <w:fldChar w:fldCharType="begin"/>
      </w:r>
      <w:r>
        <w:rPr>
          <w:sz w:val="28"/>
          <w:szCs w:val="28"/>
        </w:rPr>
        <w:instrText xml:space="preserve"> PAGEREF _Toc29561 \h </w:instrText>
      </w:r>
      <w:r>
        <w:rPr>
          <w:sz w:val="28"/>
          <w:szCs w:val="28"/>
        </w:rPr>
        <w:fldChar w:fldCharType="separate"/>
      </w:r>
      <w:r>
        <w:rPr>
          <w:sz w:val="28"/>
          <w:szCs w:val="28"/>
        </w:rPr>
        <w:t>26</w:t>
      </w:r>
      <w:r>
        <w:rPr>
          <w:sz w:val="28"/>
          <w:szCs w:val="28"/>
        </w:rPr>
        <w:fldChar w:fldCharType="end"/>
      </w:r>
      <w:r>
        <w:rPr>
          <w:rFonts w:hint="eastAsia"/>
          <w:sz w:val="28"/>
          <w:szCs w:val="28"/>
        </w:rPr>
        <w:fldChar w:fldCharType="end"/>
      </w:r>
    </w:p>
    <w:p w14:paraId="70F250E3">
      <w:pPr>
        <w:pStyle w:val="2"/>
        <w:keepNext w:val="0"/>
        <w:keepLines w:val="0"/>
        <w:pageBreakBefore w:val="0"/>
        <w:kinsoku/>
        <w:wordWrap/>
        <w:overflowPunct/>
        <w:topLinePunct w:val="0"/>
        <w:autoSpaceDE/>
        <w:autoSpaceDN/>
        <w:bidi w:val="0"/>
        <w:spacing w:line="520" w:lineRule="exact"/>
        <w:ind w:left="0" w:leftChars="0"/>
        <w:sectPr>
          <w:footerReference r:id="rId5" w:type="default"/>
          <w:pgSz w:w="11906" w:h="16838"/>
          <w:pgMar w:top="1440" w:right="1800" w:bottom="1440" w:left="1800" w:header="851" w:footer="992" w:gutter="0"/>
          <w:pgNumType w:fmt="lowerRoman" w:start="1"/>
          <w:cols w:space="720" w:num="1"/>
          <w:docGrid w:type="lines" w:linePitch="312" w:charSpace="0"/>
        </w:sectPr>
      </w:pPr>
    </w:p>
    <w:p w14:paraId="68FDA65D">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bookmarkStart w:id="61" w:name="_Toc20227"/>
      <w:bookmarkStart w:id="62" w:name="_Toc19719"/>
      <w:bookmarkStart w:id="63" w:name="_Toc4771"/>
      <w:bookmarkStart w:id="64" w:name="_Toc16812"/>
      <w:bookmarkStart w:id="65" w:name="_Toc27332"/>
      <w:bookmarkStart w:id="66" w:name="_Toc11135"/>
      <w:bookmarkStart w:id="67" w:name="_Toc28574"/>
      <w:bookmarkStart w:id="68" w:name="_Toc16909"/>
      <w:r>
        <w:rPr>
          <w:rFonts w:hint="eastAsia" w:ascii="仿宋_GB2312" w:hAnsi="仿宋_GB2312" w:eastAsia="仿宋_GB2312" w:cs="仿宋_GB2312"/>
          <w:sz w:val="32"/>
          <w:szCs w:val="32"/>
        </w:rPr>
        <w:t>为进一步提高“十四五”期间建筑节能水平，推动城乡建设绿色低碳发展，根据《住房和城乡建设部关于印发“十四五”建筑节能与绿色建筑发展规划的通知》《中共广东省委 广东省人民政府关于完整准确全面贯彻新发展理念推进碳达峰碳中和工作的实施意见》《广东省住房城乡建设事业“十四五”规划纲要》、《广东省建筑节能与绿色建筑发展“十四五”规划》等文件，结合我市实际，制定本规划。</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74506BA">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一、发展环境</w:t>
      </w:r>
    </w:p>
    <w:p w14:paraId="73D47CE1">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69" w:name="_Toc17980"/>
      <w:bookmarkStart w:id="70" w:name="_Toc29819"/>
      <w:bookmarkStart w:id="71" w:name="_Toc3567"/>
      <w:bookmarkStart w:id="72" w:name="_Toc25980"/>
      <w:bookmarkStart w:id="73" w:name="_Toc15008"/>
      <w:bookmarkStart w:id="74" w:name="_Toc4235"/>
      <w:bookmarkStart w:id="75" w:name="_Toc8488"/>
      <w:bookmarkStart w:id="76" w:name="_Toc13561"/>
      <w:bookmarkStart w:id="77" w:name="_Toc16020"/>
      <w:bookmarkStart w:id="78" w:name="_Toc2416"/>
      <w:bookmarkStart w:id="79" w:name="_Toc21221"/>
      <w:bookmarkStart w:id="80" w:name="_Toc10641"/>
      <w:bookmarkStart w:id="81" w:name="_Toc21305"/>
      <w:bookmarkStart w:id="82" w:name="_Toc2791"/>
      <w:bookmarkStart w:id="83" w:name="_Toc5573"/>
      <w:bookmarkStart w:id="84" w:name="_Toc442"/>
      <w:bookmarkStart w:id="85" w:name="_Toc11495"/>
      <w:bookmarkStart w:id="86" w:name="_Toc12155"/>
      <w:bookmarkStart w:id="87" w:name="_Toc20191"/>
      <w:bookmarkStart w:id="88" w:name="_Toc18121"/>
      <w:bookmarkStart w:id="89" w:name="_Toc21332"/>
      <w:bookmarkStart w:id="90" w:name="_Toc32021"/>
      <w:bookmarkStart w:id="91" w:name="_Toc23875"/>
      <w:bookmarkStart w:id="92" w:name="_Toc20546"/>
      <w:bookmarkStart w:id="93" w:name="_Toc241"/>
      <w:bookmarkStart w:id="94" w:name="_Toc31841"/>
      <w:bookmarkStart w:id="95" w:name="_Toc22911"/>
      <w:bookmarkStart w:id="96" w:name="_Toc12011"/>
      <w:bookmarkStart w:id="97" w:name="_Toc4830"/>
      <w:bookmarkStart w:id="98" w:name="_Toc23752"/>
      <w:bookmarkStart w:id="99" w:name="_Toc20914"/>
      <w:bookmarkStart w:id="100" w:name="_Toc4615"/>
      <w:bookmarkStart w:id="101" w:name="_Toc13164"/>
      <w:bookmarkStart w:id="102" w:name="_Toc7005"/>
      <w:bookmarkStart w:id="103" w:name="_Toc8218"/>
      <w:bookmarkStart w:id="104" w:name="_Toc27207"/>
      <w:bookmarkStart w:id="105" w:name="_Toc26604"/>
      <w:bookmarkStart w:id="106" w:name="_Toc27222"/>
      <w:bookmarkStart w:id="107" w:name="_Toc18054"/>
      <w:bookmarkStart w:id="108" w:name="_Toc12574"/>
      <w:bookmarkStart w:id="109" w:name="_Toc18592"/>
      <w:bookmarkStart w:id="110" w:name="_Toc5933"/>
      <w:bookmarkStart w:id="111" w:name="_Toc377"/>
      <w:bookmarkStart w:id="112" w:name="_Toc13862"/>
      <w:bookmarkStart w:id="113" w:name="_Toc8571"/>
      <w:bookmarkStart w:id="114" w:name="_Toc2215"/>
      <w:bookmarkStart w:id="115" w:name="_Toc30664"/>
      <w:bookmarkStart w:id="116" w:name="_Toc24696"/>
      <w:bookmarkStart w:id="117" w:name="_Toc837"/>
      <w:bookmarkStart w:id="118" w:name="_Toc31330"/>
      <w:bookmarkStart w:id="119" w:name="_Toc6997"/>
      <w:bookmarkStart w:id="120" w:name="_Toc22992"/>
      <w:bookmarkStart w:id="121" w:name="_Toc19566"/>
      <w:bookmarkStart w:id="122" w:name="_Toc8578"/>
      <w:bookmarkStart w:id="123" w:name="_Toc26211"/>
      <w:bookmarkStart w:id="124" w:name="_Toc10790"/>
      <w:bookmarkStart w:id="125" w:name="_Toc8253"/>
      <w:bookmarkStart w:id="126" w:name="_Toc16861"/>
      <w:bookmarkStart w:id="127" w:name="_Toc4251"/>
      <w:bookmarkStart w:id="128" w:name="_Toc23448"/>
      <w:bookmarkStart w:id="129" w:name="_Toc20217"/>
      <w:bookmarkStart w:id="130" w:name="_Toc24157"/>
      <w:bookmarkStart w:id="131" w:name="_Toc5205"/>
      <w:bookmarkStart w:id="132" w:name="_Toc32020"/>
      <w:bookmarkStart w:id="133" w:name="_Toc27143"/>
      <w:bookmarkStart w:id="134" w:name="_Toc8373"/>
      <w:bookmarkStart w:id="135" w:name="_Toc23927"/>
      <w:r>
        <w:rPr>
          <w:rFonts w:hint="eastAsia" w:ascii="楷体_GB2312" w:hAnsi="楷体_GB2312" w:eastAsia="楷体_GB2312" w:cs="楷体_GB2312"/>
          <w:sz w:val="32"/>
          <w:szCs w:val="32"/>
        </w:rPr>
        <w:t>（一）</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楷体_GB2312" w:hAnsi="楷体_GB2312" w:eastAsia="楷体_GB2312" w:cs="楷体_GB2312"/>
          <w:sz w:val="32"/>
          <w:szCs w:val="32"/>
        </w:rPr>
        <w:t>发展基础。</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89279D0">
      <w:pPr>
        <w:keepNext w:val="0"/>
        <w:keepLines w:val="0"/>
        <w:pageBreakBefore w:val="0"/>
        <w:kinsoku/>
        <w:wordWrap/>
        <w:overflowPunct/>
        <w:topLinePunct w:val="0"/>
        <w:autoSpaceDE/>
        <w:autoSpaceDN/>
        <w:bidi w:val="0"/>
        <w:adjustRightInd w:val="0"/>
        <w:snapToGrid w:val="0"/>
        <w:spacing w:line="520" w:lineRule="exact"/>
        <w:ind w:firstLine="643" w:firstLineChars="200"/>
        <w:outlineLvl w:val="2"/>
        <w:rPr>
          <w:rFonts w:ascii="楷体_GB2312" w:hAnsi="楷体_GB2312" w:eastAsia="仿宋_GB2312" w:cs="楷体_GB2312"/>
          <w:sz w:val="32"/>
          <w:szCs w:val="32"/>
        </w:rPr>
      </w:pPr>
      <w:r>
        <w:rPr>
          <w:rFonts w:ascii="仿宋_GB2312" w:hAnsi="仿宋_GB2312" w:eastAsia="仿宋_GB2312" w:cs="仿宋_GB2312"/>
          <w:b/>
          <w:bCs/>
          <w:sz w:val="32"/>
          <w:szCs w:val="32"/>
        </w:rPr>
        <w:t>1.建筑节能水平</w:t>
      </w:r>
      <w:r>
        <w:rPr>
          <w:rFonts w:hint="eastAsia" w:ascii="仿宋_GB2312" w:hAnsi="仿宋_GB2312" w:eastAsia="仿宋_GB2312" w:cs="仿宋_GB2312"/>
          <w:b/>
          <w:bCs/>
          <w:sz w:val="32"/>
          <w:szCs w:val="32"/>
        </w:rPr>
        <w:t>进一步提升。</w:t>
      </w:r>
    </w:p>
    <w:p w14:paraId="6359952B">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新建建筑节能水平稳步提高。发布实施《珠海市建筑节能和绿色建筑“十三五”发展规划（</w:t>
      </w:r>
      <w:r>
        <w:rPr>
          <w:rFonts w:ascii="仿宋_GB2312" w:hAnsi="仿宋_GB2312" w:eastAsia="仿宋_GB2312" w:cs="仿宋_GB2312"/>
          <w:sz w:val="32"/>
          <w:szCs w:val="32"/>
        </w:rPr>
        <w:t>2016-2020</w:t>
      </w:r>
      <w:r>
        <w:rPr>
          <w:rFonts w:hint="eastAsia" w:ascii="仿宋_GB2312" w:hAnsi="仿宋_GB2312" w:eastAsia="仿宋_GB2312" w:cs="仿宋_GB2312"/>
          <w:sz w:val="32"/>
          <w:szCs w:val="32"/>
        </w:rPr>
        <w:t>）》（珠规建质〔</w:t>
      </w:r>
      <w:r>
        <w:rPr>
          <w:rFonts w:ascii="仿宋_GB2312" w:hAnsi="仿宋_GB2312" w:eastAsia="仿宋_GB2312" w:cs="仿宋_GB2312"/>
          <w:sz w:val="32"/>
          <w:szCs w:val="32"/>
        </w:rPr>
        <w:t>2016〕200号</w:t>
      </w:r>
      <w:r>
        <w:rPr>
          <w:rFonts w:hint="eastAsia" w:ascii="仿宋_GB2312" w:hAnsi="仿宋_GB2312" w:eastAsia="仿宋_GB2312" w:cs="仿宋_GB2312"/>
          <w:sz w:val="32"/>
          <w:szCs w:val="32"/>
        </w:rPr>
        <w:t>）、《珠海市超高超限建筑节能设计专项论证工作指引》（珠规建质〔</w:t>
      </w:r>
      <w:r>
        <w:rPr>
          <w:rFonts w:ascii="仿宋_GB2312" w:hAnsi="仿宋_GB2312" w:eastAsia="仿宋_GB2312" w:cs="仿宋_GB2312"/>
          <w:sz w:val="32"/>
          <w:szCs w:val="32"/>
        </w:rPr>
        <w:t>2018〕80号</w:t>
      </w:r>
      <w:r>
        <w:rPr>
          <w:rFonts w:hint="eastAsia" w:ascii="仿宋_GB2312" w:hAnsi="仿宋_GB2312" w:eastAsia="仿宋_GB2312" w:cs="仿宋_GB2312"/>
          <w:sz w:val="32"/>
          <w:szCs w:val="32"/>
        </w:rPr>
        <w:t>）。“十三五”期间我市新建建筑设计、施工、竣工验收阶段</w:t>
      </w:r>
      <w:r>
        <w:rPr>
          <w:rFonts w:ascii="仿宋_GB2312" w:hAnsi="仿宋_GB2312" w:eastAsia="仿宋_GB2312" w:cs="仿宋_GB2312"/>
          <w:sz w:val="32"/>
          <w:szCs w:val="32"/>
        </w:rPr>
        <w:t>100%执行节能强制性标准</w:t>
      </w:r>
      <w:r>
        <w:rPr>
          <w:rFonts w:hint="eastAsia" w:ascii="仿宋_GB2312" w:hAnsi="仿宋_GB2312" w:eastAsia="仿宋_GB2312" w:cs="仿宋_GB2312"/>
          <w:sz w:val="32"/>
          <w:szCs w:val="32"/>
        </w:rPr>
        <w:t>，共新增节能建筑总面积达到</w:t>
      </w:r>
      <w:r>
        <w:rPr>
          <w:rFonts w:ascii="仿宋_GB2312" w:hAnsi="仿宋_GB2312" w:eastAsia="仿宋_GB2312" w:cs="仿宋_GB2312"/>
          <w:sz w:val="32"/>
          <w:szCs w:val="32"/>
        </w:rPr>
        <w:t>8914.26</w:t>
      </w:r>
      <w:r>
        <w:rPr>
          <w:rFonts w:hint="eastAsia" w:ascii="仿宋_GB2312" w:hAnsi="仿宋_GB2312" w:eastAsia="仿宋_GB2312" w:cs="仿宋_GB2312"/>
          <w:sz w:val="32"/>
          <w:szCs w:val="32"/>
        </w:rPr>
        <w:t>万平方米。</w:t>
      </w:r>
    </w:p>
    <w:p w14:paraId="2E4BFDCC">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既有建筑节能水平稳步提升。“十三五”期间，我市建筑节能能耗监测平台不断完善，国家机关办公建筑和大型公共建筑持续纳入监测平台系统，共完成</w:t>
      </w:r>
      <w:r>
        <w:rPr>
          <w:rFonts w:ascii="仿宋_GB2312" w:hAnsi="仿宋_GB2312" w:eastAsia="仿宋_GB2312" w:cs="仿宋_GB2312"/>
          <w:sz w:val="32"/>
          <w:szCs w:val="32"/>
        </w:rPr>
        <w:t>457</w:t>
      </w:r>
      <w:r>
        <w:rPr>
          <w:rFonts w:hint="eastAsia" w:ascii="仿宋_GB2312" w:hAnsi="仿宋_GB2312" w:eastAsia="仿宋_GB2312" w:cs="仿宋_GB2312"/>
          <w:sz w:val="32"/>
          <w:szCs w:val="32"/>
        </w:rPr>
        <w:t>栋建筑能耗统计、能耗公示，</w:t>
      </w:r>
      <w:r>
        <w:rPr>
          <w:rFonts w:ascii="仿宋_GB2312" w:hAnsi="仿宋_GB2312" w:eastAsia="仿宋_GB2312" w:cs="仿宋_GB2312"/>
          <w:sz w:val="32"/>
          <w:szCs w:val="32"/>
        </w:rPr>
        <w:t>63</w:t>
      </w:r>
      <w:r>
        <w:rPr>
          <w:rFonts w:hint="eastAsia" w:ascii="仿宋_GB2312" w:hAnsi="仿宋_GB2312" w:eastAsia="仿宋_GB2312" w:cs="仿宋_GB2312"/>
          <w:sz w:val="32"/>
          <w:szCs w:val="32"/>
        </w:rPr>
        <w:t>栋能源审计，</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栋能耗监测，</w:t>
      </w:r>
      <w:r>
        <w:rPr>
          <w:rFonts w:ascii="仿宋_GB2312" w:hAnsi="仿宋_GB2312" w:eastAsia="仿宋_GB2312" w:cs="仿宋_GB2312"/>
          <w:sz w:val="32"/>
          <w:szCs w:val="32"/>
        </w:rPr>
        <w:t>457</w:t>
      </w:r>
      <w:r>
        <w:rPr>
          <w:rFonts w:hint="eastAsia" w:ascii="仿宋_GB2312" w:hAnsi="仿宋_GB2312" w:eastAsia="仿宋_GB2312" w:cs="仿宋_GB2312"/>
          <w:sz w:val="32"/>
          <w:szCs w:val="32"/>
        </w:rPr>
        <w:t>栋能耗公示。积极推动既有居住建筑、公共建筑节能改造，“十三五”期间，我市既有居住建筑节能改造面积达到</w:t>
      </w:r>
      <w:r>
        <w:rPr>
          <w:rFonts w:ascii="仿宋_GB2312" w:hAnsi="仿宋_GB2312" w:eastAsia="仿宋_GB2312" w:cs="仿宋_GB2312"/>
          <w:sz w:val="32"/>
          <w:szCs w:val="32"/>
        </w:rPr>
        <w:t>14.34</w:t>
      </w:r>
      <w:r>
        <w:rPr>
          <w:rFonts w:hint="eastAsia" w:ascii="仿宋_GB2312" w:hAnsi="仿宋_GB2312" w:eastAsia="仿宋_GB2312" w:cs="仿宋_GB2312"/>
          <w:sz w:val="32"/>
          <w:szCs w:val="32"/>
        </w:rPr>
        <w:t>万平方米，既有公共建筑节能改造面积达到</w:t>
      </w:r>
      <w:r>
        <w:rPr>
          <w:rFonts w:ascii="仿宋_GB2312" w:hAnsi="仿宋_GB2312" w:eastAsia="仿宋_GB2312" w:cs="仿宋_GB2312"/>
          <w:sz w:val="32"/>
          <w:szCs w:val="32"/>
        </w:rPr>
        <w:t>177.08</w:t>
      </w:r>
      <w:r>
        <w:rPr>
          <w:rFonts w:hint="eastAsia" w:ascii="仿宋_GB2312" w:hAnsi="仿宋_GB2312" w:eastAsia="仿宋_GB2312" w:cs="仿宋_GB2312"/>
          <w:sz w:val="32"/>
          <w:szCs w:val="32"/>
        </w:rPr>
        <w:t>万平方米。</w:t>
      </w:r>
    </w:p>
    <w:p w14:paraId="2DD3AD12">
      <w:pPr>
        <w:keepNext w:val="0"/>
        <w:keepLines w:val="0"/>
        <w:pageBreakBefore w:val="0"/>
        <w:kinsoku/>
        <w:wordWrap/>
        <w:overflowPunct/>
        <w:topLinePunct w:val="0"/>
        <w:autoSpaceDE/>
        <w:autoSpaceDN/>
        <w:bidi w:val="0"/>
        <w:adjustRightInd w:val="0"/>
        <w:snapToGrid w:val="0"/>
        <w:spacing w:line="520" w:lineRule="exact"/>
        <w:ind w:firstLine="640" w:firstLineChars="200"/>
      </w:pPr>
      <w:r>
        <w:rPr>
          <w:rFonts w:hint="eastAsia" w:ascii="仿宋_GB2312" w:hAnsi="仿宋_GB2312" w:eastAsia="仿宋_GB2312" w:cs="仿宋_GB2312"/>
          <w:sz w:val="32"/>
          <w:szCs w:val="32"/>
        </w:rPr>
        <w:t>可再生能源建筑应用深入推进。充分利用</w:t>
      </w:r>
      <w:r>
        <w:rPr>
          <w:rFonts w:ascii="仿宋_GB2312" w:hAnsi="仿宋_GB2312" w:eastAsia="仿宋_GB2312" w:cs="仿宋_GB2312"/>
          <w:sz w:val="32"/>
          <w:szCs w:val="32"/>
        </w:rPr>
        <w:t>2017年工业厂区光伏屋顶建设研究成果，做好全市各区可再生能源目标任务指标分配下达工作，强化节能减排考核，推动可再生能源的综合利用。</w:t>
      </w:r>
      <w:r>
        <w:rPr>
          <w:rFonts w:hint="eastAsia" w:ascii="仿宋_GB2312" w:eastAsia="仿宋_GB2312"/>
          <w:color w:val="000000"/>
          <w:sz w:val="32"/>
          <w:szCs w:val="32"/>
        </w:rPr>
        <w:t>建成广东龙丰精密铜管4.42MWP分布式光伏发电项目、</w:t>
      </w:r>
      <w:r>
        <w:rPr>
          <w:rFonts w:hint="eastAsia" w:ascii="仿宋_GB2312" w:eastAsia="仿宋_GB2312"/>
          <w:sz w:val="32"/>
          <w:szCs w:val="32"/>
        </w:rPr>
        <w:t>广东金莱特电器股份有限公司光伏发电节能改造项目</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珠海励志洋行办公家私有限公司光伏发电项目，</w:t>
      </w:r>
      <w:r>
        <w:rPr>
          <w:rFonts w:hint="eastAsia" w:ascii="仿宋" w:hAnsi="仿宋" w:eastAsia="仿宋" w:cs="仿宋"/>
          <w:color w:val="000000"/>
          <w:sz w:val="32"/>
          <w:szCs w:val="32"/>
        </w:rPr>
        <w:t>珠海城建智慧能源分布式光伏发电一期项目等项目</w:t>
      </w:r>
      <w:r>
        <w:rPr>
          <w:rFonts w:hint="eastAsia" w:ascii="仿宋_GB2312" w:eastAsia="仿宋_GB2312"/>
          <w:sz w:val="32"/>
          <w:szCs w:val="32"/>
        </w:rPr>
        <w:t>。</w:t>
      </w:r>
      <w:r>
        <w:rPr>
          <w:rFonts w:hint="eastAsia" w:ascii="仿宋_GB2312" w:hAnsi="仿宋_GB2312" w:eastAsia="仿宋_GB2312" w:cs="仿宋_GB2312"/>
          <w:sz w:val="32"/>
          <w:szCs w:val="32"/>
        </w:rPr>
        <w:t>“十三五”期间</w:t>
      </w:r>
      <w:r>
        <w:rPr>
          <w:rFonts w:hint="eastAsia" w:ascii="仿宋_GB2312" w:eastAsia="仿宋_GB2312"/>
          <w:sz w:val="32"/>
          <w:szCs w:val="32"/>
        </w:rPr>
        <w:t>，</w:t>
      </w:r>
      <w:r>
        <w:rPr>
          <w:rFonts w:hint="eastAsia" w:ascii="仿宋_GB2312" w:hAnsi="仿宋_GB2312" w:eastAsia="仿宋_GB2312" w:cs="仿宋_GB2312"/>
          <w:sz w:val="32"/>
          <w:szCs w:val="32"/>
        </w:rPr>
        <w:t>新增太阳能光电建筑装机容量</w:t>
      </w:r>
      <w:r>
        <w:rPr>
          <w:rFonts w:ascii="仿宋_GB2312" w:hAnsi="仿宋_GB2312" w:eastAsia="仿宋_GB2312" w:cs="仿宋_GB2312"/>
          <w:sz w:val="32"/>
          <w:szCs w:val="32"/>
        </w:rPr>
        <w:t>49.99</w:t>
      </w:r>
      <w:r>
        <w:rPr>
          <w:rFonts w:hint="eastAsia" w:ascii="仿宋_GB2312" w:hAnsi="仿宋_GB2312" w:eastAsia="仿宋_GB2312" w:cs="仿宋_GB2312"/>
          <w:sz w:val="32"/>
          <w:szCs w:val="32"/>
        </w:rPr>
        <w:t>兆瓦、新增太阳能光热建筑应用面积</w:t>
      </w:r>
      <w:r>
        <w:rPr>
          <w:rFonts w:ascii="仿宋_GB2312" w:hAnsi="仿宋_GB2312" w:eastAsia="仿宋_GB2312" w:cs="仿宋_GB2312"/>
          <w:sz w:val="32"/>
          <w:szCs w:val="32"/>
        </w:rPr>
        <w:t>26.81</w:t>
      </w:r>
      <w:r>
        <w:rPr>
          <w:rFonts w:hint="eastAsia" w:ascii="仿宋_GB2312" w:hAnsi="仿宋_GB2312" w:eastAsia="仿宋_GB2312" w:cs="仿宋_GB2312"/>
          <w:sz w:val="32"/>
          <w:szCs w:val="32"/>
        </w:rPr>
        <w:t>万平方米。</w:t>
      </w:r>
    </w:p>
    <w:p w14:paraId="65075975">
      <w:pPr>
        <w:keepNext w:val="0"/>
        <w:keepLines w:val="0"/>
        <w:pageBreakBefore w:val="0"/>
        <w:kinsoku/>
        <w:wordWrap/>
        <w:overflowPunct/>
        <w:topLinePunct w:val="0"/>
        <w:autoSpaceDE/>
        <w:autoSpaceDN/>
        <w:bidi w:val="0"/>
        <w:adjustRightInd w:val="0"/>
        <w:snapToGrid w:val="0"/>
        <w:spacing w:line="520" w:lineRule="exact"/>
        <w:ind w:firstLine="643" w:firstLineChars="200"/>
        <w:outlineLvl w:val="2"/>
        <w:rPr>
          <w:rFonts w:ascii="仿宋_GB2312" w:hAnsi="仿宋_GB2312" w:eastAsia="仿宋_GB2312" w:cs="仿宋_GB2312"/>
          <w:b/>
          <w:bCs/>
          <w:sz w:val="32"/>
          <w:szCs w:val="32"/>
        </w:rPr>
      </w:pPr>
      <w:r>
        <w:rPr>
          <w:rFonts w:ascii="仿宋_GB2312" w:hAnsi="仿宋_GB2312" w:eastAsia="仿宋_GB2312" w:cs="仿宋_GB2312"/>
          <w:b/>
          <w:bCs/>
          <w:sz w:val="32"/>
          <w:szCs w:val="32"/>
        </w:rPr>
        <w:t>2.绿色建筑</w:t>
      </w:r>
      <w:r>
        <w:rPr>
          <w:rFonts w:hint="eastAsia" w:ascii="仿宋_GB2312" w:hAnsi="仿宋_GB2312" w:eastAsia="仿宋_GB2312" w:cs="仿宋_GB2312"/>
          <w:b/>
          <w:bCs/>
          <w:sz w:val="32"/>
          <w:szCs w:val="32"/>
        </w:rPr>
        <w:t>量质发展走在全省前列。</w:t>
      </w:r>
    </w:p>
    <w:p w14:paraId="541CE21D">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绿色建筑发展相关政策法规和技术标准不断完善。发布《关于印发执行〈珠海市绿色建筑施工图设计文件编制与审查要点（</w:t>
      </w:r>
      <w:r>
        <w:rPr>
          <w:rFonts w:ascii="仿宋_GB2312" w:hAnsi="仿宋_GB2312" w:eastAsia="仿宋_GB2312" w:cs="仿宋_GB2312"/>
          <w:sz w:val="32"/>
          <w:szCs w:val="32"/>
        </w:rPr>
        <w:t>2017版）〉的通知》（珠规建质〔2017〕27号）、《珠海市住房和城乡建设局关于全面实施〈绿色建筑评价标准〉（GB/T 50378-2019）有关事项的通知》、《珠海市绿色建筑隔声应用技术指南》，绿色建筑规划、设计、图审、施工、验收全过程监管不断强化。</w:t>
      </w:r>
    </w:p>
    <w:p w14:paraId="2E448B50">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绿色建筑量质齐升成效显著。“十三五”时期，新建绿色建筑总建筑面积超过</w:t>
      </w:r>
      <w:r>
        <w:rPr>
          <w:rFonts w:ascii="仿宋_GB2312" w:hAnsi="仿宋_GB2312" w:eastAsia="仿宋_GB2312" w:cs="仿宋_GB2312"/>
          <w:sz w:val="32"/>
          <w:szCs w:val="32"/>
        </w:rPr>
        <w:t>6875.45</w:t>
      </w:r>
      <w:r>
        <w:rPr>
          <w:rFonts w:hint="eastAsia" w:ascii="仿宋_GB2312" w:hAnsi="仿宋_GB2312" w:eastAsia="仿宋_GB2312" w:cs="仿宋_GB2312"/>
          <w:sz w:val="32"/>
          <w:szCs w:val="32"/>
        </w:rPr>
        <w:t>万平方米，大幅超过新增</w:t>
      </w:r>
      <w:r>
        <w:rPr>
          <w:rFonts w:ascii="仿宋_GB2312" w:hAnsi="仿宋_GB2312" w:eastAsia="仿宋_GB2312" w:cs="仿宋_GB2312"/>
          <w:sz w:val="32"/>
          <w:szCs w:val="32"/>
        </w:rPr>
        <w:t>2000万平方米绿色建筑的任务目标。二星级及以上新建绿色建筑面积约2470.84</w:t>
      </w:r>
      <w:r>
        <w:rPr>
          <w:rFonts w:hint="eastAsia" w:ascii="仿宋_GB2312" w:hAnsi="仿宋_GB2312" w:eastAsia="仿宋_GB2312" w:cs="仿宋_GB2312"/>
          <w:sz w:val="32"/>
          <w:szCs w:val="32"/>
        </w:rPr>
        <w:t>万平方米，运行阶段绿色建筑面积约</w:t>
      </w:r>
      <w:r>
        <w:rPr>
          <w:rFonts w:ascii="仿宋_GB2312" w:hAnsi="仿宋_GB2312" w:eastAsia="仿宋_GB2312" w:cs="仿宋_GB2312"/>
          <w:sz w:val="32"/>
          <w:szCs w:val="32"/>
        </w:rPr>
        <w:t>54.79</w:t>
      </w:r>
      <w:r>
        <w:rPr>
          <w:rFonts w:hint="eastAsia" w:ascii="仿宋_GB2312" w:hAnsi="仿宋_GB2312" w:eastAsia="仿宋_GB2312" w:cs="仿宋_GB2312"/>
          <w:sz w:val="32"/>
          <w:szCs w:val="32"/>
        </w:rPr>
        <w:t>万平方米，高星级绿色建筑和运行阶段绿色建筑建筑面积呈现稳步增长的趋势，建成了珠海兴业新能源产业园研发楼等高星级绿色建筑运行标识项目。</w:t>
      </w:r>
    </w:p>
    <w:p w14:paraId="2C5D25E4">
      <w:pPr>
        <w:pStyle w:val="2"/>
        <w:keepNext w:val="0"/>
        <w:keepLines w:val="0"/>
        <w:pageBreakBefore w:val="0"/>
        <w:kinsoku/>
        <w:wordWrap/>
        <w:overflowPunct/>
        <w:topLinePunct w:val="0"/>
        <w:autoSpaceDE/>
        <w:autoSpaceDN/>
        <w:bidi w:val="0"/>
        <w:spacing w:after="0" w:line="520" w:lineRule="exact"/>
        <w:ind w:left="0" w:leftChars="0" w:firstLine="697" w:firstLineChars="218"/>
        <w:rPr>
          <w:rFonts w:ascii="仿宋_GB2312" w:hAnsi="仿宋_GB2312" w:eastAsia="仿宋_GB2312" w:cs="仿宋_GB2312"/>
          <w:sz w:val="32"/>
          <w:szCs w:val="32"/>
        </w:rPr>
      </w:pPr>
      <w:r>
        <w:rPr>
          <w:rFonts w:hint="eastAsia" w:ascii="仿宋_GB2312" w:hAnsi="仿宋_GB2312" w:eastAsia="仿宋_GB2312" w:cs="仿宋_GB2312"/>
          <w:bCs/>
          <w:sz w:val="32"/>
          <w:szCs w:val="32"/>
        </w:rPr>
        <w:t>全面开展绿色建筑竣工验收工作。发布《珠海市绿色建筑工程验收导则》（珠规建质〔</w:t>
      </w:r>
      <w:r>
        <w:rPr>
          <w:rFonts w:ascii="仿宋_GB2312" w:hAnsi="仿宋_GB2312" w:eastAsia="仿宋_GB2312" w:cs="仿宋_GB2312"/>
          <w:bCs/>
          <w:sz w:val="32"/>
          <w:szCs w:val="32"/>
        </w:rPr>
        <w:t>2018〕1号）、《珠海市住房和城乡规划建设局关于进一步加强绿色建筑工程验收工作的通知》（珠规建质〔2018〕101号）、《关于印发〈珠海市绿色建筑工程验收导则〉（2018版）条文解释的通知》（珠建绿建〔2019</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7</w:t>
      </w:r>
      <w:r>
        <w:rPr>
          <w:rFonts w:hint="eastAsia" w:ascii="仿宋_GB2312" w:hAnsi="仿宋_GB2312" w:eastAsia="仿宋_GB2312" w:cs="仿宋_GB2312"/>
          <w:bCs/>
          <w:sz w:val="32"/>
          <w:szCs w:val="32"/>
        </w:rPr>
        <w:t>号），《珠海市住房和城乡建设局关于印发〈珠海市绿色建筑工程验收工作指引〉（暂行）的通知》（珠建科〔</w:t>
      </w:r>
      <w:r>
        <w:rPr>
          <w:rFonts w:ascii="仿宋_GB2312" w:hAnsi="仿宋_GB2312" w:eastAsia="仿宋_GB2312" w:cs="仿宋_GB2312"/>
          <w:bCs/>
          <w:sz w:val="32"/>
          <w:szCs w:val="32"/>
        </w:rPr>
        <w:t>2019</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8</w:t>
      </w:r>
      <w:r>
        <w:rPr>
          <w:rFonts w:hint="eastAsia" w:ascii="仿宋_GB2312" w:hAnsi="仿宋_GB2312" w:eastAsia="仿宋_GB2312" w:cs="仿宋_GB2312"/>
          <w:bCs/>
          <w:sz w:val="32"/>
          <w:szCs w:val="32"/>
        </w:rPr>
        <w:t>号），《关于进一步规范目前我市绿色建筑工程验收工作的通知》（珠建绿建〔</w:t>
      </w:r>
      <w:r>
        <w:rPr>
          <w:rFonts w:ascii="仿宋_GB2312" w:hAnsi="仿宋_GB2312" w:eastAsia="仿宋_GB2312" w:cs="仿宋_GB2312"/>
          <w:bCs/>
          <w:sz w:val="32"/>
          <w:szCs w:val="32"/>
        </w:rPr>
        <w:t>2020〕18号），《关于进一步规范绿色建筑工程验收报告的通知》（珠建绿建〔2020〕22号），《关于开展绿色建筑工程验收季度通报的通知》（珠建绿建〔2020〕25号），明确和规范绿色建筑工程验收中的相关事项，加强绿色建筑工程验收工作管理，保证各项绿色建筑技术落到实处。全市工程质量监督检测机构和节能主管机构负责相应日常监督管理。</w:t>
      </w:r>
    </w:p>
    <w:p w14:paraId="0E86CD9B">
      <w:pPr>
        <w:keepNext w:val="0"/>
        <w:keepLines w:val="0"/>
        <w:pageBreakBefore w:val="0"/>
        <w:kinsoku/>
        <w:wordWrap/>
        <w:overflowPunct/>
        <w:topLinePunct w:val="0"/>
        <w:autoSpaceDE/>
        <w:autoSpaceDN/>
        <w:bidi w:val="0"/>
        <w:adjustRightInd w:val="0"/>
        <w:snapToGrid w:val="0"/>
        <w:spacing w:line="520" w:lineRule="exact"/>
        <w:ind w:firstLine="643" w:firstLineChars="200"/>
        <w:outlineLvl w:val="2"/>
        <w:rPr>
          <w:rFonts w:ascii="仿宋_GB2312" w:hAnsi="仿宋_GB2312" w:eastAsia="仿宋_GB2312" w:cs="仿宋_GB2312"/>
          <w:b/>
          <w:bCs/>
          <w:sz w:val="32"/>
          <w:szCs w:val="32"/>
        </w:rPr>
      </w:pPr>
      <w:r>
        <w:rPr>
          <w:rFonts w:ascii="仿宋_GB2312" w:hAnsi="仿宋_GB2312" w:eastAsia="仿宋_GB2312" w:cs="仿宋_GB2312"/>
          <w:b/>
          <w:bCs/>
          <w:sz w:val="32"/>
          <w:szCs w:val="32"/>
        </w:rPr>
        <w:t>3.新型墙材和散装水泥广泛应用。</w:t>
      </w:r>
    </w:p>
    <w:p w14:paraId="2E2E626F">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扎实推进新墙材革新工作。</w:t>
      </w:r>
      <w:r>
        <w:rPr>
          <w:rFonts w:hint="eastAsia" w:ascii="仿宋_GB2312" w:hAnsi="仿宋_GB2312" w:eastAsia="仿宋_GB2312" w:cs="仿宋_GB2312"/>
          <w:color w:val="000000"/>
          <w:kern w:val="0"/>
          <w:sz w:val="32"/>
          <w:szCs w:val="32"/>
        </w:rPr>
        <w:t>重新修订</w:t>
      </w:r>
      <w:r>
        <w:rPr>
          <w:rFonts w:hint="eastAsia" w:ascii="仿宋_GB2312" w:hAnsi="仿宋_GB2312" w:eastAsia="仿宋_GB2312" w:cs="仿宋_GB2312"/>
          <w:color w:val="000000"/>
          <w:sz w:val="32"/>
          <w:szCs w:val="32"/>
        </w:rPr>
        <w:t>《珠海市新型墙体材料产品确认</w:t>
      </w:r>
      <w:r>
        <w:rPr>
          <w:rFonts w:hint="eastAsia" w:ascii="仿宋_GB2312" w:hAnsi="仿宋_GB2312" w:eastAsia="仿宋_GB2312" w:cs="仿宋_GB2312"/>
          <w:color w:val="333333"/>
          <w:sz w:val="32"/>
          <w:szCs w:val="32"/>
        </w:rPr>
        <w:t>管理办法（</w:t>
      </w:r>
      <w:r>
        <w:rPr>
          <w:rFonts w:ascii="仿宋_GB2312" w:hAnsi="仿宋_GB2312" w:eastAsia="仿宋_GB2312" w:cs="仿宋_GB2312"/>
          <w:color w:val="333333"/>
          <w:sz w:val="32"/>
          <w:szCs w:val="32"/>
        </w:rPr>
        <w:t>2007）》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印发了《关于进一步加强新型墙体材料产品确认工作的通知》</w:t>
      </w:r>
      <w:r>
        <w:rPr>
          <w:rFonts w:hint="eastAsia" w:ascii="仿宋_GB2312" w:hAnsi="仿宋_GB2312" w:eastAsia="仿宋_GB2312" w:cs="仿宋_GB2312"/>
          <w:color w:val="000000"/>
          <w:sz w:val="32"/>
          <w:szCs w:val="32"/>
        </w:rPr>
        <w:t>《关于加强新型墙体材料产品标识管理的通知》等文件</w:t>
      </w:r>
      <w:r>
        <w:rPr>
          <w:rFonts w:hint="eastAsia" w:ascii="仿宋_GB2312" w:hAnsi="仿宋_GB2312" w:eastAsia="仿宋_GB2312" w:cs="仿宋_GB2312"/>
          <w:color w:val="000000"/>
          <w:kern w:val="0"/>
          <w:sz w:val="32"/>
          <w:szCs w:val="32"/>
        </w:rPr>
        <w:t>，</w:t>
      </w:r>
      <w:r>
        <w:rPr>
          <w:rStyle w:val="24"/>
          <w:rFonts w:hint="eastAsia" w:ascii="仿宋_GB2312" w:hAnsi="仿宋_GB2312" w:eastAsia="仿宋_GB2312" w:cs="仿宋_GB2312"/>
          <w:b w:val="0"/>
          <w:bCs/>
          <w:color w:val="000000"/>
          <w:kern w:val="0"/>
          <w:sz w:val="32"/>
          <w:szCs w:val="32"/>
        </w:rPr>
        <w:t>严格落实产品</w:t>
      </w:r>
      <w:r>
        <w:rPr>
          <w:rFonts w:hint="eastAsia" w:ascii="仿宋_GB2312" w:hAnsi="仿宋_GB2312" w:eastAsia="仿宋_GB2312" w:cs="仿宋_GB2312"/>
          <w:color w:val="000000"/>
          <w:sz w:val="32"/>
          <w:szCs w:val="32"/>
        </w:rPr>
        <w:t>确认和标识管理制度</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sz w:val="32"/>
          <w:szCs w:val="32"/>
        </w:rPr>
        <w:t>加大市、区联动监管的力度，加强</w:t>
      </w:r>
      <w:r>
        <w:rPr>
          <w:rFonts w:hint="eastAsia" w:ascii="仿宋_GB2312" w:hAnsi="仿宋_GB2312" w:eastAsia="仿宋_GB2312" w:cs="仿宋_GB2312"/>
          <w:color w:val="000000"/>
          <w:kern w:val="0"/>
          <w:sz w:val="32"/>
          <w:szCs w:val="32"/>
          <w:shd w:val="clear" w:color="auto" w:fill="FFFFFF"/>
        </w:rPr>
        <w:t>对新墙材企业生产和施工现场使用的新墙材产品抽检，</w:t>
      </w:r>
      <w:r>
        <w:rPr>
          <w:rFonts w:hint="eastAsia" w:ascii="仿宋_GB2312" w:hAnsi="仿宋_GB2312" w:eastAsia="仿宋_GB2312" w:cs="仿宋_GB2312"/>
          <w:color w:val="000000"/>
          <w:sz w:val="32"/>
          <w:szCs w:val="32"/>
        </w:rPr>
        <w:t>对问题企业进行诚信扣分并通报</w:t>
      </w:r>
    </w:p>
    <w:p w14:paraId="7548B116">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引导行业升级，实现绿色生产。发布了《珠海市预拌混凝土行业绿色生产建设指引》（珠规建质〔</w:t>
      </w:r>
      <w:r>
        <w:rPr>
          <w:rFonts w:ascii="仿宋_GB2312" w:hAnsi="仿宋_GB2312" w:eastAsia="仿宋_GB2312" w:cs="仿宋_GB2312"/>
          <w:sz w:val="32"/>
          <w:szCs w:val="32"/>
        </w:rPr>
        <w:t>2016〕203号），对企业生产场所、设备设施、污染物控制要求及检测、绿色生产管理等设立了严格标准，对改善珠海市预拌混凝土企业生产环境，降低预拌混凝土企业的废水、废气、废料、噪声等对环境的影响，提高能源使用效率，实现预拌混凝土绿色生产具有指导意义。</w:t>
      </w:r>
    </w:p>
    <w:p w14:paraId="0FB82376">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积极引导和鼓励预拌混凝土企业通过设备更新和技术改造，将过剩预拌混凝土生产线转型为砂浆生产线，实现资源综合利用。组织制定</w:t>
      </w:r>
      <w:r>
        <w:rPr>
          <w:rFonts w:hint="eastAsia" w:ascii="仿宋_GB2312" w:hAnsi="仿宋_GB2312" w:eastAsia="仿宋_GB2312" w:cs="仿宋_GB2312"/>
          <w:sz w:val="32"/>
          <w:szCs w:val="32"/>
          <w:shd w:val="clear" w:color="auto" w:fill="FFFFFF"/>
        </w:rPr>
        <w:t>了《珠海市预拌砂浆生产应用技术导则》《关于进一步加强预拌砂浆企业生产建设管理工作的通知》等指导文件。</w:t>
      </w:r>
    </w:p>
    <w:p w14:paraId="78E59E3D">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质量监管进一步强化。“十三五”期间，</w:t>
      </w:r>
      <w:r>
        <w:rPr>
          <w:rFonts w:hint="eastAsia" w:ascii="仿宋_GB2312" w:hAnsi="楷体_GB2312" w:eastAsia="仿宋_GB2312"/>
          <w:sz w:val="32"/>
          <w:szCs w:val="32"/>
        </w:rPr>
        <w:t>开展全</w:t>
      </w:r>
      <w:r>
        <w:rPr>
          <w:rFonts w:hint="eastAsia" w:ascii="仿宋_GB2312" w:eastAsia="仿宋_GB2312"/>
          <w:sz w:val="32"/>
          <w:szCs w:val="32"/>
        </w:rPr>
        <w:t>市预拌混凝土生产企业大检查暨建材打假专项行动，</w:t>
      </w:r>
      <w:r>
        <w:rPr>
          <w:rFonts w:hint="eastAsia" w:ascii="仿宋_GB2312" w:hAnsi="仿宋_GB2312" w:eastAsia="仿宋_GB2312" w:cs="仿宋_GB2312"/>
          <w:sz w:val="32"/>
          <w:szCs w:val="32"/>
        </w:rPr>
        <w:t>积极参与市有关行政主管部门综合执法行动，</w:t>
      </w:r>
      <w:r>
        <w:rPr>
          <w:rFonts w:hint="eastAsia" w:ascii="仿宋_GB2312" w:eastAsia="仿宋_GB2312"/>
          <w:sz w:val="32"/>
          <w:szCs w:val="32"/>
        </w:rPr>
        <w:t>查处无证生产、经营预拌混凝土搅拌站点，有效地打击了行业内违规生产经营行为，维护了行业正常秩序。</w:t>
      </w:r>
    </w:p>
    <w:p w14:paraId="0C9A9817">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建立行业诚信管理体系。</w:t>
      </w:r>
      <w:r>
        <w:rPr>
          <w:rFonts w:hint="eastAsia" w:ascii="仿宋_GB2312" w:eastAsia="仿宋_GB2312"/>
          <w:sz w:val="32"/>
          <w:szCs w:val="32"/>
        </w:rPr>
        <w:t>发布《</w:t>
      </w:r>
      <w:r>
        <w:rPr>
          <w:rFonts w:hint="eastAsia" w:ascii="仿宋_GB2312" w:eastAsia="仿宋_GB2312" w:cs="仿宋_GB2312"/>
          <w:sz w:val="32"/>
          <w:szCs w:val="32"/>
        </w:rPr>
        <w:t>关于建立</w:t>
      </w:r>
      <w:r>
        <w:rPr>
          <w:rFonts w:hint="eastAsia" w:ascii="仿宋_GB2312" w:eastAsia="仿宋_GB2312" w:cs="仿宋_GB2312"/>
          <w:sz w:val="32"/>
          <w:szCs w:val="32"/>
          <w:shd w:val="clear" w:color="auto" w:fill="FFFFFF"/>
        </w:rPr>
        <w:t>预拌混凝土生产企业诚信</w:t>
      </w:r>
      <w:r>
        <w:rPr>
          <w:rFonts w:hint="eastAsia" w:ascii="仿宋_GB2312" w:eastAsia="仿宋_GB2312"/>
          <w:sz w:val="32"/>
          <w:szCs w:val="32"/>
          <w:shd w:val="clear" w:color="auto" w:fill="FFFFFF"/>
        </w:rPr>
        <w:t>综合评价体系的通知》，进一步</w:t>
      </w:r>
      <w:r>
        <w:rPr>
          <w:rFonts w:hint="eastAsia" w:ascii="仿宋_GB2312" w:eastAsia="仿宋_GB2312"/>
          <w:sz w:val="32"/>
          <w:szCs w:val="32"/>
        </w:rPr>
        <w:t>推进我市</w:t>
      </w:r>
      <w:r>
        <w:rPr>
          <w:rFonts w:hint="eastAsia" w:ascii="仿宋_GB2312" w:eastAsia="仿宋_GB2312"/>
          <w:sz w:val="32"/>
          <w:szCs w:val="32"/>
          <w:shd w:val="clear" w:color="auto" w:fill="FFFFFF"/>
        </w:rPr>
        <w:t>预拌混凝土</w:t>
      </w:r>
      <w:r>
        <w:rPr>
          <w:rFonts w:hint="eastAsia" w:ascii="仿宋_GB2312" w:eastAsia="仿宋_GB2312"/>
          <w:sz w:val="32"/>
          <w:szCs w:val="32"/>
        </w:rPr>
        <w:t>行业诚信体系建设，</w:t>
      </w:r>
      <w:r>
        <w:rPr>
          <w:rFonts w:hint="eastAsia" w:ascii="仿宋_GB2312" w:eastAsia="仿宋_GB2312"/>
          <w:sz w:val="32"/>
          <w:szCs w:val="32"/>
          <w:shd w:val="clear" w:color="auto" w:fill="FFFFFF"/>
        </w:rPr>
        <w:t>全面提升预拌混凝土行业整体素质，促进预拌混凝土行业持续稳定健康发展</w:t>
      </w:r>
      <w:r>
        <w:rPr>
          <w:rFonts w:hint="eastAsia" w:ascii="仿宋_GB2312" w:eastAsia="仿宋_GB2312"/>
          <w:sz w:val="32"/>
          <w:szCs w:val="32"/>
        </w:rPr>
        <w:t>。</w:t>
      </w:r>
    </w:p>
    <w:p w14:paraId="00FFA625">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完成“珠海市预拌混凝土和预拌砂浆企业信息监管平台（一期）”建设。通过平台实现对预拌混凝土和预拌砂浆企业生产全过程在线自动化、可视化监管。</w:t>
      </w:r>
    </w:p>
    <w:p w14:paraId="1C6BF467">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sz w:val="32"/>
          <w:szCs w:val="32"/>
        </w:rPr>
        <w:t>积极推进高性能混凝土试点。作为全省高性能混凝土试点城市，为落实试点工作，印发了《珠海市高性能混凝土推广应用试点实施方案》，成立了高性能混凝土推广应用指导组，参编了省高性能混凝土技术规范。</w:t>
      </w:r>
      <w:r>
        <w:rPr>
          <w:rFonts w:hint="eastAsia" w:ascii="仿宋" w:hAnsi="仿宋" w:eastAsia="仿宋" w:cs="仿宋"/>
          <w:sz w:val="32"/>
          <w:szCs w:val="32"/>
        </w:rPr>
        <w:t>组织珠海市春禾新材料研究院、武汉理工大学等开展了高强高性能混凝土关键技术研究，为全省推广应用高性能混凝土提供了经验。</w:t>
      </w:r>
    </w:p>
    <w:p w14:paraId="0D42400C">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“十三五”期间，散装水泥供应量约</w:t>
      </w:r>
      <w:r>
        <w:rPr>
          <w:rFonts w:hint="default" w:ascii="仿宋_GB2312" w:hAnsi="仿宋_GB2312" w:eastAsia="仿宋_GB2312" w:cs="仿宋_GB2312"/>
          <w:sz w:val="32"/>
          <w:szCs w:val="32"/>
          <w:lang w:val="en"/>
        </w:rPr>
        <w:t>488.7</w:t>
      </w:r>
      <w:r>
        <w:rPr>
          <w:rFonts w:ascii="仿宋_GB2312" w:hAnsi="仿宋_GB2312" w:eastAsia="仿宋_GB2312" w:cs="仿宋_GB2312"/>
          <w:sz w:val="32"/>
          <w:szCs w:val="32"/>
        </w:rPr>
        <w:t>万吨，预拌混凝土使用量约</w:t>
      </w:r>
      <w:r>
        <w:rPr>
          <w:rFonts w:hint="default" w:ascii="仿宋_GB2312" w:hAnsi="仿宋_GB2312" w:eastAsia="仿宋_GB2312" w:cs="仿宋_GB2312"/>
          <w:sz w:val="32"/>
          <w:szCs w:val="32"/>
          <w:lang w:val="en"/>
        </w:rPr>
        <w:t>5204</w:t>
      </w:r>
      <w:r>
        <w:rPr>
          <w:rFonts w:hint="eastAsia" w:ascii="仿宋_GB2312" w:hAnsi="仿宋_GB2312" w:eastAsia="仿宋_GB2312" w:cs="仿宋_GB2312"/>
          <w:sz w:val="32"/>
          <w:szCs w:val="32"/>
        </w:rPr>
        <w:t>万立方米，预拌砂浆使用量约</w:t>
      </w:r>
      <w:r>
        <w:rPr>
          <w:rFonts w:hint="default" w:ascii="仿宋_GB2312" w:hAnsi="仿宋_GB2312" w:eastAsia="仿宋_GB2312" w:cs="仿宋_GB2312"/>
          <w:sz w:val="32"/>
          <w:szCs w:val="32"/>
          <w:lang w:val="en"/>
        </w:rPr>
        <w:t>292</w:t>
      </w:r>
      <w:r>
        <w:rPr>
          <w:rFonts w:hint="eastAsia" w:ascii="仿宋_GB2312" w:hAnsi="仿宋_GB2312" w:eastAsia="仿宋_GB2312" w:cs="仿宋_GB2312"/>
          <w:sz w:val="32"/>
          <w:szCs w:val="32"/>
        </w:rPr>
        <w:t>万吨。全市预拌混凝土绿色生产企业占比达到</w:t>
      </w:r>
      <w:r>
        <w:rPr>
          <w:rFonts w:ascii="仿宋_GB2312" w:hAnsi="仿宋_GB2312" w:eastAsia="仿宋_GB2312" w:cs="仿宋_GB2312"/>
          <w:sz w:val="32"/>
          <w:szCs w:val="32"/>
        </w:rPr>
        <w:t>100%，预拌混凝土生产企业全面实现绿色生产及管理。</w:t>
      </w:r>
    </w:p>
    <w:p w14:paraId="54EF6BE7">
      <w:pPr>
        <w:keepNext w:val="0"/>
        <w:keepLines w:val="0"/>
        <w:pageBreakBefore w:val="0"/>
        <w:kinsoku/>
        <w:wordWrap/>
        <w:overflowPunct/>
        <w:topLinePunct w:val="0"/>
        <w:autoSpaceDE/>
        <w:autoSpaceDN/>
        <w:bidi w:val="0"/>
        <w:adjustRightInd w:val="0"/>
        <w:snapToGrid w:val="0"/>
        <w:spacing w:line="520" w:lineRule="exact"/>
        <w:ind w:firstLine="643" w:firstLineChars="200"/>
        <w:outlineLvl w:val="2"/>
        <w:rPr>
          <w:rFonts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装配式建筑发展持续推进</w:t>
      </w:r>
    </w:p>
    <w:p w14:paraId="5D67AEC7">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装配式建筑发展政策不断完善。</w:t>
      </w:r>
      <w:r>
        <w:rPr>
          <w:rFonts w:hint="eastAsia" w:ascii="仿宋" w:hAnsi="仿宋" w:eastAsia="仿宋" w:cs="仿宋"/>
          <w:sz w:val="32"/>
          <w:szCs w:val="32"/>
        </w:rPr>
        <w:t>制定《珠海</w:t>
      </w:r>
      <w:r>
        <w:rPr>
          <w:rFonts w:ascii="仿宋" w:hAnsi="仿宋" w:eastAsia="仿宋" w:cs="仿宋"/>
          <w:sz w:val="32"/>
          <w:szCs w:val="32"/>
        </w:rPr>
        <w:t>2018-2019年度建筑产业现代化实施计划》</w:t>
      </w:r>
      <w:r>
        <w:rPr>
          <w:rFonts w:hint="eastAsia" w:ascii="仿宋" w:hAnsi="仿宋" w:eastAsia="仿宋" w:cs="仿宋"/>
          <w:color w:val="000000"/>
          <w:sz w:val="32"/>
          <w:szCs w:val="32"/>
        </w:rPr>
        <w:t>《珠海市</w:t>
      </w:r>
      <w:r>
        <w:rPr>
          <w:rFonts w:ascii="仿宋" w:hAnsi="仿宋" w:eastAsia="仿宋" w:cs="仿宋"/>
          <w:color w:val="000000"/>
          <w:sz w:val="32"/>
          <w:szCs w:val="32"/>
        </w:rPr>
        <w:t>2018-2019年度规划阶段发展装配式建筑相关要求》，将年度装配式建筑指标要求纳入用地规划条件，强化供地源头控制。发布并执行《珠海市建筑易建性评价导则》</w:t>
      </w:r>
      <w:r>
        <w:rPr>
          <w:rFonts w:hint="eastAsia" w:ascii="仿宋" w:hAnsi="仿宋" w:eastAsia="仿宋" w:cs="仿宋"/>
          <w:sz w:val="32"/>
          <w:szCs w:val="32"/>
        </w:rPr>
        <w:t>《珠海市建筑易建性评价实施细则》</w:t>
      </w:r>
      <w:r>
        <w:rPr>
          <w:rFonts w:hint="eastAsia" w:ascii="仿宋" w:hAnsi="仿宋" w:eastAsia="仿宋" w:cs="仿宋"/>
          <w:color w:val="000000"/>
          <w:sz w:val="32"/>
          <w:szCs w:val="32"/>
        </w:rPr>
        <w:t>，</w:t>
      </w:r>
      <w:r>
        <w:rPr>
          <w:rFonts w:hint="eastAsia" w:ascii="仿宋" w:hAnsi="仿宋" w:eastAsia="仿宋" w:cs="仿宋"/>
          <w:sz w:val="32"/>
          <w:szCs w:val="32"/>
        </w:rPr>
        <w:t>引导全市装配式建造向简单、易建、绿色方式转变。出台《珠海市装配式建筑住宅项目建筑面积奖励实施细则》《关于印发珠海市装配式建筑住宅项目办理商品房预售许可证的通知》激励性政策文件，充分调动了开发建设单位的积极性和主动性。</w:t>
      </w:r>
      <w:r>
        <w:rPr>
          <w:rFonts w:hint="eastAsia" w:eastAsia="仿宋"/>
          <w:sz w:val="32"/>
          <w:szCs w:val="32"/>
        </w:rPr>
        <w:t>出台了</w:t>
      </w:r>
      <w:r>
        <w:rPr>
          <w:rFonts w:hint="eastAsia" w:ascii="仿宋" w:hAnsi="仿宋" w:eastAsia="仿宋" w:cs="仿宋"/>
          <w:sz w:val="32"/>
          <w:szCs w:val="32"/>
        </w:rPr>
        <w:t>《珠海市建筑产业现代化“十三五”发展规划（</w:t>
      </w:r>
      <w:r>
        <w:rPr>
          <w:rFonts w:ascii="仿宋" w:hAnsi="仿宋" w:eastAsia="仿宋" w:cs="仿宋"/>
          <w:sz w:val="32"/>
          <w:szCs w:val="32"/>
        </w:rPr>
        <w:t>2016-2020）》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提出了装配式建筑发展目标、技术方向、实施路径和组织保障等，明确各部门在发展装配式建筑中的职责，稳步推进</w:t>
      </w:r>
      <w:r>
        <w:rPr>
          <w:rFonts w:hint="eastAsia" w:ascii="仿宋_GB2312" w:hAnsi="仿宋_GB2312" w:eastAsia="仿宋_GB2312" w:cs="仿宋_GB2312"/>
          <w:sz w:val="32"/>
          <w:szCs w:val="32"/>
        </w:rPr>
        <w:t>珠海</w:t>
      </w:r>
      <w:r>
        <w:rPr>
          <w:rFonts w:ascii="仿宋_GB2312" w:hAnsi="仿宋_GB2312" w:eastAsia="仿宋_GB2312" w:cs="仿宋_GB2312"/>
          <w:sz w:val="32"/>
          <w:szCs w:val="32"/>
        </w:rPr>
        <w:t>市装配式建筑发展。</w:t>
      </w:r>
    </w:p>
    <w:p w14:paraId="3EADBCFC">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装配式产业基地和装配式建筑项目建设活跃。拥有</w:t>
      </w:r>
      <w:r>
        <w:rPr>
          <w:rFonts w:ascii="仿宋_GB2312" w:hAnsi="仿宋_GB2312" w:eastAsia="仿宋_GB2312" w:cs="仿宋_GB2312"/>
          <w:sz w:val="32"/>
          <w:szCs w:val="32"/>
        </w:rPr>
        <w:t>4个装配式建筑预制构件生产厂家（华实中建新科技（珠海）有限公司、中易建科技有限公司、珠海汇茂环保科技有限公司、广东海龙建筑科技有限公司）及1个钢结构生产企业（广东杭萧钢构有限公司），其中华实中建新科技（珠海）有限公司及广东建星建造集团有限公司均被评为广东省装配式建筑产业基地。碧桂园天玺湾花园一期等3个项目获评广东省第三批装配式建筑示范项目。全市累计拥有省、市级装配式建筑示范项目13个，所有示范项目均已完成封顶并通过验收。</w:t>
      </w:r>
      <w:r>
        <w:rPr>
          <w:rFonts w:hint="eastAsia" w:ascii="仿宋_GB2312" w:hAnsi="仿宋_GB2312" w:eastAsia="仿宋_GB2312" w:cs="仿宋_GB2312"/>
          <w:sz w:val="32"/>
          <w:szCs w:val="32"/>
        </w:rPr>
        <w:t>截至2020年12月，全市累计超过63个装配式建筑项目通过设计阶段技术论证，总建筑面积超过877万平方米。</w:t>
      </w:r>
    </w:p>
    <w:p w14:paraId="230288D5">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136" w:name="_Toc17872"/>
      <w:bookmarkStart w:id="137" w:name="_Toc21141"/>
      <w:bookmarkStart w:id="138" w:name="_Toc4789"/>
      <w:bookmarkStart w:id="139" w:name="_Toc10717"/>
      <w:bookmarkStart w:id="140" w:name="_Toc10408"/>
      <w:bookmarkStart w:id="141" w:name="_Toc20489"/>
      <w:bookmarkStart w:id="142" w:name="_Toc29327"/>
      <w:bookmarkStart w:id="143" w:name="_Toc17549"/>
      <w:bookmarkStart w:id="144" w:name="_Toc28121"/>
      <w:bookmarkStart w:id="145" w:name="_Toc27318"/>
      <w:bookmarkStart w:id="146" w:name="_Toc6002"/>
      <w:bookmarkStart w:id="147" w:name="_Toc22684"/>
      <w:bookmarkStart w:id="148" w:name="_Toc22526"/>
      <w:bookmarkStart w:id="149" w:name="_Toc29359"/>
      <w:bookmarkStart w:id="150" w:name="_Toc27600"/>
      <w:bookmarkStart w:id="151" w:name="_Toc18415"/>
      <w:bookmarkStart w:id="152" w:name="_Toc23243"/>
      <w:bookmarkStart w:id="153" w:name="_Toc4252"/>
      <w:bookmarkStart w:id="154" w:name="_Toc28570"/>
      <w:bookmarkStart w:id="155" w:name="_Toc8196"/>
      <w:bookmarkStart w:id="156" w:name="_Toc26992"/>
      <w:bookmarkStart w:id="157" w:name="_Toc19471"/>
      <w:bookmarkStart w:id="158" w:name="_Toc785"/>
      <w:bookmarkStart w:id="159" w:name="_Toc8738"/>
      <w:bookmarkStart w:id="160" w:name="_Toc14154"/>
      <w:bookmarkStart w:id="161" w:name="_Toc14643"/>
      <w:bookmarkStart w:id="162" w:name="_Toc10928"/>
      <w:bookmarkStart w:id="163" w:name="_Toc24648"/>
      <w:bookmarkStart w:id="164" w:name="_Toc7459"/>
      <w:bookmarkStart w:id="165" w:name="_Toc20916"/>
      <w:bookmarkStart w:id="166" w:name="_Toc23724"/>
      <w:bookmarkStart w:id="167" w:name="_Toc11070"/>
      <w:bookmarkStart w:id="168" w:name="_Toc333"/>
      <w:bookmarkStart w:id="169" w:name="_Toc27509"/>
      <w:bookmarkStart w:id="170" w:name="_Toc30079"/>
      <w:bookmarkStart w:id="171" w:name="_Toc14916"/>
      <w:bookmarkStart w:id="172" w:name="_Toc2997"/>
      <w:bookmarkStart w:id="173" w:name="_Toc4818"/>
      <w:bookmarkStart w:id="174" w:name="_Toc1561"/>
      <w:bookmarkStart w:id="175" w:name="_Toc20501"/>
      <w:bookmarkStart w:id="176" w:name="_Toc19315"/>
      <w:bookmarkStart w:id="177" w:name="_Toc22118"/>
      <w:bookmarkStart w:id="178" w:name="_Toc304"/>
      <w:bookmarkStart w:id="179" w:name="_Toc22023"/>
      <w:bookmarkStart w:id="180" w:name="_Toc538"/>
      <w:bookmarkStart w:id="181" w:name="_Toc30147"/>
      <w:bookmarkStart w:id="182" w:name="_Toc14511"/>
      <w:bookmarkStart w:id="183" w:name="_Toc5300"/>
      <w:bookmarkStart w:id="184" w:name="_Toc237"/>
      <w:bookmarkStart w:id="185" w:name="_Toc1015"/>
      <w:bookmarkStart w:id="186" w:name="_Toc19562"/>
      <w:bookmarkStart w:id="187" w:name="_Toc2521"/>
      <w:bookmarkStart w:id="188" w:name="_Toc11059"/>
      <w:bookmarkStart w:id="189" w:name="_Toc24070"/>
      <w:bookmarkStart w:id="190" w:name="_Toc16402"/>
      <w:bookmarkStart w:id="191" w:name="_Toc23624"/>
      <w:bookmarkStart w:id="192" w:name="_Toc11034"/>
      <w:bookmarkStart w:id="193" w:name="_Toc10421"/>
      <w:bookmarkStart w:id="194" w:name="_Toc23433"/>
      <w:bookmarkStart w:id="195" w:name="_Toc29896"/>
      <w:bookmarkStart w:id="196" w:name="_Toc31957"/>
      <w:bookmarkStart w:id="197" w:name="_Toc30154"/>
      <w:bookmarkStart w:id="198" w:name="_Toc23546"/>
      <w:bookmarkStart w:id="199" w:name="_Toc19544"/>
      <w:bookmarkStart w:id="200" w:name="_Toc30908"/>
      <w:bookmarkStart w:id="201" w:name="_Toc12265"/>
      <w:bookmarkStart w:id="202" w:name="_Toc28473"/>
      <w:r>
        <w:rPr>
          <w:rFonts w:hint="eastAsia" w:ascii="楷体_GB2312" w:hAnsi="楷体_GB2312" w:eastAsia="楷体_GB2312" w:cs="楷体_GB2312"/>
          <w:sz w:val="32"/>
          <w:szCs w:val="32"/>
        </w:rPr>
        <w:t>（二）</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hint="eastAsia" w:ascii="楷体_GB2312" w:hAnsi="楷体_GB2312" w:eastAsia="楷体_GB2312" w:cs="楷体_GB2312"/>
          <w:sz w:val="32"/>
          <w:szCs w:val="32"/>
        </w:rPr>
        <w:t>发展形势。</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BB8D534">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“十四五”时期是开启全面建设社会主义现代化国家新征程的第一个五年，是落实2030年前碳达峰、2060年前碳中和目标的关键时期，建筑节能与绿色建筑发展面临更大挑战，同时也迎来重要发展机遇。</w:t>
      </w:r>
    </w:p>
    <w:p w14:paraId="0DE1907D">
      <w:pPr>
        <w:keepNext w:val="0"/>
        <w:keepLines w:val="0"/>
        <w:pageBreakBefore w:val="0"/>
        <w:kinsoku/>
        <w:wordWrap/>
        <w:overflowPunct/>
        <w:topLinePunct w:val="0"/>
        <w:autoSpaceDE/>
        <w:autoSpaceDN/>
        <w:bidi w:val="0"/>
        <w:adjustRightInd w:val="0"/>
        <w:snapToGrid w:val="0"/>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达峰行动明确新要求。</w:t>
      </w:r>
      <w:r>
        <w:rPr>
          <w:rFonts w:hint="eastAsia" w:ascii="仿宋_GB2312" w:hAnsi="仿宋_GB2312" w:eastAsia="仿宋_GB2312" w:cs="仿宋_GB2312"/>
          <w:sz w:val="32"/>
          <w:szCs w:val="32"/>
        </w:rPr>
        <w:t>国家和省着力构建“1+N”政策体系，城乡建设领域是碳达峰工作的重点行业领域之一，提高建筑节能标准，实施既有建筑节能改造，优化建筑用能结构，将为实现碳排放达峰目标</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出积极贡献。</w:t>
      </w:r>
    </w:p>
    <w:p w14:paraId="2901F6EA">
      <w:pPr>
        <w:keepNext w:val="0"/>
        <w:keepLines w:val="0"/>
        <w:pageBreakBefore w:val="0"/>
        <w:kinsoku/>
        <w:wordWrap/>
        <w:overflowPunct/>
        <w:topLinePunct w:val="0"/>
        <w:autoSpaceDE/>
        <w:autoSpaceDN/>
        <w:bidi w:val="0"/>
        <w:adjustRightInd w:val="0"/>
        <w:snapToGrid w:val="0"/>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绿色发展催生新动力。</w:t>
      </w:r>
      <w:r>
        <w:rPr>
          <w:rFonts w:ascii="仿宋_GB2312" w:hAnsi="仿宋_GB2312" w:eastAsia="仿宋_GB2312" w:cs="仿宋_GB2312"/>
          <w:sz w:val="32"/>
          <w:szCs w:val="32"/>
        </w:rPr>
        <w:t>进入高质量发展阶段是新时代我国经济发展的基本特征</w:t>
      </w:r>
      <w:r>
        <w:rPr>
          <w:rFonts w:hint="eastAsia" w:ascii="仿宋_GB2312" w:hAnsi="仿宋_GB2312" w:eastAsia="仿宋_GB2312" w:cs="仿宋_GB2312"/>
          <w:sz w:val="32"/>
          <w:szCs w:val="32"/>
        </w:rPr>
        <w:t>，绿色是高质量发展的底色，</w:t>
      </w:r>
      <w:r>
        <w:rPr>
          <w:rFonts w:ascii="仿宋_GB2312" w:hAnsi="仿宋_GB2312" w:eastAsia="仿宋_GB2312" w:cs="仿宋_GB2312"/>
          <w:sz w:val="32"/>
          <w:szCs w:val="32"/>
        </w:rPr>
        <w:t>《中共中央办公厅 国务院办公厅关于推动城乡建设绿色发展的意见》</w:t>
      </w:r>
      <w:r>
        <w:rPr>
          <w:rFonts w:hint="eastAsia" w:ascii="仿宋_GB2312" w:hAnsi="仿宋_GB2312" w:eastAsia="仿宋_GB2312" w:cs="仿宋_GB2312"/>
          <w:sz w:val="32"/>
          <w:szCs w:val="32"/>
        </w:rPr>
        <w:t>明确了城乡建设发展蓝图。</w:t>
      </w:r>
      <w:r>
        <w:rPr>
          <w:rFonts w:ascii="仿宋_GB2312" w:hAnsi="仿宋_GB2312" w:eastAsia="仿宋_GB2312" w:cs="仿宋_GB2312"/>
          <w:sz w:val="32"/>
          <w:szCs w:val="32"/>
        </w:rPr>
        <w:t>加快绿色建筑建设，转变建造方式，积极推广绿色建材，推动建筑运行高效低碳管理，</w:t>
      </w:r>
      <w:r>
        <w:rPr>
          <w:rFonts w:hint="eastAsia" w:ascii="仿宋_GB2312" w:hAnsi="仿宋_GB2312" w:eastAsia="仿宋_GB2312" w:cs="仿宋_GB2312"/>
          <w:sz w:val="32"/>
          <w:szCs w:val="32"/>
        </w:rPr>
        <w:t>必</w:t>
      </w:r>
      <w:r>
        <w:rPr>
          <w:rFonts w:ascii="仿宋_GB2312" w:hAnsi="仿宋_GB2312" w:eastAsia="仿宋_GB2312" w:cs="仿宋_GB2312"/>
          <w:sz w:val="32"/>
          <w:szCs w:val="32"/>
        </w:rPr>
        <w:t>将极大促进城乡建设绿色</w:t>
      </w:r>
      <w:r>
        <w:rPr>
          <w:rFonts w:hint="eastAsia" w:ascii="仿宋_GB2312" w:hAnsi="仿宋_GB2312" w:eastAsia="仿宋_GB2312" w:cs="仿宋_GB2312"/>
          <w:sz w:val="32"/>
          <w:szCs w:val="32"/>
        </w:rPr>
        <w:t>高质量</w:t>
      </w:r>
      <w:r>
        <w:rPr>
          <w:rFonts w:ascii="仿宋_GB2312" w:hAnsi="仿宋_GB2312" w:eastAsia="仿宋_GB2312" w:cs="仿宋_GB2312"/>
          <w:sz w:val="32"/>
          <w:szCs w:val="32"/>
        </w:rPr>
        <w:t>发展。</w:t>
      </w:r>
    </w:p>
    <w:p w14:paraId="4FC67E80">
      <w:pPr>
        <w:keepNext w:val="0"/>
        <w:keepLines w:val="0"/>
        <w:pageBreakBefore w:val="0"/>
        <w:kinsoku/>
        <w:wordWrap/>
        <w:overflowPunct/>
        <w:topLinePunct w:val="0"/>
        <w:autoSpaceDE/>
        <w:autoSpaceDN/>
        <w:bidi w:val="0"/>
        <w:adjustRightInd w:val="0"/>
        <w:snapToGrid w:val="0"/>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美好生活向往提出新需求。</w:t>
      </w:r>
      <w:r>
        <w:rPr>
          <w:rFonts w:hint="eastAsia" w:ascii="仿宋_GB2312" w:hAnsi="仿宋_GB2312" w:eastAsia="仿宋_GB2312" w:cs="仿宋_GB2312"/>
          <w:sz w:val="32"/>
          <w:szCs w:val="32"/>
        </w:rPr>
        <w:t>随着经济社会发展水平的提高，人民群众向往美好生活的需求越来越高。推进建筑节能与绿色建筑发展，能在节约资源与减少碳排放的同时，提高生活舒适度和空间环境健康性能，不断增强人民群众的获得感、幸福感和安全感。</w:t>
      </w:r>
    </w:p>
    <w:p w14:paraId="08DA4D70">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0"/>
        <w:rPr>
          <w:rFonts w:ascii="黑体" w:hAnsi="黑体" w:eastAsia="黑体" w:cs="黑体"/>
          <w:sz w:val="32"/>
          <w:szCs w:val="32"/>
        </w:rPr>
      </w:pPr>
      <w:bookmarkStart w:id="203" w:name="_Toc16523"/>
      <w:bookmarkStart w:id="204" w:name="_Toc5996"/>
      <w:bookmarkStart w:id="205" w:name="_Toc31530"/>
      <w:bookmarkStart w:id="206" w:name="_Toc9733"/>
      <w:bookmarkStart w:id="207" w:name="_Toc25049"/>
      <w:bookmarkStart w:id="208" w:name="_Toc10047"/>
      <w:bookmarkStart w:id="209" w:name="_Toc10442"/>
      <w:bookmarkStart w:id="210" w:name="_Toc12081"/>
      <w:bookmarkStart w:id="211" w:name="_Toc26790"/>
      <w:bookmarkStart w:id="212" w:name="_Toc31703"/>
      <w:bookmarkStart w:id="213" w:name="_Toc6235"/>
      <w:bookmarkStart w:id="214" w:name="_Toc5543"/>
      <w:bookmarkStart w:id="215" w:name="_Toc1219"/>
      <w:bookmarkStart w:id="216" w:name="_Toc20168"/>
      <w:bookmarkStart w:id="217" w:name="_Toc7793"/>
      <w:bookmarkStart w:id="218" w:name="_Toc15658"/>
      <w:bookmarkStart w:id="219" w:name="_Toc19783"/>
      <w:bookmarkStart w:id="220" w:name="_Toc9821"/>
      <w:bookmarkStart w:id="221" w:name="_Toc26077"/>
      <w:bookmarkStart w:id="222" w:name="_Toc31453"/>
      <w:bookmarkStart w:id="223" w:name="_Toc11111"/>
      <w:bookmarkStart w:id="224" w:name="_Toc17747"/>
      <w:bookmarkStart w:id="225" w:name="_Toc30338"/>
      <w:bookmarkStart w:id="226" w:name="_Toc30211"/>
      <w:bookmarkStart w:id="227" w:name="_Toc24296"/>
      <w:bookmarkStart w:id="228" w:name="_Toc17049"/>
      <w:bookmarkStart w:id="229" w:name="_Toc7667"/>
      <w:bookmarkStart w:id="230" w:name="_Toc19515"/>
      <w:bookmarkStart w:id="231" w:name="_Toc2257"/>
      <w:bookmarkStart w:id="232" w:name="_Toc26071"/>
      <w:bookmarkStart w:id="233" w:name="_Toc4903"/>
      <w:bookmarkStart w:id="234" w:name="_Toc23420"/>
      <w:bookmarkStart w:id="235" w:name="_Toc6863"/>
      <w:bookmarkStart w:id="236" w:name="_Toc4715"/>
      <w:bookmarkStart w:id="237" w:name="_Toc19327"/>
      <w:bookmarkStart w:id="238" w:name="_Toc646"/>
      <w:bookmarkStart w:id="239" w:name="_Toc14075"/>
      <w:bookmarkStart w:id="240" w:name="_Toc4411"/>
      <w:bookmarkStart w:id="241" w:name="_Toc15254"/>
      <w:bookmarkStart w:id="242" w:name="_Toc1249"/>
      <w:bookmarkStart w:id="243" w:name="_Toc4268"/>
      <w:bookmarkStart w:id="244" w:name="_Toc9490"/>
      <w:bookmarkStart w:id="245" w:name="_Toc15787"/>
      <w:bookmarkStart w:id="246" w:name="_Toc28776"/>
      <w:bookmarkStart w:id="247" w:name="_Toc6528"/>
      <w:bookmarkStart w:id="248" w:name="_Toc31883"/>
      <w:bookmarkStart w:id="249" w:name="_Toc30331"/>
      <w:bookmarkStart w:id="250" w:name="_Toc21558"/>
      <w:bookmarkStart w:id="251" w:name="_Toc14893"/>
      <w:bookmarkStart w:id="252" w:name="_Toc3086"/>
      <w:bookmarkStart w:id="253" w:name="_Toc23953"/>
      <w:bookmarkStart w:id="254" w:name="_Toc30219"/>
      <w:bookmarkStart w:id="255" w:name="_Toc29691"/>
      <w:bookmarkStart w:id="256" w:name="_Toc12302"/>
      <w:bookmarkStart w:id="257" w:name="_Toc910"/>
      <w:bookmarkStart w:id="258" w:name="_Toc17752"/>
      <w:bookmarkStart w:id="259" w:name="_Toc12941"/>
      <w:bookmarkStart w:id="260" w:name="_Toc21635"/>
      <w:bookmarkStart w:id="261" w:name="_Toc8537"/>
      <w:bookmarkStart w:id="262" w:name="_Toc6308"/>
      <w:bookmarkStart w:id="263" w:name="_Toc4632"/>
      <w:bookmarkStart w:id="264" w:name="_Toc24724"/>
      <w:bookmarkStart w:id="265" w:name="_Toc13661"/>
      <w:bookmarkStart w:id="266" w:name="_Toc29788"/>
      <w:bookmarkStart w:id="267" w:name="_Toc29165"/>
      <w:r>
        <w:rPr>
          <w:rFonts w:hint="eastAsia" w:ascii="黑体" w:hAnsi="黑体" w:eastAsia="黑体" w:cs="黑体"/>
          <w:sz w:val="32"/>
          <w:szCs w:val="32"/>
        </w:rPr>
        <w:t>二、总体要求</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0C1D0BC">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268" w:name="_Toc19118"/>
      <w:bookmarkStart w:id="269" w:name="_Toc31323"/>
      <w:bookmarkStart w:id="270" w:name="_Toc29999"/>
      <w:bookmarkStart w:id="271" w:name="_Toc10716"/>
      <w:bookmarkStart w:id="272" w:name="_Toc16185"/>
      <w:bookmarkStart w:id="273" w:name="_Toc1102"/>
      <w:bookmarkStart w:id="274" w:name="_Toc4502"/>
      <w:bookmarkStart w:id="275" w:name="_Toc29078"/>
      <w:bookmarkStart w:id="276" w:name="_Toc31147"/>
      <w:bookmarkStart w:id="277" w:name="_Toc13922"/>
      <w:bookmarkStart w:id="278" w:name="_Toc32547"/>
      <w:bookmarkStart w:id="279" w:name="_Toc17402"/>
      <w:bookmarkStart w:id="280" w:name="_Toc17691"/>
      <w:bookmarkStart w:id="281" w:name="_Toc31293"/>
      <w:bookmarkStart w:id="282" w:name="_Toc18972"/>
      <w:bookmarkStart w:id="283" w:name="_Toc5868"/>
      <w:bookmarkStart w:id="284" w:name="_Toc274"/>
      <w:bookmarkStart w:id="285" w:name="_Toc9887"/>
      <w:bookmarkStart w:id="286" w:name="_Toc21741"/>
      <w:bookmarkStart w:id="287" w:name="_Toc29858"/>
      <w:bookmarkStart w:id="288" w:name="_Toc632"/>
      <w:bookmarkStart w:id="289" w:name="_Toc8261"/>
      <w:bookmarkStart w:id="290" w:name="_Toc22675"/>
      <w:bookmarkStart w:id="291" w:name="_Toc17166"/>
      <w:bookmarkStart w:id="292" w:name="_Toc16983"/>
      <w:bookmarkStart w:id="293" w:name="_Toc20181"/>
      <w:bookmarkStart w:id="294" w:name="_Toc20215"/>
      <w:bookmarkStart w:id="295" w:name="_Toc26237"/>
      <w:bookmarkStart w:id="296" w:name="_Toc31385"/>
      <w:bookmarkStart w:id="297" w:name="_Toc728"/>
      <w:bookmarkStart w:id="298" w:name="_Toc1209"/>
      <w:bookmarkStart w:id="299" w:name="_Toc29878"/>
      <w:bookmarkStart w:id="300" w:name="_Toc16527"/>
      <w:bookmarkStart w:id="301" w:name="_Toc3000"/>
      <w:bookmarkStart w:id="302" w:name="_Toc11654"/>
      <w:bookmarkStart w:id="303" w:name="_Toc23957"/>
      <w:bookmarkStart w:id="304" w:name="_Toc25770"/>
      <w:bookmarkStart w:id="305" w:name="_Toc2857"/>
      <w:bookmarkStart w:id="306" w:name="_Toc12161"/>
      <w:bookmarkStart w:id="307" w:name="_Toc3267"/>
      <w:bookmarkStart w:id="308" w:name="_Toc24427"/>
      <w:bookmarkStart w:id="309" w:name="_Toc17044"/>
      <w:bookmarkStart w:id="310" w:name="_Toc11825"/>
      <w:bookmarkStart w:id="311" w:name="_Toc25315"/>
      <w:bookmarkStart w:id="312" w:name="_Toc18036"/>
      <w:bookmarkStart w:id="313" w:name="_Toc30519"/>
      <w:bookmarkStart w:id="314" w:name="_Toc30364"/>
      <w:bookmarkStart w:id="315" w:name="_Toc4157"/>
      <w:bookmarkStart w:id="316" w:name="_Toc13159"/>
      <w:bookmarkStart w:id="317" w:name="_Toc26109"/>
      <w:bookmarkStart w:id="318" w:name="_Toc24148"/>
      <w:bookmarkStart w:id="319" w:name="_Toc29376"/>
      <w:bookmarkStart w:id="320" w:name="_Toc22672"/>
      <w:bookmarkStart w:id="321" w:name="_Toc9598"/>
      <w:bookmarkStart w:id="322" w:name="_Toc25077"/>
      <w:bookmarkStart w:id="323" w:name="_Toc27980"/>
      <w:bookmarkStart w:id="324" w:name="_Toc10196"/>
      <w:bookmarkStart w:id="325" w:name="_Toc19741"/>
      <w:bookmarkStart w:id="326" w:name="_Toc9469"/>
      <w:bookmarkStart w:id="327" w:name="_Toc4010"/>
      <w:bookmarkStart w:id="328" w:name="_Toc13110"/>
      <w:bookmarkStart w:id="329" w:name="_Toc19466"/>
      <w:bookmarkStart w:id="330" w:name="_Toc5001"/>
      <w:bookmarkStart w:id="331" w:name="_Toc5757"/>
      <w:bookmarkStart w:id="332" w:name="_Toc27121"/>
      <w:bookmarkStart w:id="333" w:name="_Toc29167"/>
      <w:bookmarkStart w:id="334" w:name="_Toc378"/>
      <w:r>
        <w:rPr>
          <w:rFonts w:hint="eastAsia" w:ascii="楷体_GB2312" w:hAnsi="楷体_GB2312" w:eastAsia="楷体_GB2312" w:cs="楷体_GB2312"/>
          <w:sz w:val="32"/>
          <w:szCs w:val="32"/>
        </w:rPr>
        <w:t>（一）指导思想</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楷体_GB2312" w:hAnsi="楷体_GB2312" w:eastAsia="楷体_GB2312" w:cs="楷体_GB2312"/>
          <w:sz w:val="32"/>
          <w:szCs w:val="32"/>
        </w:rPr>
        <w:t>。</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C190FCC">
      <w:pPr>
        <w:keepNext w:val="0"/>
        <w:keepLines w:val="0"/>
        <w:pageBreakBefore w:val="0"/>
        <w:kinsoku/>
        <w:wordWrap/>
        <w:overflowPunct/>
        <w:topLinePunct w:val="0"/>
        <w:autoSpaceDE/>
        <w:autoSpaceDN/>
        <w:bidi w:val="0"/>
        <w:adjustRightInd w:val="0"/>
        <w:snapToGrid w:val="0"/>
        <w:spacing w:line="520" w:lineRule="exact"/>
        <w:ind w:firstLine="640" w:firstLineChars="200"/>
      </w:pPr>
      <w:r>
        <w:rPr>
          <w:rFonts w:ascii="仿宋_GB2312" w:hAnsi="仿宋_GB2312" w:eastAsia="仿宋_GB2312" w:cs="仿宋_GB2312"/>
          <w:sz w:val="32"/>
          <w:szCs w:val="32"/>
        </w:rPr>
        <w:t>以习近平新时代中国特色社会主义思想为指导，全面贯彻党的十九大和十九届二中、三中、四中</w:t>
      </w:r>
      <w:r>
        <w:rPr>
          <w:rFonts w:hint="eastAsia" w:ascii="仿宋_GB2312" w:hAnsi="仿宋_GB2312" w:eastAsia="仿宋_GB2312" w:cs="仿宋_GB2312"/>
          <w:sz w:val="32"/>
          <w:szCs w:val="32"/>
        </w:rPr>
        <w:t>、五中、六中</w:t>
      </w:r>
      <w:r>
        <w:rPr>
          <w:rFonts w:ascii="仿宋_GB2312" w:hAnsi="仿宋_GB2312" w:eastAsia="仿宋_GB2312" w:cs="仿宋_GB2312"/>
          <w:sz w:val="32"/>
          <w:szCs w:val="32"/>
        </w:rPr>
        <w:t>全会精神</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深入学习贯彻习近平总书记重要讲话和指示批示精神，</w:t>
      </w:r>
      <w:r>
        <w:rPr>
          <w:rFonts w:hint="eastAsia" w:ascii="仿宋_GB2312" w:hAnsi="仿宋_GB2312" w:eastAsia="仿宋_GB2312" w:cs="仿宋_GB2312"/>
          <w:sz w:val="32"/>
          <w:szCs w:val="32"/>
        </w:rPr>
        <w:t>坚定不移贯彻新发展理念，坚定不移走人与自然和谐共生的绿色发展道路，全面推行绿色发展方式和生活方式，深入提升珠海市建筑低碳绿色水平，有力促进珠海市建筑高质量发展，积极助力珠海构建高品质美丽宜居新家园。</w:t>
      </w:r>
    </w:p>
    <w:p w14:paraId="5E366D11">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335" w:name="_Toc29122"/>
      <w:bookmarkStart w:id="336" w:name="_Toc8207"/>
      <w:bookmarkStart w:id="337" w:name="_Toc23820"/>
      <w:bookmarkStart w:id="338" w:name="_Toc11413"/>
      <w:bookmarkStart w:id="339" w:name="_Toc30644"/>
      <w:bookmarkStart w:id="340" w:name="_Toc16593"/>
      <w:bookmarkStart w:id="341" w:name="_Toc28833"/>
      <w:bookmarkStart w:id="342" w:name="_Toc1928"/>
      <w:bookmarkStart w:id="343" w:name="_Toc17466"/>
      <w:bookmarkStart w:id="344" w:name="_Toc16355"/>
      <w:bookmarkStart w:id="345" w:name="_Toc26164"/>
      <w:bookmarkStart w:id="346" w:name="_Toc16881"/>
      <w:bookmarkStart w:id="347" w:name="_Toc18103"/>
      <w:bookmarkStart w:id="348" w:name="_Toc25852"/>
      <w:bookmarkStart w:id="349" w:name="_Toc32722"/>
      <w:bookmarkStart w:id="350" w:name="_Toc6449"/>
      <w:bookmarkStart w:id="351" w:name="_Toc6816"/>
      <w:bookmarkStart w:id="352" w:name="_Toc23600"/>
      <w:bookmarkStart w:id="353" w:name="_Toc22405"/>
      <w:bookmarkStart w:id="354" w:name="_Toc30001"/>
      <w:bookmarkStart w:id="355" w:name="_Toc20447"/>
      <w:bookmarkStart w:id="356" w:name="_Toc22964"/>
      <w:bookmarkStart w:id="357" w:name="_Toc10228"/>
      <w:bookmarkStart w:id="358" w:name="_Toc15836"/>
      <w:bookmarkStart w:id="359" w:name="_Toc15070"/>
      <w:bookmarkStart w:id="360" w:name="_Toc13798"/>
      <w:bookmarkStart w:id="361" w:name="_Toc22885"/>
      <w:bookmarkStart w:id="362" w:name="_Toc29115"/>
      <w:bookmarkStart w:id="363" w:name="_Toc32223"/>
      <w:bookmarkStart w:id="364" w:name="_Toc10541"/>
      <w:bookmarkStart w:id="365" w:name="_Toc16638"/>
      <w:bookmarkStart w:id="366" w:name="_Toc32643"/>
      <w:bookmarkStart w:id="367" w:name="_Toc2651"/>
      <w:bookmarkStart w:id="368" w:name="_Toc8353"/>
      <w:bookmarkStart w:id="369" w:name="_Toc12459"/>
      <w:bookmarkStart w:id="370" w:name="_Toc11348"/>
      <w:bookmarkStart w:id="371" w:name="_Toc15352"/>
      <w:bookmarkStart w:id="372" w:name="_Toc24318"/>
      <w:bookmarkStart w:id="373" w:name="_Toc23292"/>
      <w:bookmarkStart w:id="374" w:name="_Toc19764"/>
      <w:bookmarkStart w:id="375" w:name="_Toc22152"/>
      <w:bookmarkStart w:id="376" w:name="_Toc4081"/>
      <w:bookmarkStart w:id="377" w:name="_Toc4720"/>
      <w:bookmarkStart w:id="378" w:name="_Toc14214"/>
      <w:bookmarkStart w:id="379" w:name="_Toc14933"/>
      <w:bookmarkStart w:id="380" w:name="_Toc8637"/>
      <w:bookmarkStart w:id="381" w:name="_Toc5899"/>
      <w:bookmarkStart w:id="382" w:name="_Toc32015"/>
      <w:bookmarkStart w:id="383" w:name="_Toc18386"/>
      <w:bookmarkStart w:id="384" w:name="_Toc16028"/>
      <w:bookmarkStart w:id="385" w:name="_Toc4534"/>
      <w:bookmarkStart w:id="386" w:name="_Toc8636"/>
      <w:bookmarkStart w:id="387" w:name="_Toc12722"/>
      <w:bookmarkStart w:id="388" w:name="_Toc9046"/>
      <w:bookmarkStart w:id="389" w:name="_Toc8633"/>
      <w:bookmarkStart w:id="390" w:name="_Toc13278"/>
      <w:bookmarkStart w:id="391" w:name="_Toc31124"/>
      <w:bookmarkStart w:id="392" w:name="_Toc8280"/>
      <w:bookmarkStart w:id="393" w:name="_Toc13457"/>
      <w:bookmarkStart w:id="394" w:name="_Toc9811"/>
      <w:bookmarkStart w:id="395" w:name="_Toc30295"/>
      <w:bookmarkStart w:id="396" w:name="_Toc7835"/>
      <w:bookmarkStart w:id="397" w:name="_Toc23992"/>
      <w:bookmarkStart w:id="398" w:name="_Toc12438"/>
      <w:bookmarkStart w:id="399" w:name="_Toc2505"/>
      <w:bookmarkStart w:id="400" w:name="_Toc17859"/>
      <w:bookmarkStart w:id="401" w:name="_Toc26467"/>
      <w:r>
        <w:rPr>
          <w:rFonts w:hint="eastAsia" w:ascii="楷体_GB2312" w:hAnsi="楷体_GB2312" w:eastAsia="楷体_GB2312" w:cs="楷体_GB2312"/>
          <w:sz w:val="32"/>
          <w:szCs w:val="32"/>
        </w:rPr>
        <w:t>（二）基本原则</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rFonts w:hint="eastAsia" w:ascii="楷体_GB2312" w:hAnsi="楷体_GB2312" w:eastAsia="楷体_GB2312" w:cs="楷体_GB2312"/>
          <w:sz w:val="32"/>
          <w:szCs w:val="32"/>
        </w:rPr>
        <w:t>。</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4135E506">
      <w:pPr>
        <w:keepNext w:val="0"/>
        <w:keepLines w:val="0"/>
        <w:pageBreakBefore w:val="0"/>
        <w:kinsoku/>
        <w:wordWrap/>
        <w:overflowPunct/>
        <w:topLinePunct w:val="0"/>
        <w:autoSpaceDE/>
        <w:autoSpaceDN/>
        <w:bidi w:val="0"/>
        <w:adjustRightInd w:val="0"/>
        <w:snapToGrid w:val="0"/>
        <w:spacing w:line="52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全面推进，突出重点。</w:t>
      </w:r>
      <w:r>
        <w:rPr>
          <w:rFonts w:hint="eastAsia" w:ascii="仿宋_GB2312" w:hAnsi="仿宋_GB2312" w:eastAsia="仿宋_GB2312" w:cs="仿宋_GB2312"/>
          <w:sz w:val="32"/>
          <w:szCs w:val="32"/>
        </w:rPr>
        <w:t>在新建民用建筑全面实施绿色建筑的基础上，提高重点建筑类型和重点区域的绿色建设要求。建筑节能与绿色建筑发展各环节、各领域工作统筹协调推进，对薄弱环节和滞后领域重点突破。既有建筑节能改造、可再生能源建筑应用等难点工作采取有效措施持续推进，力求创建超低能耗建筑、健康住宅、装配式建筑示范项目等亮点工作取得突破。</w:t>
      </w:r>
    </w:p>
    <w:p w14:paraId="6BAC30E4">
      <w:pPr>
        <w:keepNext w:val="0"/>
        <w:keepLines w:val="0"/>
        <w:pageBreakBefore w:val="0"/>
        <w:kinsoku/>
        <w:wordWrap/>
        <w:overflowPunct/>
        <w:topLinePunct w:val="0"/>
        <w:autoSpaceDE/>
        <w:autoSpaceDN/>
        <w:bidi w:val="0"/>
        <w:adjustRightInd w:val="0"/>
        <w:snapToGrid w:val="0"/>
        <w:spacing w:line="52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因地制宜，经济适用。</w:t>
      </w:r>
      <w:r>
        <w:rPr>
          <w:rFonts w:hint="eastAsia" w:ascii="仿宋_GB2312" w:hAnsi="仿宋_GB2312" w:eastAsia="仿宋_GB2312" w:cs="仿宋_GB2312"/>
          <w:sz w:val="32"/>
          <w:szCs w:val="32"/>
        </w:rPr>
        <w:t>加强顶层设计，统筹推进中心城区绿色建筑品质提升，实现各区协调发展。充分考虑地理气候条件特点及经济社会发展水平差异，合理制定技术路线，采用适合的技术和产品，避免盲目高投入和资源消耗，科学实施绿色建筑发展。</w:t>
      </w:r>
    </w:p>
    <w:p w14:paraId="562F33F5">
      <w:pPr>
        <w:keepNext w:val="0"/>
        <w:keepLines w:val="0"/>
        <w:pageBreakBefore w:val="0"/>
        <w:kinsoku/>
        <w:wordWrap/>
        <w:overflowPunct/>
        <w:topLinePunct w:val="0"/>
        <w:autoSpaceDE/>
        <w:autoSpaceDN/>
        <w:bidi w:val="0"/>
        <w:adjustRightInd w:val="0"/>
        <w:snapToGrid w:val="0"/>
        <w:spacing w:line="52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科技先行，创新驱动。</w:t>
      </w:r>
      <w:r>
        <w:rPr>
          <w:rFonts w:hint="eastAsia" w:ascii="仿宋_GB2312" w:hAnsi="仿宋_GB2312" w:eastAsia="仿宋_GB2312" w:cs="仿宋_GB2312"/>
          <w:sz w:val="32"/>
          <w:szCs w:val="32"/>
        </w:rPr>
        <w:t>提高科技创新能力，突破制约建筑工程绿色化发展的关键技术，形成创新驱动的技术和标准体系。推动创新成果工程化应用，引导建筑节能与绿色建筑新技术、新工艺、新材料和新设备发展，加快淘汰高能耗、高污染的落后技术和产品。</w:t>
      </w:r>
    </w:p>
    <w:p w14:paraId="5AFD9493">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402" w:name="_Toc2685"/>
      <w:bookmarkStart w:id="403" w:name="_Toc29524"/>
      <w:bookmarkStart w:id="404" w:name="_Toc21898"/>
      <w:bookmarkStart w:id="405" w:name="_Toc11811"/>
      <w:bookmarkStart w:id="406" w:name="_Toc26934"/>
      <w:bookmarkStart w:id="407" w:name="_Toc24847"/>
      <w:bookmarkStart w:id="408" w:name="_Toc25542"/>
      <w:bookmarkStart w:id="409" w:name="_Toc2538"/>
      <w:bookmarkStart w:id="410" w:name="_Toc26836"/>
      <w:bookmarkStart w:id="411" w:name="_Toc12017"/>
      <w:bookmarkStart w:id="412" w:name="_Toc8815"/>
      <w:bookmarkStart w:id="413" w:name="_Toc7850"/>
      <w:bookmarkStart w:id="414" w:name="_Toc4065"/>
      <w:bookmarkStart w:id="415" w:name="_Toc24889"/>
      <w:bookmarkStart w:id="416" w:name="_Toc3863"/>
      <w:bookmarkStart w:id="417" w:name="_Toc15530"/>
      <w:bookmarkStart w:id="418" w:name="_Toc23671"/>
      <w:bookmarkStart w:id="419" w:name="_Toc12054"/>
      <w:bookmarkStart w:id="420" w:name="_Toc85"/>
      <w:bookmarkStart w:id="421" w:name="_Toc31081"/>
      <w:bookmarkStart w:id="422" w:name="_Toc18392"/>
      <w:bookmarkStart w:id="423" w:name="_Toc9969"/>
      <w:bookmarkStart w:id="424" w:name="_Toc9073"/>
      <w:bookmarkStart w:id="425" w:name="_Toc3807"/>
      <w:bookmarkStart w:id="426" w:name="_Toc9031"/>
      <w:bookmarkStart w:id="427" w:name="_Toc20239"/>
      <w:bookmarkStart w:id="428" w:name="_Toc26335"/>
      <w:bookmarkStart w:id="429" w:name="_Toc29677"/>
      <w:bookmarkStart w:id="430" w:name="_Toc474"/>
      <w:bookmarkStart w:id="431" w:name="_Toc12646"/>
      <w:bookmarkStart w:id="432" w:name="_Toc7694"/>
      <w:bookmarkStart w:id="433" w:name="_Toc20087"/>
      <w:bookmarkStart w:id="434" w:name="_Toc12785"/>
      <w:bookmarkStart w:id="435" w:name="_Toc25460"/>
      <w:bookmarkStart w:id="436" w:name="_Toc18862"/>
      <w:bookmarkStart w:id="437" w:name="_Toc31712"/>
      <w:bookmarkStart w:id="438" w:name="_Toc1799"/>
      <w:bookmarkStart w:id="439" w:name="_Toc7084"/>
      <w:bookmarkStart w:id="440" w:name="_Toc21371"/>
      <w:bookmarkStart w:id="441" w:name="_Toc12446"/>
      <w:bookmarkStart w:id="442" w:name="_Toc11965"/>
      <w:bookmarkStart w:id="443" w:name="_Toc11014"/>
      <w:bookmarkStart w:id="444" w:name="_Toc3731"/>
      <w:bookmarkStart w:id="445" w:name="_Toc15907"/>
      <w:bookmarkStart w:id="446" w:name="_Toc29250"/>
      <w:bookmarkStart w:id="447" w:name="_Toc16131"/>
      <w:bookmarkStart w:id="448" w:name="_Toc3673"/>
      <w:bookmarkStart w:id="449" w:name="_Toc9817"/>
      <w:bookmarkStart w:id="450" w:name="_Toc24553"/>
      <w:bookmarkStart w:id="451" w:name="_Toc8458"/>
      <w:bookmarkStart w:id="452" w:name="_Toc21479"/>
      <w:bookmarkStart w:id="453" w:name="_Toc21958"/>
      <w:bookmarkStart w:id="454" w:name="_Toc7074"/>
      <w:bookmarkStart w:id="455" w:name="_Toc13706"/>
      <w:bookmarkStart w:id="456" w:name="_Toc30366"/>
      <w:bookmarkStart w:id="457" w:name="_Toc27107"/>
      <w:bookmarkStart w:id="458" w:name="_Toc22939"/>
      <w:bookmarkStart w:id="459" w:name="_Toc11445"/>
      <w:bookmarkStart w:id="460" w:name="_Toc24237"/>
      <w:bookmarkStart w:id="461" w:name="_Toc915"/>
      <w:bookmarkStart w:id="462" w:name="_Toc15801"/>
      <w:bookmarkStart w:id="463" w:name="_Toc15879"/>
      <w:bookmarkStart w:id="464" w:name="_Toc4266"/>
      <w:bookmarkStart w:id="465" w:name="_Toc8908"/>
      <w:bookmarkStart w:id="466" w:name="_Toc6667"/>
      <w:bookmarkStart w:id="467" w:name="_Toc28571"/>
      <w:bookmarkStart w:id="468" w:name="_Toc3643"/>
      <w:r>
        <w:rPr>
          <w:rFonts w:hint="eastAsia" w:ascii="楷体_GB2312" w:hAnsi="楷体_GB2312" w:eastAsia="楷体_GB2312" w:cs="楷体_GB2312"/>
          <w:sz w:val="32"/>
          <w:szCs w:val="32"/>
        </w:rPr>
        <w:t>（三）发展目标</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ascii="楷体_GB2312" w:hAnsi="楷体_GB2312" w:eastAsia="楷体_GB2312" w:cs="楷体_GB2312"/>
          <w:sz w:val="32"/>
          <w:szCs w:val="32"/>
        </w:rPr>
        <w:t>。</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2BB5B0E8">
      <w:pPr>
        <w:keepNext w:val="0"/>
        <w:keepLines w:val="0"/>
        <w:pageBreakBefore w:val="0"/>
        <w:kinsoku/>
        <w:wordWrap/>
        <w:overflowPunct/>
        <w:topLinePunct w:val="0"/>
        <w:autoSpaceDE/>
        <w:autoSpaceDN/>
        <w:bidi w:val="0"/>
        <w:adjustRightInd w:val="0"/>
        <w:snapToGrid w:val="0"/>
        <w:spacing w:line="520" w:lineRule="exact"/>
        <w:ind w:firstLine="640" w:firstLineChars="200"/>
      </w:pPr>
      <w:r>
        <w:rPr>
          <w:rFonts w:hint="eastAsia" w:ascii="仿宋_GB2312" w:hAnsi="仿宋_GB2312" w:eastAsia="仿宋_GB2312" w:cs="仿宋_GB2312"/>
          <w:sz w:val="32"/>
          <w:szCs w:val="32"/>
        </w:rPr>
        <w:t>全市建筑能耗总量和强度增长趋势得到有效控制，建筑能效水平大幅提升，既有建筑节能及绿色化改造有序推动，可再生能源建筑应用规模进一步扩大；绿色建筑高质量发展全面推进，人民群众对绿色建筑的获得感切实加强；装配式建筑继续推广，散装水泥和新型墙体材料发展应用成果更加巩固，绿色建材应用比例显著提升。</w:t>
      </w:r>
    </w:p>
    <w:p w14:paraId="4CD8A99F">
      <w:pPr>
        <w:pStyle w:val="2"/>
        <w:keepNext w:val="0"/>
        <w:keepLines w:val="0"/>
        <w:pageBreakBefore w:val="0"/>
        <w:kinsoku/>
        <w:wordWrap/>
        <w:overflowPunct/>
        <w:topLinePunct w:val="0"/>
        <w:autoSpaceDE/>
        <w:autoSpaceDN/>
        <w:bidi w:val="0"/>
        <w:spacing w:line="520" w:lineRule="exact"/>
        <w:jc w:val="center"/>
        <w:rPr>
          <w:rFonts w:hint="eastAsia"/>
        </w:rPr>
      </w:pPr>
      <w:r>
        <w:rPr>
          <w:rFonts w:hint="eastAsia" w:ascii="仿宋_GB2312" w:hAnsi="仿宋_GB2312" w:eastAsia="仿宋_GB2312" w:cs="仿宋_GB2312"/>
          <w:b/>
          <w:bCs/>
          <w:sz w:val="28"/>
          <w:szCs w:val="28"/>
        </w:rPr>
        <w:t>表1 “十四五”时期</w:t>
      </w:r>
      <w:r>
        <w:rPr>
          <w:rFonts w:hint="eastAsia" w:ascii="仿宋_GB2312" w:hAnsi="仿宋_GB2312" w:eastAsia="仿宋_GB2312" w:cs="仿宋_GB2312"/>
          <w:b/>
          <w:bCs/>
          <w:sz w:val="28"/>
          <w:szCs w:val="28"/>
          <w:lang w:eastAsia="zh-CN"/>
        </w:rPr>
        <w:t>珠海</w:t>
      </w:r>
      <w:r>
        <w:rPr>
          <w:rFonts w:hint="eastAsia" w:ascii="仿宋_GB2312" w:hAnsi="仿宋_GB2312" w:eastAsia="仿宋_GB2312" w:cs="仿宋_GB2312"/>
          <w:b/>
          <w:bCs/>
          <w:sz w:val="28"/>
          <w:szCs w:val="28"/>
        </w:rPr>
        <w:t>市建筑节能与绿色建筑发展目标</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7"/>
        <w:gridCol w:w="2325"/>
      </w:tblGrid>
      <w:tr w14:paraId="39E8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2" w:hRule="atLeast"/>
          <w:tblHeader/>
        </w:trPr>
        <w:tc>
          <w:tcPr>
            <w:tcW w:w="3636" w:type="pct"/>
            <w:vAlign w:val="center"/>
          </w:tcPr>
          <w:p w14:paraId="59DA7FCB">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主要指标</w:t>
            </w:r>
          </w:p>
        </w:tc>
        <w:tc>
          <w:tcPr>
            <w:tcW w:w="1364" w:type="pct"/>
            <w:vAlign w:val="center"/>
          </w:tcPr>
          <w:p w14:paraId="2CA2ED9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ascii="仿宋" w:hAnsi="仿宋" w:eastAsia="仿宋" w:cs="仿宋"/>
                <w:bCs/>
                <w:sz w:val="28"/>
                <w:szCs w:val="28"/>
              </w:rPr>
            </w:pPr>
            <w:r>
              <w:rPr>
                <w:rFonts w:ascii="仿宋" w:hAnsi="仿宋" w:eastAsia="仿宋" w:cs="仿宋"/>
                <w:bCs/>
                <w:sz w:val="28"/>
                <w:szCs w:val="28"/>
              </w:rPr>
              <w:t>2025</w:t>
            </w:r>
            <w:r>
              <w:rPr>
                <w:rFonts w:hint="eastAsia" w:ascii="仿宋" w:hAnsi="仿宋" w:eastAsia="仿宋" w:cs="仿宋"/>
                <w:bCs/>
                <w:sz w:val="28"/>
                <w:szCs w:val="28"/>
              </w:rPr>
              <w:t>年目标值</w:t>
            </w:r>
          </w:p>
        </w:tc>
      </w:tr>
      <w:tr w14:paraId="6E40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36" w:type="pct"/>
            <w:vAlign w:val="center"/>
          </w:tcPr>
          <w:p w14:paraId="4A14EE4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ascii="仿宋" w:hAnsi="仿宋" w:eastAsia="仿宋" w:cs="仿宋"/>
                <w:bCs/>
                <w:sz w:val="28"/>
                <w:szCs w:val="28"/>
                <w:highlight w:val="none"/>
              </w:rPr>
            </w:pPr>
            <w:r>
              <w:rPr>
                <w:rFonts w:hint="eastAsia" w:ascii="仿宋" w:hAnsi="仿宋" w:eastAsia="仿宋" w:cs="仿宋"/>
                <w:bCs/>
                <w:sz w:val="28"/>
                <w:szCs w:val="28"/>
                <w:highlight w:val="none"/>
              </w:rPr>
              <w:t>既有建筑节能和绿色化改造面积（万平方米）</w:t>
            </w:r>
          </w:p>
        </w:tc>
        <w:tc>
          <w:tcPr>
            <w:tcW w:w="1364" w:type="pct"/>
            <w:vAlign w:val="center"/>
          </w:tcPr>
          <w:p w14:paraId="2CFC9A46">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highlight w:val="none"/>
              </w:rPr>
            </w:pPr>
            <w:r>
              <w:rPr>
                <w:rFonts w:ascii="仿宋" w:hAnsi="仿宋" w:eastAsia="仿宋" w:cs="仿宋"/>
                <w:bCs/>
                <w:sz w:val="28"/>
                <w:szCs w:val="28"/>
                <w:highlight w:val="none"/>
              </w:rPr>
              <w:t>250</w:t>
            </w:r>
          </w:p>
        </w:tc>
      </w:tr>
      <w:tr w14:paraId="07E1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636" w:type="pct"/>
            <w:vAlign w:val="center"/>
          </w:tcPr>
          <w:p w14:paraId="0BF114D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建成超低能耗、近零能耗建筑（万平方米）</w:t>
            </w:r>
          </w:p>
        </w:tc>
        <w:tc>
          <w:tcPr>
            <w:tcW w:w="1364" w:type="pct"/>
            <w:vAlign w:val="center"/>
          </w:tcPr>
          <w:p w14:paraId="19D5EB20">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hint="default" w:ascii="仿宋" w:hAnsi="仿宋" w:eastAsia="仿宋" w:cs="仿宋"/>
                <w:bCs/>
                <w:sz w:val="28"/>
                <w:szCs w:val="28"/>
                <w:lang w:val="en"/>
              </w:rPr>
            </w:pPr>
            <w:r>
              <w:rPr>
                <w:rFonts w:hint="default" w:ascii="仿宋" w:hAnsi="仿宋" w:eastAsia="仿宋" w:cs="仿宋"/>
                <w:bCs/>
                <w:sz w:val="28"/>
                <w:szCs w:val="28"/>
                <w:lang w:val="en"/>
              </w:rPr>
              <w:t>20</w:t>
            </w:r>
          </w:p>
        </w:tc>
      </w:tr>
      <w:tr w14:paraId="33A5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36" w:type="pct"/>
            <w:vAlign w:val="center"/>
          </w:tcPr>
          <w:p w14:paraId="56106CB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新增建筑太阳能光伏装机容量（万千瓦时）</w:t>
            </w:r>
          </w:p>
        </w:tc>
        <w:tc>
          <w:tcPr>
            <w:tcW w:w="1364" w:type="pct"/>
            <w:vAlign w:val="center"/>
          </w:tcPr>
          <w:p w14:paraId="46C94107">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5</w:t>
            </w:r>
          </w:p>
        </w:tc>
      </w:tr>
      <w:tr w14:paraId="1EAA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6" w:type="pct"/>
            <w:vAlign w:val="center"/>
          </w:tcPr>
          <w:p w14:paraId="61DF369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城镇建筑可再生能源替代量</w:t>
            </w:r>
          </w:p>
        </w:tc>
        <w:tc>
          <w:tcPr>
            <w:tcW w:w="1364" w:type="pct"/>
            <w:vAlign w:val="center"/>
          </w:tcPr>
          <w:p w14:paraId="1AE8376E">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8%</w:t>
            </w:r>
          </w:p>
        </w:tc>
      </w:tr>
      <w:tr w14:paraId="21D0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6" w:type="pct"/>
            <w:vAlign w:val="center"/>
          </w:tcPr>
          <w:p w14:paraId="583B17B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建筑能耗中电力消费比例</w:t>
            </w:r>
          </w:p>
        </w:tc>
        <w:tc>
          <w:tcPr>
            <w:tcW w:w="1364" w:type="pct"/>
            <w:vAlign w:val="center"/>
          </w:tcPr>
          <w:p w14:paraId="1A0241A6">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8</w:t>
            </w:r>
            <w:r>
              <w:rPr>
                <w:rFonts w:ascii="仿宋" w:hAnsi="仿宋" w:eastAsia="仿宋" w:cs="仿宋"/>
                <w:bCs/>
                <w:sz w:val="28"/>
                <w:szCs w:val="28"/>
              </w:rPr>
              <w:t>0</w:t>
            </w:r>
            <w:r>
              <w:rPr>
                <w:rFonts w:hint="eastAsia" w:ascii="仿宋" w:hAnsi="仿宋" w:eastAsia="仿宋" w:cs="仿宋"/>
                <w:bCs/>
                <w:sz w:val="28"/>
                <w:szCs w:val="28"/>
              </w:rPr>
              <w:t>%</w:t>
            </w:r>
          </w:p>
        </w:tc>
      </w:tr>
      <w:tr w14:paraId="1820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6" w:type="pct"/>
            <w:vAlign w:val="center"/>
          </w:tcPr>
          <w:p w14:paraId="0052B142">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城镇新建公共建筑能效水平提升</w:t>
            </w:r>
          </w:p>
        </w:tc>
        <w:tc>
          <w:tcPr>
            <w:tcW w:w="1364" w:type="pct"/>
            <w:vAlign w:val="center"/>
          </w:tcPr>
          <w:p w14:paraId="3C4EAD9D">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ascii="仿宋" w:hAnsi="仿宋" w:eastAsia="仿宋" w:cs="仿宋"/>
                <w:bCs/>
                <w:sz w:val="28"/>
                <w:szCs w:val="28"/>
              </w:rPr>
              <w:t>20%</w:t>
            </w:r>
          </w:p>
        </w:tc>
      </w:tr>
      <w:tr w14:paraId="0088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36" w:type="pct"/>
            <w:vAlign w:val="center"/>
          </w:tcPr>
          <w:p w14:paraId="7A96D8CF">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城镇新建居住建筑能效水平提升</w:t>
            </w:r>
          </w:p>
        </w:tc>
        <w:tc>
          <w:tcPr>
            <w:tcW w:w="1364" w:type="pct"/>
            <w:vAlign w:val="center"/>
          </w:tcPr>
          <w:p w14:paraId="00F57D95">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ascii="仿宋" w:hAnsi="仿宋" w:eastAsia="仿宋" w:cs="仿宋"/>
                <w:bCs/>
                <w:sz w:val="28"/>
                <w:szCs w:val="28"/>
              </w:rPr>
              <w:t>30%</w:t>
            </w:r>
          </w:p>
        </w:tc>
      </w:tr>
      <w:tr w14:paraId="7ABB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6" w:type="pct"/>
            <w:vAlign w:val="center"/>
          </w:tcPr>
          <w:p w14:paraId="735D55C4">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城镇新建民用建筑中绿色建筑面积占比</w:t>
            </w:r>
          </w:p>
        </w:tc>
        <w:tc>
          <w:tcPr>
            <w:tcW w:w="1364" w:type="pct"/>
            <w:vAlign w:val="center"/>
          </w:tcPr>
          <w:p w14:paraId="4F4914FF">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ascii="仿宋" w:hAnsi="仿宋" w:eastAsia="仿宋" w:cs="仿宋"/>
                <w:bCs/>
                <w:sz w:val="28"/>
                <w:szCs w:val="28"/>
              </w:rPr>
              <w:t>100%</w:t>
            </w:r>
          </w:p>
        </w:tc>
      </w:tr>
      <w:tr w14:paraId="15B6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6" w:type="pct"/>
            <w:vAlign w:val="center"/>
          </w:tcPr>
          <w:p w14:paraId="6C68B64C">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一星级及以上等级绿色建筑占城镇新增绿色建筑比例</w:t>
            </w:r>
          </w:p>
        </w:tc>
        <w:tc>
          <w:tcPr>
            <w:tcW w:w="1364" w:type="pct"/>
            <w:vAlign w:val="center"/>
          </w:tcPr>
          <w:p w14:paraId="46CC6460">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ascii="仿宋" w:hAnsi="仿宋" w:eastAsia="仿宋" w:cs="仿宋"/>
                <w:bCs/>
                <w:sz w:val="28"/>
                <w:szCs w:val="28"/>
              </w:rPr>
              <w:t>95%</w:t>
            </w:r>
          </w:p>
        </w:tc>
      </w:tr>
      <w:tr w14:paraId="7605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6" w:type="pct"/>
            <w:vAlign w:val="center"/>
          </w:tcPr>
          <w:p w14:paraId="41EA5FAE">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水泥散装率</w:t>
            </w:r>
          </w:p>
        </w:tc>
        <w:tc>
          <w:tcPr>
            <w:tcW w:w="1364" w:type="pct"/>
            <w:vAlign w:val="center"/>
          </w:tcPr>
          <w:p w14:paraId="141FD1E9">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ascii="仿宋" w:hAnsi="仿宋" w:eastAsia="仿宋" w:cs="仿宋"/>
                <w:bCs/>
                <w:sz w:val="28"/>
                <w:szCs w:val="28"/>
              </w:rPr>
              <w:t>80%</w:t>
            </w:r>
          </w:p>
        </w:tc>
      </w:tr>
      <w:tr w14:paraId="3340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36" w:type="pct"/>
            <w:vAlign w:val="center"/>
          </w:tcPr>
          <w:p w14:paraId="7A35E1B2">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预拌混凝土企业绿色生产达标率</w:t>
            </w:r>
          </w:p>
        </w:tc>
        <w:tc>
          <w:tcPr>
            <w:tcW w:w="1364" w:type="pct"/>
            <w:vAlign w:val="center"/>
          </w:tcPr>
          <w:p w14:paraId="3411A9F1">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ascii="仿宋" w:hAnsi="仿宋" w:eastAsia="仿宋" w:cs="仿宋"/>
                <w:bCs/>
                <w:sz w:val="28"/>
                <w:szCs w:val="28"/>
              </w:rPr>
              <w:t>100%</w:t>
            </w:r>
          </w:p>
        </w:tc>
      </w:tr>
      <w:tr w14:paraId="19FD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6" w:type="pct"/>
            <w:vAlign w:val="center"/>
          </w:tcPr>
          <w:p w14:paraId="49D4FEA3">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城镇新建建筑中装配式建筑比例</w:t>
            </w:r>
          </w:p>
        </w:tc>
        <w:tc>
          <w:tcPr>
            <w:tcW w:w="1364" w:type="pct"/>
            <w:vAlign w:val="center"/>
          </w:tcPr>
          <w:p w14:paraId="1DC63FA1">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ascii="仿宋" w:hAnsi="仿宋" w:eastAsia="仿宋" w:cs="仿宋"/>
                <w:bCs/>
                <w:sz w:val="28"/>
                <w:szCs w:val="28"/>
              </w:rPr>
              <w:t>35%</w:t>
            </w:r>
          </w:p>
        </w:tc>
      </w:tr>
      <w:tr w14:paraId="6F3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6" w:type="pct"/>
            <w:vAlign w:val="center"/>
          </w:tcPr>
          <w:p w14:paraId="02D6FEB6">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hint="eastAsia" w:ascii="仿宋" w:hAnsi="仿宋" w:eastAsia="仿宋" w:cs="仿宋"/>
                <w:bCs/>
                <w:sz w:val="28"/>
                <w:szCs w:val="28"/>
              </w:rPr>
              <w:t>城镇新建政府投资工程（含</w:t>
            </w:r>
            <w:r>
              <w:rPr>
                <w:rFonts w:ascii="仿宋" w:hAnsi="仿宋" w:eastAsia="仿宋" w:cs="仿宋"/>
                <w:bCs/>
                <w:sz w:val="28"/>
                <w:szCs w:val="28"/>
              </w:rPr>
              <w:t>PPP项目）</w:t>
            </w:r>
            <w:r>
              <w:rPr>
                <w:rFonts w:hint="eastAsia" w:ascii="仿宋" w:hAnsi="仿宋" w:eastAsia="仿宋" w:cs="仿宋"/>
                <w:bCs/>
                <w:sz w:val="28"/>
                <w:szCs w:val="28"/>
              </w:rPr>
              <w:t>中装配式建筑比例</w:t>
            </w:r>
          </w:p>
        </w:tc>
        <w:tc>
          <w:tcPr>
            <w:tcW w:w="1364" w:type="pct"/>
            <w:vAlign w:val="center"/>
          </w:tcPr>
          <w:p w14:paraId="620086E5">
            <w:pPr>
              <w:pStyle w:val="19"/>
              <w:keepNext w:val="0"/>
              <w:keepLines w:val="0"/>
              <w:pageBreakBefore w:val="0"/>
              <w:widowControl/>
              <w:kinsoku/>
              <w:wordWrap/>
              <w:overflowPunct/>
              <w:topLinePunct w:val="0"/>
              <w:autoSpaceDE/>
              <w:autoSpaceDN/>
              <w:bidi w:val="0"/>
              <w:adjustRightInd w:val="0"/>
              <w:snapToGrid w:val="0"/>
              <w:spacing w:before="156" w:beforeLines="50" w:beforeAutospacing="0" w:after="156" w:afterLines="50" w:afterAutospacing="0" w:line="400" w:lineRule="exact"/>
              <w:jc w:val="center"/>
              <w:textAlignment w:val="auto"/>
              <w:rPr>
                <w:rFonts w:ascii="仿宋" w:hAnsi="仿宋" w:eastAsia="仿宋" w:cs="仿宋"/>
                <w:bCs/>
                <w:sz w:val="28"/>
                <w:szCs w:val="28"/>
              </w:rPr>
            </w:pPr>
            <w:r>
              <w:rPr>
                <w:rFonts w:ascii="仿宋" w:hAnsi="仿宋" w:eastAsia="仿宋" w:cs="仿宋"/>
                <w:bCs/>
                <w:sz w:val="28"/>
                <w:szCs w:val="28"/>
              </w:rPr>
              <w:t>70%</w:t>
            </w:r>
          </w:p>
        </w:tc>
      </w:tr>
    </w:tbl>
    <w:p w14:paraId="2DEDBFE4">
      <w:pPr>
        <w:keepNext w:val="0"/>
        <w:keepLines w:val="0"/>
        <w:pageBreakBefore w:val="0"/>
        <w:kinsoku/>
        <w:wordWrap/>
        <w:overflowPunct/>
        <w:topLinePunct w:val="0"/>
        <w:autoSpaceDE/>
        <w:autoSpaceDN/>
        <w:bidi w:val="0"/>
        <w:adjustRightInd w:val="0"/>
        <w:snapToGrid w:val="0"/>
        <w:spacing w:line="520" w:lineRule="exact"/>
        <w:ind w:firstLine="560" w:firstLineChars="200"/>
        <w:jc w:val="left"/>
        <w:rPr>
          <w:rFonts w:ascii="仿宋" w:hAnsi="仿宋" w:eastAsia="仿宋" w:cs="仿宋"/>
          <w:sz w:val="28"/>
          <w:szCs w:val="28"/>
        </w:rPr>
      </w:pPr>
      <w:bookmarkStart w:id="469" w:name="_Toc10268"/>
      <w:bookmarkStart w:id="470" w:name="_Toc19282"/>
      <w:bookmarkStart w:id="471" w:name="_Toc9621"/>
      <w:bookmarkStart w:id="472" w:name="_Toc30342"/>
      <w:bookmarkStart w:id="473" w:name="_Toc23488"/>
      <w:bookmarkStart w:id="474" w:name="_Toc6090"/>
      <w:bookmarkStart w:id="475" w:name="_Toc4522"/>
      <w:bookmarkStart w:id="476" w:name="_Toc28942"/>
      <w:bookmarkStart w:id="477" w:name="_Toc873"/>
      <w:bookmarkStart w:id="478" w:name="_Toc29067"/>
      <w:bookmarkStart w:id="479" w:name="_Toc22669"/>
      <w:bookmarkStart w:id="480" w:name="_Toc25105"/>
      <w:bookmarkStart w:id="481" w:name="_Toc7641"/>
      <w:bookmarkStart w:id="482" w:name="_Toc22171"/>
      <w:bookmarkStart w:id="483" w:name="_Toc14964"/>
      <w:bookmarkStart w:id="484" w:name="_Toc2425"/>
      <w:bookmarkStart w:id="485" w:name="_Toc27543"/>
      <w:bookmarkStart w:id="486" w:name="_Toc14617"/>
      <w:bookmarkStart w:id="487" w:name="_Toc24587"/>
      <w:bookmarkStart w:id="488" w:name="_Toc31541"/>
      <w:bookmarkStart w:id="489" w:name="_Toc16962"/>
      <w:bookmarkStart w:id="490" w:name="_Toc5273"/>
      <w:bookmarkStart w:id="491" w:name="_Toc1430"/>
      <w:bookmarkStart w:id="492" w:name="_Toc16567"/>
      <w:bookmarkStart w:id="493" w:name="_Toc22540"/>
      <w:bookmarkStart w:id="494" w:name="_Toc21162"/>
      <w:bookmarkStart w:id="495" w:name="_Toc1617"/>
      <w:bookmarkStart w:id="496" w:name="_Toc25743"/>
      <w:bookmarkStart w:id="497" w:name="_Toc17851"/>
      <w:bookmarkStart w:id="498" w:name="_Toc31052"/>
      <w:bookmarkStart w:id="499" w:name="_Toc16979"/>
      <w:bookmarkStart w:id="500" w:name="_Toc24981"/>
      <w:bookmarkStart w:id="501" w:name="_Toc21421"/>
      <w:bookmarkStart w:id="502" w:name="_Toc24683"/>
      <w:bookmarkStart w:id="503" w:name="_Toc27698"/>
      <w:bookmarkStart w:id="504" w:name="_Toc20664"/>
      <w:bookmarkStart w:id="505" w:name="_Toc12249"/>
      <w:bookmarkStart w:id="506" w:name="_Toc22106"/>
      <w:bookmarkStart w:id="507" w:name="_Toc31531"/>
      <w:bookmarkStart w:id="508" w:name="_Toc32390"/>
      <w:bookmarkStart w:id="509" w:name="_Toc22605"/>
      <w:bookmarkStart w:id="510" w:name="_Toc16237"/>
      <w:bookmarkStart w:id="511" w:name="_Toc29275"/>
      <w:bookmarkStart w:id="512" w:name="_Toc28961"/>
      <w:bookmarkStart w:id="513" w:name="_Toc15884"/>
      <w:bookmarkStart w:id="514" w:name="_Toc2164"/>
      <w:bookmarkStart w:id="515" w:name="_Toc413"/>
      <w:bookmarkStart w:id="516" w:name="_Toc11035"/>
      <w:bookmarkStart w:id="517" w:name="_Toc16301"/>
      <w:bookmarkStart w:id="518" w:name="_Toc8926"/>
      <w:bookmarkStart w:id="519" w:name="_Toc13362"/>
      <w:bookmarkStart w:id="520" w:name="_Toc26761"/>
      <w:bookmarkStart w:id="521" w:name="_Toc9223"/>
      <w:bookmarkStart w:id="522" w:name="_Toc24901"/>
      <w:bookmarkStart w:id="523" w:name="_Toc4916"/>
      <w:bookmarkStart w:id="524" w:name="_Toc9124"/>
      <w:bookmarkStart w:id="525" w:name="_Toc19288"/>
      <w:bookmarkStart w:id="526" w:name="_Toc17606"/>
      <w:bookmarkStart w:id="527" w:name="_Toc17689"/>
      <w:bookmarkStart w:id="528" w:name="_Toc25082"/>
      <w:bookmarkStart w:id="529" w:name="_Toc28716"/>
      <w:bookmarkStart w:id="530" w:name="_Toc28069"/>
      <w:bookmarkStart w:id="531" w:name="_Toc8518"/>
      <w:bookmarkStart w:id="532" w:name="_Toc27517"/>
      <w:bookmarkStart w:id="533" w:name="_Toc12553"/>
      <w:bookmarkStart w:id="534" w:name="_Toc19399"/>
      <w:bookmarkStart w:id="535" w:name="_Toc1548"/>
      <w:r>
        <w:rPr>
          <w:rFonts w:hint="eastAsia" w:ascii="仿宋" w:hAnsi="仿宋" w:eastAsia="仿宋" w:cs="仿宋"/>
          <w:sz w:val="28"/>
          <w:szCs w:val="28"/>
        </w:rPr>
        <w:t>（注：1.表中指标均为预期性指标；2.指标为数值时，表示“十四五”期间累</w:t>
      </w:r>
      <w:r>
        <w:rPr>
          <w:rFonts w:ascii="仿宋" w:hAnsi="仿宋" w:eastAsia="仿宋" w:cs="仿宋"/>
          <w:sz w:val="28"/>
          <w:szCs w:val="28"/>
        </w:rPr>
        <w:t>计</w:t>
      </w:r>
      <w:r>
        <w:rPr>
          <w:rFonts w:hint="eastAsia" w:ascii="仿宋" w:hAnsi="仿宋" w:eastAsia="仿宋" w:cs="仿宋"/>
          <w:sz w:val="28"/>
          <w:szCs w:val="28"/>
        </w:rPr>
        <w:t>值；指标为比例时，表示2025年当年值。）</w:t>
      </w:r>
    </w:p>
    <w:p w14:paraId="0EA32C84">
      <w:pPr>
        <w:keepNext w:val="0"/>
        <w:keepLines w:val="0"/>
        <w:pageBreakBefore w:val="0"/>
        <w:widowControl/>
        <w:kinsoku/>
        <w:wordWrap/>
        <w:overflowPunct/>
        <w:topLinePunct w:val="0"/>
        <w:autoSpaceDE/>
        <w:autoSpaceDN/>
        <w:bidi w:val="0"/>
        <w:spacing w:line="520" w:lineRule="exact"/>
        <w:jc w:val="left"/>
        <w:rPr>
          <w:rFonts w:ascii="黑体" w:hAnsi="黑体" w:eastAsia="黑体" w:cs="黑体"/>
          <w:sz w:val="32"/>
          <w:szCs w:val="32"/>
        </w:rPr>
      </w:pPr>
      <w:r>
        <w:rPr>
          <w:rFonts w:ascii="黑体" w:hAnsi="黑体" w:eastAsia="黑体" w:cs="黑体"/>
          <w:sz w:val="32"/>
          <w:szCs w:val="32"/>
        </w:rPr>
        <w:br w:type="page"/>
      </w:r>
    </w:p>
    <w:p w14:paraId="404166FD">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hint="eastAsia" w:ascii="黑体" w:hAnsi="黑体" w:eastAsia="黑体" w:cs="黑体"/>
          <w:sz w:val="32"/>
          <w:szCs w:val="32"/>
        </w:rPr>
        <w:t>重点任务</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543A2E91">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pPr>
      <w:bookmarkStart w:id="536" w:name="_Toc9138"/>
      <w:bookmarkStart w:id="537" w:name="_Toc10007"/>
      <w:bookmarkStart w:id="538" w:name="_Toc26124"/>
      <w:bookmarkStart w:id="539" w:name="_Toc18507"/>
      <w:bookmarkStart w:id="540" w:name="_Toc16015"/>
      <w:bookmarkStart w:id="541" w:name="_Toc12811"/>
      <w:bookmarkStart w:id="542" w:name="_Toc14431"/>
      <w:bookmarkStart w:id="543" w:name="_Toc7091"/>
      <w:bookmarkStart w:id="544" w:name="_Toc585"/>
      <w:bookmarkStart w:id="545" w:name="_Toc17769"/>
      <w:bookmarkStart w:id="546" w:name="_Toc14095"/>
      <w:bookmarkStart w:id="547" w:name="_Toc17449"/>
      <w:bookmarkStart w:id="548" w:name="_Toc17827"/>
      <w:bookmarkStart w:id="549" w:name="_Toc15214"/>
      <w:bookmarkStart w:id="550" w:name="_Toc12080"/>
      <w:bookmarkStart w:id="551" w:name="_Toc13627"/>
      <w:bookmarkStart w:id="552" w:name="_Toc18947"/>
      <w:bookmarkStart w:id="553" w:name="_Toc5956"/>
      <w:bookmarkStart w:id="554" w:name="_Toc26480"/>
      <w:bookmarkStart w:id="555" w:name="_Toc19228"/>
      <w:bookmarkStart w:id="556" w:name="_Toc23756"/>
      <w:bookmarkStart w:id="557" w:name="_Toc21048"/>
      <w:bookmarkStart w:id="558" w:name="_Toc26590"/>
      <w:bookmarkStart w:id="559" w:name="_Toc5009"/>
      <w:bookmarkStart w:id="560" w:name="_Toc2935"/>
      <w:bookmarkStart w:id="561" w:name="_Toc31318"/>
      <w:bookmarkStart w:id="562" w:name="_Toc15846"/>
      <w:bookmarkStart w:id="563" w:name="_Toc1145"/>
      <w:bookmarkStart w:id="564" w:name="_Toc17363"/>
      <w:bookmarkStart w:id="565" w:name="_Toc28239"/>
      <w:bookmarkStart w:id="566" w:name="_Toc24325"/>
      <w:bookmarkStart w:id="567" w:name="_Toc31834"/>
      <w:bookmarkStart w:id="568" w:name="_Toc19172"/>
      <w:bookmarkStart w:id="569" w:name="_Toc5080"/>
      <w:bookmarkStart w:id="570" w:name="_Toc12539"/>
      <w:bookmarkStart w:id="571" w:name="_Toc10011"/>
      <w:bookmarkStart w:id="572" w:name="_Toc23164"/>
      <w:bookmarkStart w:id="573" w:name="_Toc16031"/>
      <w:bookmarkStart w:id="574" w:name="_Toc22241"/>
      <w:bookmarkStart w:id="575" w:name="_Toc30171"/>
      <w:bookmarkStart w:id="576" w:name="_Toc28708"/>
      <w:bookmarkStart w:id="577" w:name="_Toc17437"/>
      <w:bookmarkStart w:id="578" w:name="_Toc26269"/>
      <w:bookmarkStart w:id="579" w:name="_Toc25517"/>
      <w:bookmarkStart w:id="580" w:name="_Toc9712"/>
      <w:bookmarkStart w:id="581" w:name="_Toc20745"/>
      <w:bookmarkStart w:id="582" w:name="_Toc17046"/>
      <w:r>
        <w:rPr>
          <w:rFonts w:hint="eastAsia" w:ascii="楷体_GB2312" w:hAnsi="楷体_GB2312" w:eastAsia="楷体_GB2312" w:cs="楷体_GB2312"/>
          <w:sz w:val="32"/>
          <w:szCs w:val="32"/>
        </w:rPr>
        <w:t>（一）提升建筑能源利用效率。</w:t>
      </w:r>
      <w:bookmarkEnd w:id="536"/>
      <w:bookmarkEnd w:id="537"/>
      <w:bookmarkEnd w:id="538"/>
      <w:bookmarkEnd w:id="539"/>
      <w:bookmarkEnd w:id="540"/>
      <w:bookmarkEnd w:id="541"/>
      <w:bookmarkEnd w:id="542"/>
      <w:bookmarkEnd w:id="543"/>
    </w:p>
    <w:p w14:paraId="069D76A4">
      <w:pPr>
        <w:keepNext w:val="0"/>
        <w:keepLines w:val="0"/>
        <w:pageBreakBefore w:val="0"/>
        <w:kinsoku/>
        <w:wordWrap/>
        <w:overflowPunct/>
        <w:topLinePunct w:val="0"/>
        <w:autoSpaceDE/>
        <w:autoSpaceDN/>
        <w:bidi w:val="0"/>
        <w:adjustRightInd w:val="0"/>
        <w:snapToGrid w:val="0"/>
        <w:spacing w:line="52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提升新建建筑节能水平。</w:t>
      </w:r>
      <w:r>
        <w:rPr>
          <w:rFonts w:hint="eastAsia" w:ascii="仿宋_GB2312" w:hAnsi="仿宋_GB2312" w:eastAsia="仿宋_GB2312" w:cs="仿宋_GB2312"/>
          <w:sz w:val="32"/>
          <w:szCs w:val="32"/>
        </w:rPr>
        <w:t>严格执行国家、省建筑节能强制性标准要求，鼓励执行高标准要求；深入开展超高超限公共建筑节能设计论证、评审工作。积极开展岭南特色超低能耗建筑技术推广与项目建设，力争“十四五”期间建成岭南特色超低能耗、近零能耗建筑项目</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万平方米。</w:t>
      </w:r>
    </w:p>
    <w:p w14:paraId="26FE0241">
      <w:pPr>
        <w:keepNext w:val="0"/>
        <w:keepLines w:val="0"/>
        <w:pageBreakBefore w:val="0"/>
        <w:kinsoku/>
        <w:wordWrap/>
        <w:overflowPunct/>
        <w:topLinePunct w:val="0"/>
        <w:autoSpaceDE/>
        <w:autoSpaceDN/>
        <w:bidi w:val="0"/>
        <w:adjustRightInd w:val="0"/>
        <w:snapToGrid w:val="0"/>
        <w:spacing w:line="52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加强可再生能源建筑应用。</w:t>
      </w:r>
      <w:r>
        <w:rPr>
          <w:rFonts w:hint="eastAsia" w:ascii="仿宋_GB2312" w:hAnsi="仿宋_GB2312" w:eastAsia="仿宋_GB2312" w:cs="仿宋_GB2312"/>
          <w:sz w:val="32"/>
          <w:szCs w:val="32"/>
        </w:rPr>
        <w:t>鼓励政府投资公益性建筑加强太阳能光伏应用。加装建筑光伏的，应保证建筑或设施结构安全、防火安全。鼓励有条件、屋顶面积适宜的大型公共建筑、工业厂房建筑应用太阳能光伏发电技术，进一步加大太阳能光热系统在中低层住宅、酒店、学校建筑中的应用。积极推动农村地区可再生能源应用。结合自然资源条件和项目使用需求，合理利用浅层地热能、生物质能。开展各类可再生能源建筑应用技术研究与后评估，制定适合珠海市本地情况的应用项目运行策略。高星级绿色建筑、超低能耗建筑等各类示范项目中，将可再生能源建筑应用比例作为约束性指标。</w:t>
      </w:r>
    </w:p>
    <w:p w14:paraId="13D9CC0A">
      <w:pPr>
        <w:keepNext w:val="0"/>
        <w:keepLines w:val="0"/>
        <w:pageBreakBefore w:val="0"/>
        <w:kinsoku/>
        <w:wordWrap/>
        <w:overflowPunct/>
        <w:topLinePunct w:val="0"/>
        <w:autoSpaceDE/>
        <w:autoSpaceDN/>
        <w:bidi w:val="0"/>
        <w:adjustRightInd w:val="0"/>
        <w:snapToGrid w:val="0"/>
        <w:spacing w:line="52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实施建筑电气化工程。</w:t>
      </w:r>
      <w:r>
        <w:rPr>
          <w:rFonts w:hint="eastAsia" w:ascii="仿宋_GB2312" w:hAnsi="仿宋_GB2312" w:eastAsia="仿宋_GB2312" w:cs="仿宋_GB2312"/>
          <w:sz w:val="32"/>
          <w:szCs w:val="32"/>
        </w:rPr>
        <w:t>提高建筑用能中清洁电力消费比例，在城市大型商场、办公楼、酒店、机场航站楼等公共建筑中推广应用空气源热泵、电蓄冷空调等。引导生活热水、炊事用能向电气化发展，促进高效电气化技术与设备研发。鼓励机关、学校、医院等公共机构建筑和办公楼、酒店、商业综合体等大型公共建筑围绕减碳提效，实施电气化改造。鼓励建设以“光储直柔”为主要特征的新型建筑电力系统，发展柔性用电建筑。</w:t>
      </w:r>
    </w:p>
    <w:p w14:paraId="74246662">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583" w:name="_Toc16342"/>
      <w:bookmarkStart w:id="584" w:name="_Toc9760"/>
      <w:bookmarkStart w:id="585" w:name="_Toc9466"/>
      <w:bookmarkStart w:id="586" w:name="_Toc15915"/>
      <w:bookmarkStart w:id="587" w:name="_Toc31037"/>
      <w:bookmarkStart w:id="588" w:name="_Toc19440"/>
      <w:bookmarkStart w:id="589" w:name="_Toc2545"/>
      <w:bookmarkStart w:id="590" w:name="_Toc21312"/>
      <w:r>
        <w:rPr>
          <w:rFonts w:hint="eastAsia" w:ascii="楷体_GB2312" w:hAnsi="楷体_GB2312" w:eastAsia="楷体_GB2312" w:cs="楷体_GB2312"/>
          <w:sz w:val="32"/>
          <w:szCs w:val="32"/>
        </w:rPr>
        <w:t>（二）拓宽建筑节能改造渠道。</w:t>
      </w:r>
      <w:bookmarkEnd w:id="583"/>
      <w:bookmarkEnd w:id="584"/>
      <w:bookmarkEnd w:id="585"/>
      <w:bookmarkEnd w:id="586"/>
      <w:bookmarkEnd w:id="587"/>
      <w:bookmarkEnd w:id="588"/>
      <w:bookmarkEnd w:id="589"/>
      <w:bookmarkEnd w:id="590"/>
    </w:p>
    <w:p w14:paraId="11F8BE14">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建筑能耗基础数，会同能源、电网等相关部门研究制定珠海市公共建筑能耗限额标准，根据标准对既有公共建筑进行评估，将评估不合格的国家机关办公建筑、大型公共建筑和以政府投资为主的其他公共建筑优先纳入改造计划。</w:t>
      </w:r>
    </w:p>
    <w:p w14:paraId="1743C777">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推动既有居住建筑节能绿色化改造。在老旧小区更新改造中，推动既有居住建筑节能和绿色化改造，</w:t>
      </w:r>
      <w:r>
        <w:rPr>
          <w:rFonts w:hint="eastAsia" w:ascii="仿宋_GB2312" w:hAnsi="Times New Roman" w:eastAsia="仿宋_GB2312"/>
          <w:bCs/>
          <w:sz w:val="32"/>
          <w:szCs w:val="32"/>
        </w:rPr>
        <w:t>推进墙面、屋顶、照明等改造中积极采用绿色节能技术，</w:t>
      </w:r>
      <w:r>
        <w:rPr>
          <w:rFonts w:hint="eastAsia" w:ascii="仿宋_GB2312" w:hAnsi="仿宋_GB2312" w:eastAsia="仿宋_GB2312" w:cs="仿宋_GB2312"/>
          <w:sz w:val="32"/>
          <w:szCs w:val="32"/>
        </w:rPr>
        <w:t>鼓励老旧小区按照绿色建筑评价标准进行改造。</w:t>
      </w:r>
    </w:p>
    <w:p w14:paraId="0C85D89D">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善既有建筑节能改造政策，认真贯彻《广东省绿色建筑条例》，推动民用建筑绿色化改造。会同财政、银行等部门制定相关激励政策，加快完善建筑节能改造市场机制，推动建筑节能服务机构为建筑运行和既有民用建筑节能改造提供合同能源管理服务。</w:t>
      </w:r>
    </w:p>
    <w:p w14:paraId="706472B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591" w:name="_Toc24100"/>
      <w:bookmarkStart w:id="592" w:name="_Toc8658"/>
      <w:bookmarkStart w:id="593" w:name="_Toc8520"/>
      <w:bookmarkStart w:id="594" w:name="_Toc22356"/>
      <w:bookmarkStart w:id="595" w:name="_Toc25038"/>
      <w:bookmarkStart w:id="596" w:name="_Toc27311"/>
      <w:bookmarkStart w:id="597" w:name="_Toc14170"/>
      <w:bookmarkStart w:id="598" w:name="_Toc7482"/>
      <w:r>
        <w:rPr>
          <w:rFonts w:hint="eastAsia" w:ascii="楷体_GB2312" w:hAnsi="楷体_GB2312" w:eastAsia="楷体_GB2312" w:cs="楷体_GB2312"/>
          <w:sz w:val="32"/>
          <w:szCs w:val="32"/>
        </w:rPr>
        <w:t>（三）加强建筑低碳能力建设。</w:t>
      </w:r>
      <w:bookmarkEnd w:id="591"/>
      <w:bookmarkEnd w:id="592"/>
      <w:bookmarkEnd w:id="593"/>
      <w:bookmarkEnd w:id="594"/>
      <w:bookmarkEnd w:id="595"/>
      <w:bookmarkEnd w:id="596"/>
      <w:bookmarkEnd w:id="597"/>
      <w:bookmarkEnd w:id="598"/>
    </w:p>
    <w:p w14:paraId="626DC130">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按照国家及省双碳工作要求，落实珠海市碳达峰行动中建筑碳排放控制任务，会同能源管理部门开展区域能源评估与数据共享，研究基于建筑行业碳排放总量和强度双控的目标引导和分解落实机制。</w:t>
      </w:r>
    </w:p>
    <w:p w14:paraId="277A1E99">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进一步推进与市发改、能源、电网等相关部门的数据共享。加强公共建筑用能管理，统筹分析应用能耗统计、能源审计、能耗监测等数据信息，开展能耗信息公示及披露试点。</w:t>
      </w:r>
    </w:p>
    <w:p w14:paraId="75E36532">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强化绿色建筑所有权人或者使用人对绿色建筑的设施设备进行维护保养的主体责任，推动物业管理单位加强绿色建筑运行能耗、环境数据收集统计，保障绿色建筑运行满足管理制度完备、围护结构完好、设施设备和相关系统运行正常、节电节水和环境指标达标、排放和处置符合规定等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6993"/>
      </w:tblGrid>
      <w:tr w14:paraId="29D9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trPr>
        <w:tc>
          <w:tcPr>
            <w:tcW w:w="8296" w:type="dxa"/>
            <w:gridSpan w:val="2"/>
            <w:tcBorders>
              <w:top w:val="nil"/>
              <w:left w:val="nil"/>
              <w:right w:val="nil"/>
            </w:tcBorders>
          </w:tcPr>
          <w:p w14:paraId="28D49D71">
            <w:pPr>
              <w:keepNext w:val="0"/>
              <w:keepLines w:val="0"/>
              <w:pageBreakBefore w:val="0"/>
              <w:widowControl/>
              <w:kinsoku/>
              <w:wordWrap/>
              <w:overflowPunct/>
              <w:topLinePunct w:val="0"/>
              <w:autoSpaceDE/>
              <w:autoSpaceDN/>
              <w:bidi w:val="0"/>
              <w:adjustRightInd/>
              <w:snapToGrid/>
              <w:spacing w:line="440" w:lineRule="exact"/>
              <w:jc w:val="center"/>
              <w:rPr>
                <w:rFonts w:ascii="仿宋_GB2312" w:hAnsi="仿宋_GB2312" w:eastAsia="仿宋_GB2312" w:cs="仿宋_GB2312"/>
                <w:sz w:val="28"/>
                <w:szCs w:val="28"/>
              </w:rPr>
            </w:pPr>
            <w:r>
              <w:br w:type="page"/>
            </w:r>
            <w:r>
              <w:rPr>
                <w:rFonts w:hint="eastAsia" w:ascii="仿宋_GB2312" w:hAnsi="仿宋_GB2312" w:eastAsia="仿宋_GB2312" w:cs="仿宋_GB2312"/>
                <w:sz w:val="28"/>
                <w:szCs w:val="28"/>
              </w:rPr>
              <w:t>专栏</w:t>
            </w:r>
            <w:r>
              <w:rPr>
                <w:rFonts w:ascii="仿宋_GB2312" w:hAnsi="仿宋_GB2312" w:eastAsia="仿宋_GB2312" w:cs="仿宋_GB2312"/>
                <w:sz w:val="28"/>
                <w:szCs w:val="28"/>
              </w:rPr>
              <w:t xml:space="preserve">1 </w:t>
            </w:r>
            <w:r>
              <w:rPr>
                <w:rFonts w:hint="eastAsia" w:ascii="仿宋_GB2312" w:hAnsi="仿宋_GB2312" w:eastAsia="仿宋_GB2312" w:cs="仿宋_GB2312"/>
                <w:sz w:val="28"/>
                <w:szCs w:val="28"/>
              </w:rPr>
              <w:t>稳步提升建筑节能水平重点工作及实施路径</w:t>
            </w:r>
          </w:p>
        </w:tc>
      </w:tr>
      <w:tr w14:paraId="2897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303" w:type="dxa"/>
          </w:tcPr>
          <w:p w14:paraId="0790C2A8">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jc w:val="center"/>
              <w:textAlignment w:val="baseline"/>
              <w:rPr>
                <w:rFonts w:ascii="仿宋_GB2312" w:hAnsi="仿宋_GB2312" w:eastAsia="仿宋_GB2312" w:cs="仿宋_GB2312"/>
                <w:sz w:val="26"/>
                <w:szCs w:val="26"/>
              </w:rPr>
            </w:pPr>
            <w:r>
              <w:rPr>
                <w:rFonts w:hint="eastAsia" w:ascii="仿宋_GB2312" w:hAnsi="仿宋_GB2312" w:eastAsia="仿宋_GB2312" w:cs="仿宋_GB2312"/>
                <w:sz w:val="26"/>
                <w:szCs w:val="26"/>
              </w:rPr>
              <w:t>重点工作</w:t>
            </w:r>
          </w:p>
        </w:tc>
        <w:tc>
          <w:tcPr>
            <w:tcW w:w="6993" w:type="dxa"/>
          </w:tcPr>
          <w:p w14:paraId="6992A72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jc w:val="center"/>
              <w:textAlignment w:val="baseline"/>
              <w:rPr>
                <w:rFonts w:ascii="仿宋_GB2312" w:hAnsi="仿宋_GB2312" w:eastAsia="仿宋_GB2312" w:cs="仿宋_GB2312"/>
                <w:sz w:val="26"/>
                <w:szCs w:val="26"/>
              </w:rPr>
            </w:pPr>
            <w:r>
              <w:rPr>
                <w:rFonts w:hint="eastAsia" w:ascii="仿宋_GB2312" w:hAnsi="仿宋_GB2312" w:eastAsia="仿宋_GB2312" w:cs="仿宋_GB2312"/>
                <w:sz w:val="26"/>
                <w:szCs w:val="26"/>
              </w:rPr>
              <w:t>实施路径</w:t>
            </w:r>
          </w:p>
        </w:tc>
      </w:tr>
      <w:tr w14:paraId="3575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303" w:type="dxa"/>
            <w:vAlign w:val="center"/>
          </w:tcPr>
          <w:p w14:paraId="68757255">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sz w:val="26"/>
                <w:szCs w:val="26"/>
              </w:rPr>
            </w:pPr>
            <w:r>
              <w:rPr>
                <w:rFonts w:hint="eastAsia" w:ascii="仿宋_GB2312" w:hAnsi="仿宋_GB2312" w:eastAsia="仿宋_GB2312" w:cs="仿宋_GB2312"/>
                <w:b/>
                <w:bCs/>
                <w:sz w:val="26"/>
                <w:szCs w:val="26"/>
              </w:rPr>
              <w:t>进一步提高新建建筑节能水平</w:t>
            </w:r>
          </w:p>
          <w:p w14:paraId="14A44AD2">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sz w:val="26"/>
                <w:szCs w:val="26"/>
              </w:rPr>
            </w:pPr>
          </w:p>
        </w:tc>
        <w:tc>
          <w:tcPr>
            <w:tcW w:w="6993" w:type="dxa"/>
            <w:vAlign w:val="center"/>
          </w:tcPr>
          <w:p w14:paraId="008C8364">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sz w:val="26"/>
                <w:szCs w:val="26"/>
              </w:rPr>
            </w:pPr>
            <w:r>
              <w:rPr>
                <w:rFonts w:hint="eastAsia" w:ascii="仿宋_GB2312" w:hAnsi="仿宋_GB2312" w:eastAsia="仿宋_GB2312" w:cs="仿宋_GB2312"/>
                <w:sz w:val="26"/>
                <w:szCs w:val="26"/>
              </w:rPr>
              <w:t>1、《建筑节能与可再生能源通用规范》（GB 55015-2021）</w:t>
            </w:r>
            <w:r>
              <w:rPr>
                <w:rFonts w:hint="eastAsia" w:ascii="仿宋_GB2312" w:hAnsi="仿宋_GB2312" w:eastAsia="仿宋_GB2312" w:cs="仿宋_GB2312"/>
                <w:sz w:val="26"/>
                <w:szCs w:val="26"/>
                <w:lang w:val="en-US" w:eastAsia="zh-CN"/>
              </w:rPr>
              <w:t>等</w:t>
            </w:r>
            <w:r>
              <w:rPr>
                <w:rFonts w:hint="eastAsia" w:ascii="仿宋_GB2312" w:hAnsi="仿宋_GB2312" w:eastAsia="仿宋_GB2312" w:cs="仿宋_GB2312"/>
                <w:sz w:val="26"/>
                <w:szCs w:val="26"/>
              </w:rPr>
              <w:t>相关标准实施后，施工图审查机构应严格按照标准规范要求进行审查，对于不满足要求的，不得通过施工图审查。</w:t>
            </w:r>
          </w:p>
          <w:p w14:paraId="531B0213">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sz w:val="26"/>
                <w:szCs w:val="26"/>
              </w:rPr>
            </w:pPr>
            <w:r>
              <w:rPr>
                <w:rFonts w:ascii="仿宋_GB2312" w:hAnsi="仿宋_GB2312" w:eastAsia="仿宋_GB2312" w:cs="仿宋_GB2312"/>
                <w:sz w:val="26"/>
                <w:szCs w:val="26"/>
              </w:rPr>
              <w:t>2</w:t>
            </w:r>
            <w:r>
              <w:rPr>
                <w:rFonts w:hint="eastAsia" w:ascii="仿宋_GB2312" w:hAnsi="仿宋_GB2312" w:eastAsia="仿宋_GB2312" w:cs="仿宋_GB2312"/>
                <w:sz w:val="26"/>
                <w:szCs w:val="26"/>
              </w:rPr>
              <w:t>、以1</w:t>
            </w:r>
            <w:r>
              <w:rPr>
                <w:rFonts w:ascii="仿宋_GB2312" w:hAnsi="仿宋_GB2312" w:eastAsia="仿宋_GB2312" w:cs="仿宋_GB2312"/>
                <w:sz w:val="26"/>
                <w:szCs w:val="26"/>
              </w:rPr>
              <w:t>2</w:t>
            </w:r>
            <w:r>
              <w:rPr>
                <w:rFonts w:hint="eastAsia" w:ascii="仿宋_GB2312" w:hAnsi="仿宋_GB2312" w:eastAsia="仿宋_GB2312" w:cs="仿宋_GB2312"/>
                <w:sz w:val="26"/>
                <w:szCs w:val="26"/>
              </w:rPr>
              <w:t>层以下中小型公建、居建为试点，开展超低能耗建筑建设工作。</w:t>
            </w:r>
          </w:p>
          <w:p w14:paraId="0D3D212F">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sz w:val="26"/>
                <w:szCs w:val="26"/>
              </w:rPr>
            </w:pPr>
            <w:r>
              <w:rPr>
                <w:rFonts w:hint="eastAsia" w:ascii="仿宋_GB2312" w:hAnsi="仿宋_GB2312" w:eastAsia="仿宋_GB2312" w:cs="仿宋_GB2312"/>
                <w:sz w:val="26"/>
                <w:szCs w:val="26"/>
              </w:rPr>
              <w:t>3、在每年的重点建设项目中，优先选取政府投资项目、中小型项目实施超低能耗建筑建设工作。</w:t>
            </w:r>
          </w:p>
        </w:tc>
      </w:tr>
      <w:tr w14:paraId="69AE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303" w:type="dxa"/>
            <w:vAlign w:val="center"/>
          </w:tcPr>
          <w:p w14:paraId="431209E3">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hint="eastAsia" w:ascii="仿宋_GB2312" w:hAnsi="仿宋_GB2312" w:eastAsia="仿宋_GB2312" w:cs="仿宋_GB2312"/>
                <w:b/>
                <w:bCs/>
                <w:sz w:val="26"/>
                <w:szCs w:val="26"/>
              </w:rPr>
            </w:pPr>
            <w:r>
              <w:rPr>
                <w:rFonts w:hint="eastAsia" w:ascii="仿宋_GB2312" w:hAnsi="仿宋_GB2312" w:eastAsia="仿宋_GB2312" w:cs="仿宋_GB2312"/>
                <w:b/>
                <w:bCs/>
                <w:sz w:val="26"/>
                <w:szCs w:val="26"/>
              </w:rPr>
              <w:t>推动既有建筑节能绿色化改造</w:t>
            </w:r>
          </w:p>
          <w:p w14:paraId="031CA6DB">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sz w:val="26"/>
                <w:szCs w:val="26"/>
              </w:rPr>
            </w:pPr>
          </w:p>
        </w:tc>
        <w:tc>
          <w:tcPr>
            <w:tcW w:w="6993" w:type="dxa"/>
          </w:tcPr>
          <w:p w14:paraId="560A08D0">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sz w:val="26"/>
                <w:szCs w:val="26"/>
              </w:rPr>
            </w:pPr>
            <w:r>
              <w:rPr>
                <w:rFonts w:hint="eastAsia" w:ascii="仿宋_GB2312" w:hAnsi="仿宋_GB2312" w:eastAsia="仿宋_GB2312" w:cs="仿宋_GB2312"/>
                <w:sz w:val="26"/>
                <w:szCs w:val="26"/>
              </w:rPr>
              <w:t>1、结合珠海市历年能耗监测、能源审计数据，按年份对既有建筑进行节能改造潜力评估，对于改造潜力较大的国家机关办公建筑、以政府投资为主的建筑、大型公共建筑，优先纳入改造计划。会同</w:t>
            </w:r>
            <w:r>
              <w:rPr>
                <w:rFonts w:hint="eastAsia" w:ascii="仿宋_GB2312" w:hAnsi="仿宋_GB2312" w:eastAsia="仿宋_GB2312" w:cs="仿宋_GB2312"/>
                <w:sz w:val="26"/>
                <w:szCs w:val="26"/>
                <w:lang w:eastAsia="zh-CN"/>
              </w:rPr>
              <w:t>财政、</w:t>
            </w:r>
            <w:r>
              <w:rPr>
                <w:rFonts w:hint="eastAsia" w:ascii="仿宋_GB2312" w:hAnsi="仿宋_GB2312" w:eastAsia="仿宋_GB2312" w:cs="仿宋_GB2312"/>
                <w:sz w:val="26"/>
                <w:szCs w:val="26"/>
              </w:rPr>
              <w:t>银行等部门，对实施改造的项目提供合同能源管理服务。</w:t>
            </w:r>
          </w:p>
          <w:p w14:paraId="418920AF">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sz w:val="26"/>
                <w:szCs w:val="26"/>
              </w:rPr>
            </w:pPr>
            <w:r>
              <w:rPr>
                <w:rFonts w:hint="eastAsia" w:ascii="仿宋_GB2312" w:hAnsi="仿宋_GB2312" w:eastAsia="仿宋_GB2312" w:cs="仿宋_GB2312"/>
                <w:sz w:val="26"/>
                <w:szCs w:val="26"/>
              </w:rPr>
              <w:t>2、做好与《珠海市老旧小区更新专项规划（2021-2025）》的衔接，在老旧小区更新中，基础类、完善类的更新推广应用节能绿色改造。如外墙隔热反射涂料，楼梯间防霉防潮，屋顶隔热等。</w:t>
            </w:r>
          </w:p>
        </w:tc>
      </w:tr>
      <w:tr w14:paraId="4642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303" w:type="dxa"/>
            <w:vAlign w:val="center"/>
          </w:tcPr>
          <w:p w14:paraId="5200E728">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b/>
                <w:bCs/>
                <w:sz w:val="26"/>
                <w:szCs w:val="26"/>
              </w:rPr>
            </w:pPr>
            <w:r>
              <w:rPr>
                <w:rFonts w:hint="eastAsia" w:ascii="仿宋_GB2312" w:hAnsi="仿宋_GB2312" w:eastAsia="仿宋_GB2312" w:cs="仿宋_GB2312"/>
                <w:b/>
                <w:bCs/>
                <w:sz w:val="26"/>
                <w:szCs w:val="26"/>
              </w:rPr>
              <w:t>提高可再生能源利用率</w:t>
            </w:r>
          </w:p>
          <w:p w14:paraId="2D04EA73">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sz w:val="26"/>
                <w:szCs w:val="26"/>
              </w:rPr>
            </w:pPr>
          </w:p>
        </w:tc>
        <w:tc>
          <w:tcPr>
            <w:tcW w:w="6993" w:type="dxa"/>
          </w:tcPr>
          <w:p w14:paraId="0E4DD82A">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sz w:val="26"/>
                <w:szCs w:val="26"/>
              </w:rPr>
            </w:pPr>
            <w:r>
              <w:rPr>
                <w:rFonts w:hint="eastAsia" w:ascii="仿宋_GB2312" w:hAnsi="仿宋_GB2312" w:eastAsia="仿宋_GB2312" w:cs="仿宋_GB2312"/>
                <w:sz w:val="26"/>
                <w:szCs w:val="26"/>
              </w:rPr>
              <w:t>1、结合绿色建筑发展重点工作，将可再生能源利用率作为高星级绿色建筑重点示范项目作为约束性指标，同步把超低能耗、近零能耗作为重点示范项目的约束性指标。</w:t>
            </w:r>
          </w:p>
          <w:p w14:paraId="6368C798">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sz w:val="26"/>
                <w:szCs w:val="26"/>
              </w:rPr>
            </w:pPr>
            <w:r>
              <w:rPr>
                <w:rFonts w:hint="eastAsia" w:ascii="仿宋_GB2312" w:hAnsi="仿宋_GB2312" w:eastAsia="仿宋_GB2312" w:cs="仿宋_GB2312"/>
                <w:sz w:val="26"/>
                <w:szCs w:val="26"/>
              </w:rPr>
              <w:t>2、对现有工业园区厂房开展调研，掌握可用于安装太阳能光伏系统的屋顶面积，制定既有工业厂房光伏化屋顶计划并实施，纳入各行政（功能）区的考核指标。</w:t>
            </w:r>
          </w:p>
          <w:p w14:paraId="2152D04C">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sz w:val="26"/>
                <w:szCs w:val="26"/>
              </w:rPr>
            </w:pPr>
            <w:r>
              <w:rPr>
                <w:rFonts w:ascii="仿宋_GB2312" w:hAnsi="仿宋_GB2312" w:eastAsia="仿宋_GB2312" w:cs="仿宋_GB2312"/>
                <w:sz w:val="26"/>
                <w:szCs w:val="26"/>
              </w:rPr>
              <w:t>3</w:t>
            </w:r>
            <w:r>
              <w:rPr>
                <w:rFonts w:hint="eastAsia" w:ascii="仿宋_GB2312" w:hAnsi="仿宋_GB2312" w:eastAsia="仿宋_GB2312" w:cs="仿宋_GB2312"/>
                <w:sz w:val="26"/>
                <w:szCs w:val="26"/>
              </w:rPr>
              <w:t>、酒店、学校、医院等项目改造，将太阳热光热技术作为约束性指标。</w:t>
            </w:r>
          </w:p>
          <w:p w14:paraId="5D29B5FF">
            <w:pPr>
              <w:pStyle w:val="2"/>
              <w:keepNext w:val="0"/>
              <w:keepLines w:val="0"/>
              <w:pageBreakBefore w:val="0"/>
              <w:widowControl w:val="0"/>
              <w:kinsoku/>
              <w:wordWrap/>
              <w:overflowPunct/>
              <w:topLinePunct w:val="0"/>
              <w:autoSpaceDE/>
              <w:autoSpaceDN/>
              <w:bidi w:val="0"/>
              <w:adjustRightInd/>
              <w:snapToGrid/>
              <w:spacing w:after="0" w:line="440" w:lineRule="exact"/>
              <w:ind w:left="105" w:leftChars="50" w:right="105" w:rightChars="50"/>
              <w:textAlignment w:val="baseline"/>
              <w:rPr>
                <w:rFonts w:ascii="仿宋_GB2312" w:hAnsi="仿宋_GB2312" w:eastAsia="仿宋_GB2312" w:cs="仿宋_GB2312"/>
                <w:sz w:val="26"/>
                <w:szCs w:val="26"/>
              </w:rPr>
            </w:pPr>
            <w:r>
              <w:rPr>
                <w:rFonts w:ascii="仿宋_GB2312" w:hAnsi="仿宋_GB2312" w:eastAsia="仿宋_GB2312" w:cs="仿宋_GB2312"/>
                <w:sz w:val="26"/>
                <w:szCs w:val="26"/>
              </w:rPr>
              <w:t>4</w:t>
            </w:r>
            <w:r>
              <w:rPr>
                <w:rFonts w:hint="eastAsia" w:ascii="仿宋_GB2312" w:hAnsi="仿宋_GB2312" w:eastAsia="仿宋_GB2312" w:cs="仿宋_GB2312"/>
                <w:sz w:val="26"/>
                <w:szCs w:val="26"/>
              </w:rPr>
              <w:t>、开展投入使用的太阳能光伏、光热项目评估工作，了解系统的工作效率，对部分光电、光热转换效率较低的系统进行改造。</w:t>
            </w:r>
          </w:p>
        </w:tc>
      </w:tr>
    </w:tbl>
    <w:p w14:paraId="3C4231D7">
      <w:pPr>
        <w:keepNext w:val="0"/>
        <w:keepLines w:val="0"/>
        <w:pageBreakBefore w:val="0"/>
        <w:kinsoku/>
        <w:wordWrap/>
        <w:overflowPunct/>
        <w:topLinePunct w:val="0"/>
        <w:autoSpaceDE/>
        <w:autoSpaceDN/>
        <w:bidi w:val="0"/>
        <w:spacing w:line="520" w:lineRule="exact"/>
      </w:pPr>
    </w:p>
    <w:p w14:paraId="63FCB08C">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599" w:name="_Toc32119"/>
      <w:bookmarkStart w:id="600" w:name="_Toc17205"/>
      <w:bookmarkStart w:id="601" w:name="_Toc12824"/>
      <w:bookmarkStart w:id="602" w:name="_Toc13134"/>
      <w:bookmarkStart w:id="603" w:name="_Toc7183"/>
      <w:bookmarkStart w:id="604" w:name="_Toc9136"/>
      <w:bookmarkStart w:id="605" w:name="_Toc29837"/>
      <w:bookmarkStart w:id="606" w:name="_Toc10412"/>
      <w:r>
        <w:rPr>
          <w:rFonts w:hint="eastAsia" w:ascii="楷体_GB2312" w:hAnsi="楷体_GB2312" w:eastAsia="楷体_GB2312" w:cs="楷体_GB2312"/>
          <w:sz w:val="32"/>
          <w:szCs w:val="32"/>
        </w:rPr>
        <w:t>（四）促进绿色建筑高质量发展。</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99"/>
      <w:bookmarkEnd w:id="600"/>
      <w:bookmarkEnd w:id="601"/>
      <w:bookmarkEnd w:id="602"/>
      <w:bookmarkEnd w:id="603"/>
      <w:bookmarkEnd w:id="604"/>
      <w:bookmarkEnd w:id="605"/>
      <w:bookmarkEnd w:id="606"/>
    </w:p>
    <w:p w14:paraId="7612600E">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深入贯彻《广东省绿色建筑条例》，严格落实《珠海经济特区绿色建筑管理办法》，城镇新建民用建筑全面按照绿色建筑标准进行建设，加强规划管控，在建设用地规划条件中明确绿色建筑等级等关键指标。</w:t>
      </w:r>
    </w:p>
    <w:p w14:paraId="587A2E77">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推动星级绿色建筑发展。全市单体建筑面积</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平方米以上的新建、扩建民用建筑应全面按照一星级或以上绿色建筑标准进行建设；政府投资（国有资金投资）项目的科研类、文化类公共建筑、超高层建筑执行三星级标准；以政府投资为主的办公建筑执行二星级或以上标准；政府投资为主，或非政府投资的2万平方米以上的体育类、商业类、酒店类、公共交通类建筑按二星级或以上标准；其他2万平方米以上的公建，10万平方米以上的居住小区按二星级或以上标准进行建设；支持金湾航空新城片区、唐家湾片区等重点区域发展建设高星级绿色建筑。相关规划、建设用地规划条件</w:t>
      </w:r>
      <w:r>
        <w:rPr>
          <w:rFonts w:ascii="仿宋_GB2312" w:hAnsi="仿宋_GB2312" w:eastAsia="仿宋_GB2312" w:cs="仿宋_GB2312"/>
          <w:sz w:val="32"/>
          <w:szCs w:val="32"/>
        </w:rPr>
        <w:t>(或选址意见书)、可行性研究报告、国有建设用地使用权出让合同或者国有土地划拨决定书对绿色建筑标准执行有不同要求的,以要求高的为准。</w:t>
      </w:r>
    </w:p>
    <w:p w14:paraId="781F7F5C">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我市绿色生态城区示范。推动城市新中心、高新区唐家湾主园区创建绿色生态城区，组织编制绿色生态城区建设实施方案和建设导则，明确发展目标、路径、相关措施，将相关绿色生态控制指标纳入建设用地规划条件予以落实。</w:t>
      </w:r>
    </w:p>
    <w:p w14:paraId="6D47ADB3">
      <w:pPr>
        <w:keepNext w:val="0"/>
        <w:keepLines w:val="0"/>
        <w:pageBreakBefore w:val="0"/>
        <w:numPr>
          <w:ilvl w:val="255"/>
          <w:numId w:val="0"/>
        </w:numPr>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607" w:name="_Toc9825"/>
      <w:bookmarkStart w:id="608" w:name="_Toc24143"/>
      <w:bookmarkStart w:id="609" w:name="_Toc11377"/>
      <w:bookmarkStart w:id="610" w:name="_Toc22956"/>
      <w:bookmarkStart w:id="611" w:name="_Toc18668"/>
      <w:bookmarkStart w:id="612" w:name="_Toc3140"/>
      <w:bookmarkStart w:id="613" w:name="_Toc3054"/>
      <w:bookmarkStart w:id="614" w:name="_Toc26605"/>
      <w:bookmarkStart w:id="615" w:name="_Toc21418"/>
      <w:bookmarkStart w:id="616" w:name="_Toc12044"/>
      <w:bookmarkStart w:id="617" w:name="_Toc21956"/>
      <w:bookmarkStart w:id="618" w:name="_Toc14151"/>
      <w:bookmarkStart w:id="619" w:name="_Toc26213"/>
      <w:bookmarkStart w:id="620" w:name="_Toc4389"/>
      <w:bookmarkStart w:id="621" w:name="_Toc7795"/>
      <w:bookmarkStart w:id="622" w:name="_Toc22597"/>
      <w:bookmarkStart w:id="623" w:name="_Toc536"/>
      <w:bookmarkStart w:id="624" w:name="_Toc6277"/>
      <w:bookmarkStart w:id="625" w:name="_Toc32698"/>
      <w:bookmarkStart w:id="626" w:name="_Toc21052"/>
      <w:bookmarkStart w:id="627" w:name="_Toc27704"/>
      <w:bookmarkStart w:id="628" w:name="_Toc28182"/>
      <w:bookmarkStart w:id="629" w:name="_Toc25476"/>
      <w:bookmarkStart w:id="630" w:name="_Toc14436"/>
      <w:bookmarkStart w:id="631" w:name="_Toc23774"/>
      <w:bookmarkStart w:id="632" w:name="_Toc17651"/>
      <w:bookmarkStart w:id="633" w:name="_Toc20300"/>
      <w:bookmarkStart w:id="634" w:name="_Toc8438"/>
      <w:bookmarkStart w:id="635" w:name="_Toc23135"/>
      <w:bookmarkStart w:id="636" w:name="_Toc6944"/>
      <w:bookmarkStart w:id="637" w:name="_Toc18364"/>
      <w:bookmarkStart w:id="638" w:name="_Toc8523"/>
      <w:bookmarkStart w:id="639" w:name="_Toc2154"/>
      <w:bookmarkStart w:id="640" w:name="_Toc25381"/>
      <w:bookmarkStart w:id="641" w:name="_Toc27911"/>
      <w:bookmarkStart w:id="642" w:name="_Toc11667"/>
      <w:bookmarkStart w:id="643" w:name="_Toc7681"/>
      <w:bookmarkStart w:id="644" w:name="_Toc13239"/>
      <w:bookmarkStart w:id="645" w:name="_Toc22434"/>
      <w:bookmarkStart w:id="646" w:name="_Toc13082"/>
      <w:bookmarkStart w:id="647" w:name="_Toc25076"/>
      <w:bookmarkStart w:id="648" w:name="_Toc15868"/>
      <w:bookmarkStart w:id="649" w:name="_Toc2969"/>
      <w:bookmarkStart w:id="650" w:name="_Toc30472"/>
      <w:r>
        <w:rPr>
          <w:rFonts w:hint="eastAsia" w:ascii="楷体_GB2312" w:hAnsi="楷体_GB2312" w:eastAsia="楷体_GB2312" w:cs="楷体_GB2312"/>
          <w:sz w:val="32"/>
          <w:szCs w:val="32"/>
        </w:rPr>
        <w:t>（五）提升绿色建筑品质。</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042065B1">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结合高星级绿色建筑创建，形成适宜本地条件的多层次、经济性绿色技术实施路线，大力推动绿色建筑技术与智能技术深度融合发展，推动</w:t>
      </w:r>
      <w:r>
        <w:rPr>
          <w:rFonts w:ascii="仿宋_GB2312" w:hAnsi="仿宋_GB2312" w:eastAsia="仿宋_GB2312" w:cs="仿宋_GB2312"/>
          <w:sz w:val="32"/>
          <w:szCs w:val="32"/>
        </w:rPr>
        <w:t>5G</w:t>
      </w:r>
      <w:r>
        <w:rPr>
          <w:rFonts w:hint="eastAsia" w:ascii="仿宋_GB2312" w:hAnsi="仿宋_GB2312" w:eastAsia="仿宋_GB2312" w:cs="仿宋_GB2312"/>
          <w:sz w:val="32"/>
          <w:szCs w:val="32"/>
        </w:rPr>
        <w:t>、物联网、人工智能等新技术在工程建筑领域的应用，提倡在绿色建筑中优先采用被动式建筑节能技术，力争创建高星级绿色建筑示范项目</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w:t>
      </w:r>
    </w:p>
    <w:p w14:paraId="4FCC8DB8">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兼顾平疫结合，提高建筑室内空气品质、水质、隔声性能等方面的健康性能指标，提升建筑视觉和心理舒适性。强化住宅健康性能设计要求，关注全龄化需求、倡导气候适应性、突出岭南特色，引导发展建筑健康性能提升示范项目</w:t>
      </w:r>
      <w:r>
        <w:rPr>
          <w:rFonts w:ascii="仿宋_GB2312" w:hAnsi="仿宋_GB2312" w:eastAsia="仿宋_GB2312" w:cs="仿宋_GB2312"/>
          <w:sz w:val="32"/>
          <w:szCs w:val="32"/>
        </w:rPr>
        <w:t>5个。</w:t>
      </w:r>
    </w:p>
    <w:p w14:paraId="4355CF6F">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仿宋_GB2312" w:hAnsi="仿宋_GB2312" w:eastAsia="楷体_GB2312" w:cs="仿宋_GB2312"/>
          <w:sz w:val="32"/>
          <w:szCs w:val="32"/>
        </w:rPr>
      </w:pPr>
      <w:bookmarkStart w:id="651" w:name="_Toc5103"/>
      <w:bookmarkStart w:id="652" w:name="_Toc30712"/>
      <w:bookmarkStart w:id="653" w:name="_Toc25622"/>
      <w:bookmarkStart w:id="654" w:name="_Toc5730"/>
      <w:bookmarkStart w:id="655" w:name="_Toc23814"/>
      <w:bookmarkStart w:id="656" w:name="_Toc9907"/>
      <w:bookmarkStart w:id="657" w:name="_Toc19652"/>
      <w:bookmarkStart w:id="658" w:name="_Toc1283"/>
      <w:bookmarkStart w:id="659" w:name="_Toc11190"/>
      <w:bookmarkStart w:id="660" w:name="_Toc1800"/>
      <w:bookmarkStart w:id="661" w:name="_Toc12819"/>
      <w:bookmarkStart w:id="662" w:name="_Toc1520"/>
      <w:bookmarkStart w:id="663" w:name="_Toc10650"/>
      <w:bookmarkStart w:id="664" w:name="_Toc11188"/>
      <w:bookmarkStart w:id="665" w:name="_Toc8625"/>
      <w:bookmarkStart w:id="666" w:name="_Toc8905"/>
      <w:bookmarkStart w:id="667" w:name="_Toc14368"/>
      <w:bookmarkStart w:id="668" w:name="_Toc1310"/>
      <w:bookmarkStart w:id="669" w:name="_Toc11865"/>
      <w:bookmarkStart w:id="670" w:name="_Toc2719"/>
      <w:bookmarkStart w:id="671" w:name="_Toc16320"/>
      <w:bookmarkStart w:id="672" w:name="_Toc31245"/>
      <w:bookmarkStart w:id="673" w:name="_Toc29885"/>
      <w:bookmarkStart w:id="674" w:name="_Toc17255"/>
      <w:bookmarkStart w:id="675" w:name="_Toc24463"/>
      <w:bookmarkStart w:id="676" w:name="_Toc25879"/>
      <w:bookmarkStart w:id="677" w:name="_Toc6477"/>
      <w:bookmarkStart w:id="678" w:name="_Toc10414"/>
      <w:bookmarkStart w:id="679" w:name="_Toc31252"/>
      <w:bookmarkStart w:id="680" w:name="_Toc8234"/>
      <w:bookmarkStart w:id="681" w:name="_Toc2392"/>
      <w:bookmarkStart w:id="682" w:name="_Toc24572"/>
      <w:bookmarkStart w:id="683" w:name="_Toc1044"/>
      <w:bookmarkStart w:id="684" w:name="_Toc13413"/>
      <w:bookmarkStart w:id="685" w:name="_Toc7751"/>
      <w:bookmarkStart w:id="686" w:name="_Toc13770"/>
      <w:bookmarkStart w:id="687" w:name="_Toc1598"/>
      <w:bookmarkStart w:id="688" w:name="_Toc31207"/>
      <w:bookmarkStart w:id="689" w:name="_Toc18667"/>
      <w:bookmarkStart w:id="690" w:name="_Toc20834"/>
      <w:bookmarkStart w:id="691" w:name="_Toc13853"/>
      <w:bookmarkStart w:id="692" w:name="_Toc31937"/>
      <w:bookmarkStart w:id="693" w:name="_Toc6508"/>
      <w:bookmarkStart w:id="694" w:name="_Toc16238"/>
      <w:bookmarkStart w:id="695" w:name="_Toc20196"/>
      <w:bookmarkStart w:id="696" w:name="_Toc23040"/>
      <w:bookmarkStart w:id="697" w:name="_Toc2954"/>
      <w:bookmarkStart w:id="698" w:name="_Toc14180"/>
      <w:bookmarkStart w:id="699" w:name="_Toc21308"/>
      <w:bookmarkStart w:id="700" w:name="_Toc5667"/>
      <w:bookmarkStart w:id="701" w:name="_Toc3335"/>
      <w:bookmarkStart w:id="702" w:name="_Toc32244"/>
      <w:bookmarkStart w:id="703" w:name="_Toc7037"/>
      <w:r>
        <w:rPr>
          <w:rFonts w:hint="eastAsia" w:ascii="楷体_GB2312" w:hAnsi="楷体_GB2312" w:eastAsia="楷体_GB2312" w:cs="楷体_GB2312"/>
          <w:sz w:val="32"/>
          <w:szCs w:val="32"/>
        </w:rPr>
        <w:t>（六）</w:t>
      </w:r>
      <w:bookmarkEnd w:id="651"/>
      <w:bookmarkEnd w:id="652"/>
      <w:bookmarkEnd w:id="653"/>
      <w:bookmarkEnd w:id="654"/>
      <w:bookmarkEnd w:id="655"/>
      <w:bookmarkEnd w:id="656"/>
      <w:r>
        <w:rPr>
          <w:rFonts w:hint="eastAsia" w:ascii="楷体_GB2312" w:hAnsi="楷体_GB2312" w:eastAsia="楷体_GB2312" w:cs="楷体_GB2312"/>
          <w:sz w:val="32"/>
          <w:szCs w:val="32"/>
        </w:rPr>
        <w:t>完善绿色建筑全过程监管</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Pr>
          <w:rFonts w:hint="eastAsia" w:ascii="楷体_GB2312" w:hAnsi="楷体_GB2312" w:eastAsia="楷体_GB2312" w:cs="楷体_GB2312"/>
          <w:sz w:val="32"/>
          <w:szCs w:val="32"/>
        </w:rPr>
        <w:t>。</w:t>
      </w:r>
      <w:bookmarkEnd w:id="696"/>
      <w:bookmarkEnd w:id="697"/>
      <w:bookmarkEnd w:id="698"/>
      <w:bookmarkEnd w:id="699"/>
      <w:bookmarkEnd w:id="700"/>
      <w:bookmarkEnd w:id="701"/>
      <w:bookmarkEnd w:id="702"/>
      <w:bookmarkEnd w:id="703"/>
    </w:p>
    <w:p w14:paraId="1F71D544">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制定相关配套政策文件，完善绿色建筑规划、设计、施工图审查、施工、质量检测、验收、认定、运行、后评估等全过程监管措施，将绿色建筑监管制度融入各监管环节。</w:t>
      </w:r>
    </w:p>
    <w:p w14:paraId="6B98F89E">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贯彻落实《珠海市绿色建筑设计要点》、《珠海市绿色建筑施工图审查要点》、《珠海市绿色建筑工程质量控制要点》，加强绿色建筑施工督导检查，开展典型绿色建筑项目后评估，研究推动绿色建筑实际运行效果考核评价。</w:t>
      </w:r>
    </w:p>
    <w:p w14:paraId="351AE328">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按照国家和广东省规定继续开展星级绿色建筑认定工作，依托</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广东省绿色建筑信息平台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，实施绿色建筑标识</w:t>
      </w:r>
      <w:r>
        <w:rPr>
          <w:rFonts w:ascii="仿宋_GB2312" w:hAnsi="仿宋_GB2312" w:eastAsia="仿宋_GB2312" w:cs="仿宋_GB2312"/>
          <w:sz w:val="32"/>
          <w:szCs w:val="32"/>
        </w:rPr>
        <w:t>认定</w:t>
      </w:r>
      <w:r>
        <w:rPr>
          <w:rFonts w:hint="eastAsia" w:ascii="仿宋_GB2312" w:hAnsi="仿宋_GB2312" w:eastAsia="仿宋_GB2312" w:cs="仿宋_GB2312"/>
          <w:sz w:val="32"/>
          <w:szCs w:val="32"/>
        </w:rPr>
        <w:t>全流程统一管理。对星级绿色建筑实行动态管理，对不符合绿色建筑等级要求的标识项目，给予限期整改或直接撤销标识。</w:t>
      </w:r>
    </w:p>
    <w:p w14:paraId="5219061A">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建立绿色住宅使用者监督机制。新建住宅项目须进行绿色建筑公示，将住宅的绿色建筑等级、绿色性能和全装修质量相关指标纳入商品房买卖合同、住宅质量保证书和住宅使用说明书，引导购房人做好验房工作，</w:t>
      </w:r>
      <w:r>
        <w:rPr>
          <w:rFonts w:ascii="仿宋_GB2312" w:hAnsi="仿宋_GB2312" w:eastAsia="仿宋_GB2312" w:cs="仿宋_GB2312"/>
          <w:sz w:val="32"/>
          <w:szCs w:val="32"/>
        </w:rPr>
        <w:t>告知</w:t>
      </w:r>
      <w:r>
        <w:rPr>
          <w:rFonts w:hint="eastAsia" w:ascii="仿宋_GB2312" w:hAnsi="仿宋_GB2312" w:eastAsia="仿宋_GB2312" w:cs="仿宋_GB2312"/>
          <w:sz w:val="32"/>
          <w:szCs w:val="32"/>
        </w:rPr>
        <w:t>绿色建筑用户评价和反馈机制。</w:t>
      </w:r>
    </w:p>
    <w:p w14:paraId="739272B1">
      <w:pPr>
        <w:pStyle w:val="2"/>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6078"/>
      </w:tblGrid>
      <w:tr w14:paraId="41CD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296" w:type="dxa"/>
            <w:gridSpan w:val="2"/>
            <w:tcBorders>
              <w:top w:val="nil"/>
              <w:left w:val="nil"/>
              <w:right w:val="nil"/>
            </w:tcBorders>
          </w:tcPr>
          <w:p w14:paraId="53F79DC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baseline"/>
              <w:rPr>
                <w:sz w:val="28"/>
                <w:szCs w:val="28"/>
              </w:rPr>
            </w:pPr>
            <w:r>
              <w:rPr>
                <w:rFonts w:hint="eastAsia" w:ascii="仿宋_GB2312" w:hAnsi="仿宋_GB2312" w:eastAsia="仿宋_GB2312" w:cs="仿宋_GB2312"/>
                <w:sz w:val="28"/>
                <w:szCs w:val="28"/>
              </w:rPr>
              <w:t>专栏</w:t>
            </w:r>
            <w:r>
              <w:rPr>
                <w:rFonts w:ascii="仿宋_GB2312" w:hAnsi="仿宋_GB2312" w:eastAsia="仿宋_GB2312" w:cs="仿宋_GB2312"/>
                <w:sz w:val="28"/>
                <w:szCs w:val="28"/>
              </w:rPr>
              <w:t xml:space="preserve">2 </w:t>
            </w:r>
            <w:r>
              <w:rPr>
                <w:rFonts w:hint="eastAsia" w:ascii="仿宋_GB2312" w:hAnsi="仿宋_GB2312" w:eastAsia="仿宋_GB2312" w:cs="仿宋_GB2312"/>
                <w:sz w:val="28"/>
                <w:szCs w:val="28"/>
              </w:rPr>
              <w:t>全面推进绿色建筑高质量发展重点工作及实施路径</w:t>
            </w:r>
          </w:p>
        </w:tc>
      </w:tr>
      <w:tr w14:paraId="2970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218" w:type="dxa"/>
            <w:vAlign w:val="center"/>
          </w:tcPr>
          <w:p w14:paraId="1839F8FC">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重点工作</w:t>
            </w:r>
          </w:p>
        </w:tc>
        <w:tc>
          <w:tcPr>
            <w:tcW w:w="6078" w:type="dxa"/>
            <w:vAlign w:val="center"/>
          </w:tcPr>
          <w:p w14:paraId="19300EB7">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实施路径</w:t>
            </w:r>
          </w:p>
        </w:tc>
      </w:tr>
      <w:tr w14:paraId="33A4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218" w:type="dxa"/>
            <w:vAlign w:val="center"/>
          </w:tcPr>
          <w:p w14:paraId="62535E81">
            <w:pPr>
              <w:pStyle w:val="2"/>
              <w:keepNext w:val="0"/>
              <w:keepLines w:val="0"/>
              <w:pageBreakBefore w:val="0"/>
              <w:widowControl w:val="0"/>
              <w:kinsoku/>
              <w:wordWrap/>
              <w:overflowPunct/>
              <w:topLinePunct w:val="0"/>
              <w:autoSpaceDE/>
              <w:autoSpaceDN/>
              <w:bidi w:val="0"/>
              <w:adjustRightInd/>
              <w:snapToGrid/>
              <w:spacing w:after="0" w:line="500" w:lineRule="exact"/>
              <w:ind w:left="105" w:leftChars="50" w:right="105" w:rightChars="50"/>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推动高星级绿色建筑发展</w:t>
            </w:r>
          </w:p>
          <w:p w14:paraId="2C12ECF6">
            <w:pPr>
              <w:pStyle w:val="2"/>
              <w:keepNext w:val="0"/>
              <w:keepLines w:val="0"/>
              <w:pageBreakBefore w:val="0"/>
              <w:widowControl w:val="0"/>
              <w:kinsoku/>
              <w:wordWrap/>
              <w:overflowPunct/>
              <w:topLinePunct w:val="0"/>
              <w:autoSpaceDE/>
              <w:autoSpaceDN/>
              <w:bidi w:val="0"/>
              <w:adjustRightInd/>
              <w:snapToGrid/>
              <w:spacing w:after="0" w:line="500" w:lineRule="exact"/>
              <w:ind w:left="105" w:leftChars="50" w:right="105" w:rightChars="50"/>
              <w:textAlignment w:val="baseline"/>
              <w:rPr>
                <w:rFonts w:ascii="仿宋_GB2312" w:hAnsi="仿宋_GB2312" w:eastAsia="仿宋_GB2312" w:cs="仿宋_GB2312"/>
                <w:sz w:val="28"/>
                <w:szCs w:val="28"/>
              </w:rPr>
            </w:pPr>
          </w:p>
        </w:tc>
        <w:tc>
          <w:tcPr>
            <w:tcW w:w="6078" w:type="dxa"/>
          </w:tcPr>
          <w:p w14:paraId="1BD21D10">
            <w:pPr>
              <w:pStyle w:val="2"/>
              <w:keepNext w:val="0"/>
              <w:keepLines w:val="0"/>
              <w:pageBreakBefore w:val="0"/>
              <w:widowControl w:val="0"/>
              <w:kinsoku/>
              <w:wordWrap/>
              <w:overflowPunct/>
              <w:topLinePunct w:val="0"/>
              <w:autoSpaceDE/>
              <w:autoSpaceDN/>
              <w:bidi w:val="0"/>
              <w:adjustRightInd/>
              <w:snapToGrid/>
              <w:spacing w:after="0" w:line="50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1、政府投资（国有资金投资）项目的科研类、文化类公共建筑、超高层建筑执行三星级标准；以政府投资为主的办公建筑执行二星级或以上标准；政府投资为主，或非政府投资的2万平方米以上的体育类、商业类、酒店类、公共交通类建筑按二星级或以上标准；其他2万平方米以上的公建，1</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万平方米以上的居住小区按二星级或以上标准。</w:t>
            </w:r>
          </w:p>
          <w:p w14:paraId="4A5A0729">
            <w:pPr>
              <w:pStyle w:val="2"/>
              <w:keepNext w:val="0"/>
              <w:keepLines w:val="0"/>
              <w:pageBreakBefore w:val="0"/>
              <w:widowControl w:val="0"/>
              <w:kinsoku/>
              <w:wordWrap/>
              <w:overflowPunct/>
              <w:topLinePunct w:val="0"/>
              <w:autoSpaceDE/>
              <w:autoSpaceDN/>
              <w:bidi w:val="0"/>
              <w:adjustRightInd/>
              <w:snapToGrid/>
              <w:spacing w:after="62" w:afterLines="20" w:line="50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2、在每年通过施工图设计文件审查的项目中，每个行政（功能）区各选取</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个高星级绿色建筑项目作为重点示范项目，全过程跟进。配套编制高星级重点示范项目监督工作手册，定期公布项目进度。</w:t>
            </w:r>
          </w:p>
        </w:tc>
      </w:tr>
      <w:tr w14:paraId="4BBF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218" w:type="dxa"/>
            <w:vAlign w:val="center"/>
          </w:tcPr>
          <w:p w14:paraId="1D33A12B">
            <w:pPr>
              <w:pStyle w:val="2"/>
              <w:keepNext w:val="0"/>
              <w:keepLines w:val="0"/>
              <w:pageBreakBefore w:val="0"/>
              <w:widowControl w:val="0"/>
              <w:kinsoku/>
              <w:wordWrap/>
              <w:overflowPunct/>
              <w:topLinePunct w:val="0"/>
              <w:autoSpaceDE/>
              <w:autoSpaceDN/>
              <w:bidi w:val="0"/>
              <w:adjustRightInd/>
              <w:snapToGrid/>
              <w:spacing w:after="0" w:line="50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b/>
                <w:bCs/>
                <w:sz w:val="28"/>
                <w:szCs w:val="28"/>
              </w:rPr>
              <w:t>提高绿色建筑建设品质</w:t>
            </w:r>
          </w:p>
          <w:p w14:paraId="3925B4F2">
            <w:pPr>
              <w:pStyle w:val="2"/>
              <w:keepNext w:val="0"/>
              <w:keepLines w:val="0"/>
              <w:pageBreakBefore w:val="0"/>
              <w:widowControl w:val="0"/>
              <w:kinsoku/>
              <w:wordWrap/>
              <w:overflowPunct/>
              <w:topLinePunct w:val="0"/>
              <w:autoSpaceDE/>
              <w:autoSpaceDN/>
              <w:bidi w:val="0"/>
              <w:adjustRightInd/>
              <w:snapToGrid/>
              <w:spacing w:after="0" w:line="500" w:lineRule="exact"/>
              <w:ind w:right="105" w:rightChars="50"/>
              <w:textAlignment w:val="baseline"/>
              <w:rPr>
                <w:rFonts w:ascii="仿宋_GB2312" w:hAnsi="仿宋_GB2312" w:eastAsia="仿宋_GB2312" w:cs="仿宋_GB2312"/>
                <w:sz w:val="28"/>
                <w:szCs w:val="28"/>
              </w:rPr>
            </w:pPr>
          </w:p>
        </w:tc>
        <w:tc>
          <w:tcPr>
            <w:tcW w:w="6078" w:type="dxa"/>
          </w:tcPr>
          <w:p w14:paraId="6ADDEF20">
            <w:pPr>
              <w:pStyle w:val="2"/>
              <w:keepNext w:val="0"/>
              <w:keepLines w:val="0"/>
              <w:pageBreakBefore w:val="0"/>
              <w:widowControl w:val="0"/>
              <w:kinsoku/>
              <w:wordWrap/>
              <w:overflowPunct/>
              <w:topLinePunct w:val="0"/>
              <w:autoSpaceDE/>
              <w:autoSpaceDN/>
              <w:bidi w:val="0"/>
              <w:adjustRightInd/>
              <w:snapToGrid/>
              <w:spacing w:after="62" w:afterLines="20" w:line="50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1、结合《广东省建筑节能与绿色建筑工程施工质量验收规范》要求，制订珠海市绿色建筑施工质量验收相关工作指南，以“一图读懂”的形式简单明了告知项目参建单位各自责任。</w:t>
            </w:r>
          </w:p>
          <w:p w14:paraId="6F501ED5">
            <w:pPr>
              <w:pStyle w:val="2"/>
              <w:keepNext w:val="0"/>
              <w:keepLines w:val="0"/>
              <w:pageBreakBefore w:val="0"/>
              <w:widowControl w:val="0"/>
              <w:kinsoku/>
              <w:wordWrap/>
              <w:overflowPunct/>
              <w:topLinePunct w:val="0"/>
              <w:autoSpaceDE/>
              <w:autoSpaceDN/>
              <w:bidi w:val="0"/>
              <w:adjustRightInd/>
              <w:snapToGrid/>
              <w:spacing w:after="0" w:line="50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2、每个行政（功能）区在每年竣工的项目中各选取1个在空气品质、水质、隔声性能等方面健康性能指标优秀的项目作为发展健康建筑的示范项目，配套编制健康建筑宣传手册，进一步提升绿色建筑的健康属性。</w:t>
            </w:r>
          </w:p>
        </w:tc>
      </w:tr>
    </w:tbl>
    <w:p w14:paraId="064085B6">
      <w:pPr>
        <w:pStyle w:val="2"/>
        <w:keepNext w:val="0"/>
        <w:keepLines w:val="0"/>
        <w:pageBreakBefore w:val="0"/>
        <w:kinsoku/>
        <w:wordWrap/>
        <w:overflowPunct/>
        <w:topLinePunct w:val="0"/>
        <w:autoSpaceDE/>
        <w:autoSpaceDN/>
        <w:bidi w:val="0"/>
        <w:spacing w:line="520" w:lineRule="exact"/>
      </w:pPr>
    </w:p>
    <w:p w14:paraId="0C19968F">
      <w:pPr>
        <w:pStyle w:val="2"/>
        <w:keepNext w:val="0"/>
        <w:keepLines w:val="0"/>
        <w:pageBreakBefore w:val="0"/>
        <w:kinsoku/>
        <w:wordWrap/>
        <w:overflowPunct/>
        <w:topLinePunct w:val="0"/>
        <w:autoSpaceDE/>
        <w:autoSpaceDN/>
        <w:bidi w:val="0"/>
        <w:spacing w:line="520" w:lineRule="exact"/>
      </w:pPr>
    </w:p>
    <w:p w14:paraId="1DF5F93B">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704" w:name="_Toc12771"/>
      <w:bookmarkStart w:id="705" w:name="_Toc26280"/>
      <w:bookmarkStart w:id="706" w:name="_Toc27804"/>
      <w:r>
        <w:rPr>
          <w:rFonts w:hint="eastAsia" w:ascii="楷体_GB2312" w:hAnsi="楷体_GB2312" w:eastAsia="楷体_GB2312" w:cs="楷体_GB2312"/>
          <w:sz w:val="32"/>
          <w:szCs w:val="32"/>
        </w:rPr>
        <w:t>（七）推进新型建筑工业化发展。</w:t>
      </w:r>
      <w:bookmarkEnd w:id="704"/>
      <w:bookmarkEnd w:id="705"/>
      <w:bookmarkEnd w:id="706"/>
    </w:p>
    <w:p w14:paraId="6C84B69E">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推行装配式建筑一体化集成设计，强化装配式建筑设计对部品部件生产、安装施工、装饰装修等环节的统筹，提高标准化部品部件的应用比例。利用建筑信息模型（</w:t>
      </w:r>
      <w:r>
        <w:rPr>
          <w:rFonts w:ascii="仿宋_GB2312" w:hAnsi="仿宋_GB2312" w:eastAsia="仿宋_GB2312" w:cs="仿宋_GB2312"/>
          <w:sz w:val="32"/>
          <w:szCs w:val="32"/>
        </w:rPr>
        <w:t>BIM</w:t>
      </w:r>
      <w:r>
        <w:rPr>
          <w:rFonts w:hint="eastAsia" w:ascii="仿宋_GB2312" w:hAnsi="仿宋_GB2312" w:eastAsia="仿宋_GB2312" w:cs="仿宋_GB2312"/>
          <w:sz w:val="32"/>
          <w:szCs w:val="32"/>
        </w:rPr>
        <w:t>）技术提升装配式建筑工程管理水平，推进</w:t>
      </w:r>
      <w:r>
        <w:rPr>
          <w:rFonts w:ascii="仿宋_GB2312" w:hAnsi="仿宋_GB2312" w:eastAsia="仿宋_GB2312" w:cs="仿宋_GB2312"/>
          <w:sz w:val="32"/>
          <w:szCs w:val="32"/>
        </w:rPr>
        <w:t>BIM</w:t>
      </w:r>
      <w:r>
        <w:rPr>
          <w:rFonts w:hint="eastAsia" w:ascii="仿宋_GB2312" w:hAnsi="仿宋_GB2312" w:eastAsia="仿宋_GB2312" w:cs="仿宋_GB2312"/>
          <w:sz w:val="32"/>
          <w:szCs w:val="32"/>
        </w:rPr>
        <w:t>技术在装配式建筑规划、勘察、设计、生产、施工、装修、运行维护全过程的集成应用。推行标准化施工，装配式建筑原则上采用工程总承包模式，实行装配式建筑装饰装修与主体结构、机电设备协同施工，发挥结构与装修穿插施工优势，提高施工现场管理水平。推进建筑全装修和装配化装修，装配式建筑工程项目推广全装修，倡导菜单式全装修，推进装配化装修技术在公共住房以及酒店、医院等公共建筑项目中的应用，推广管线分离、一体化装修技术，提高装修品质。</w:t>
      </w:r>
    </w:p>
    <w:p w14:paraId="0B16C20F">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707" w:name="_Toc15371"/>
      <w:bookmarkStart w:id="708" w:name="_Toc6019"/>
      <w:bookmarkStart w:id="709" w:name="_Toc30349"/>
      <w:r>
        <w:rPr>
          <w:rFonts w:hint="eastAsia" w:ascii="楷体_GB2312" w:hAnsi="楷体_GB2312" w:eastAsia="楷体_GB2312" w:cs="楷体_GB2312"/>
          <w:sz w:val="32"/>
          <w:szCs w:val="32"/>
        </w:rPr>
        <w:t>（八）培育壮大装配式建筑产业</w:t>
      </w:r>
      <w:bookmarkEnd w:id="707"/>
      <w:bookmarkEnd w:id="708"/>
      <w:bookmarkEnd w:id="709"/>
    </w:p>
    <w:p w14:paraId="6FB2B774">
      <w:pPr>
        <w:pStyle w:val="2"/>
        <w:keepNext w:val="0"/>
        <w:keepLines w:val="0"/>
        <w:pageBreakBefore w:val="0"/>
        <w:kinsoku/>
        <w:wordWrap/>
        <w:overflowPunct/>
        <w:topLinePunct w:val="0"/>
        <w:autoSpaceDE/>
        <w:autoSpaceDN/>
        <w:bidi w:val="0"/>
        <w:spacing w:after="0" w:line="520" w:lineRule="exact"/>
        <w:ind w:left="0" w:leftChars="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综合考虑部品部件运输和服务半径，统筹产业基地布局，配套建设混凝土部品部件产业基地和钢结构部品部件产业基地，促进产能供需平衡。继续开展装配式建筑示范区域、产业基地和示范项目认定，发挥示范引领作用。支持智能建造与建筑工业化协同发展示范项目落地实施，发挥大型国有企业智能建造与建筑工业化协同发展示范作用，大力支持以装配式建筑产业基地等为核心基础、集聚发展的建筑工业化智能科技园项目落地实施。推动装配式建筑设计、生产、施工、检测、监理等各环节实施主体提升装配式建筑实施水平，形成具有核心竞争力和行业带动力的装配式建筑全产业集群。</w:t>
      </w:r>
    </w:p>
    <w:p w14:paraId="5819A8ED">
      <w:pPr>
        <w:pStyle w:val="2"/>
        <w:keepNext w:val="0"/>
        <w:keepLines w:val="0"/>
        <w:pageBreakBefore w:val="0"/>
        <w:kinsoku/>
        <w:wordWrap/>
        <w:overflowPunct/>
        <w:topLinePunct w:val="0"/>
        <w:autoSpaceDE/>
        <w:autoSpaceDN/>
        <w:bidi w:val="0"/>
        <w:spacing w:after="0" w:line="520" w:lineRule="exact"/>
        <w:ind w:left="0" w:leftChars="0" w:firstLine="640" w:firstLineChars="200"/>
        <w:rPr>
          <w:rFonts w:ascii="仿宋_GB2312" w:hAnsi="仿宋_GB2312" w:eastAsia="仿宋_GB2312" w:cs="仿宋_GB2312"/>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6453"/>
      </w:tblGrid>
      <w:tr w14:paraId="68FC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296" w:type="dxa"/>
            <w:gridSpan w:val="2"/>
            <w:tcBorders>
              <w:top w:val="nil"/>
              <w:left w:val="nil"/>
              <w:right w:val="nil"/>
            </w:tcBorders>
          </w:tcPr>
          <w:p w14:paraId="192791AD">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专栏</w:t>
            </w:r>
            <w:r>
              <w:rPr>
                <w:rFonts w:ascii="仿宋_GB2312" w:hAnsi="仿宋_GB2312" w:eastAsia="仿宋_GB2312" w:cs="仿宋_GB2312"/>
                <w:sz w:val="28"/>
                <w:szCs w:val="28"/>
              </w:rPr>
              <w:t xml:space="preserve">3 </w:t>
            </w:r>
            <w:r>
              <w:rPr>
                <w:rFonts w:hint="eastAsia" w:ascii="仿宋_GB2312" w:hAnsi="仿宋_GB2312" w:eastAsia="仿宋_GB2312" w:cs="仿宋_GB2312"/>
                <w:sz w:val="28"/>
                <w:szCs w:val="28"/>
              </w:rPr>
              <w:t>大力发展新型建筑工业化重点工作及实施路径</w:t>
            </w:r>
          </w:p>
        </w:tc>
      </w:tr>
      <w:tr w14:paraId="0781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43" w:type="dxa"/>
            <w:vAlign w:val="center"/>
          </w:tcPr>
          <w:p w14:paraId="270E2967">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重点工作</w:t>
            </w:r>
          </w:p>
        </w:tc>
        <w:tc>
          <w:tcPr>
            <w:tcW w:w="6453" w:type="dxa"/>
            <w:vAlign w:val="center"/>
          </w:tcPr>
          <w:p w14:paraId="2F1FDCA1">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实施路径</w:t>
            </w:r>
          </w:p>
        </w:tc>
      </w:tr>
      <w:tr w14:paraId="1D40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43" w:type="dxa"/>
            <w:vAlign w:val="center"/>
          </w:tcPr>
          <w:p w14:paraId="793D28A1">
            <w:pPr>
              <w:pStyle w:val="2"/>
              <w:keepNext w:val="0"/>
              <w:keepLines w:val="0"/>
              <w:pageBreakBefore w:val="0"/>
              <w:widowControl w:val="0"/>
              <w:kinsoku/>
              <w:wordWrap/>
              <w:overflowPunct/>
              <w:topLinePunct w:val="0"/>
              <w:autoSpaceDE/>
              <w:autoSpaceDN/>
              <w:bidi w:val="0"/>
              <w:adjustRightInd/>
              <w:snapToGrid/>
              <w:spacing w:after="0" w:line="52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b/>
                <w:bCs/>
                <w:sz w:val="28"/>
                <w:szCs w:val="28"/>
              </w:rPr>
              <w:t>完善技术标准体系</w:t>
            </w:r>
            <w:r>
              <w:rPr>
                <w:rFonts w:ascii="仿宋_GB2312" w:hAnsi="仿宋_GB2312" w:eastAsia="仿宋_GB2312" w:cs="仿宋_GB2312"/>
                <w:sz w:val="28"/>
                <w:szCs w:val="28"/>
              </w:rPr>
              <w:t xml:space="preserve"> </w:t>
            </w:r>
          </w:p>
          <w:p w14:paraId="3EF0DC46">
            <w:pPr>
              <w:pStyle w:val="2"/>
              <w:keepNext w:val="0"/>
              <w:keepLines w:val="0"/>
              <w:pageBreakBefore w:val="0"/>
              <w:widowControl w:val="0"/>
              <w:kinsoku/>
              <w:wordWrap/>
              <w:overflowPunct/>
              <w:topLinePunct w:val="0"/>
              <w:autoSpaceDE/>
              <w:autoSpaceDN/>
              <w:bidi w:val="0"/>
              <w:adjustRightInd/>
              <w:snapToGrid/>
              <w:spacing w:after="0" w:line="520" w:lineRule="exact"/>
              <w:ind w:left="105" w:leftChars="50" w:right="105" w:rightChars="50"/>
              <w:textAlignment w:val="baseline"/>
              <w:rPr>
                <w:rFonts w:ascii="仿宋_GB2312" w:hAnsi="仿宋_GB2312" w:eastAsia="仿宋_GB2312" w:cs="仿宋_GB2312"/>
                <w:sz w:val="28"/>
                <w:szCs w:val="28"/>
              </w:rPr>
            </w:pPr>
          </w:p>
        </w:tc>
        <w:tc>
          <w:tcPr>
            <w:tcW w:w="6453" w:type="dxa"/>
          </w:tcPr>
          <w:p w14:paraId="5E2C1CA5">
            <w:pPr>
              <w:pStyle w:val="2"/>
              <w:keepNext w:val="0"/>
              <w:keepLines w:val="0"/>
              <w:pageBreakBefore w:val="0"/>
              <w:widowControl w:val="0"/>
              <w:kinsoku/>
              <w:wordWrap/>
              <w:overflowPunct/>
              <w:topLinePunct w:val="0"/>
              <w:autoSpaceDE/>
              <w:autoSpaceDN/>
              <w:bidi w:val="0"/>
              <w:adjustRightInd/>
              <w:snapToGrid/>
              <w:spacing w:after="0" w:line="52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结合已发布的技术标准文件，开展已竣工的装配式项目调研，了解其在设计、施工、监督、验收过程中存在的痛点、难点，通过科研院校合作，梳理、建立全过程技术文件。做到标准化生产、标准化安装，而非各个项目的定制生产。</w:t>
            </w:r>
          </w:p>
        </w:tc>
      </w:tr>
      <w:tr w14:paraId="19A9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43" w:type="dxa"/>
            <w:vAlign w:val="center"/>
          </w:tcPr>
          <w:p w14:paraId="4C7A3649">
            <w:pPr>
              <w:pStyle w:val="2"/>
              <w:keepNext w:val="0"/>
              <w:keepLines w:val="0"/>
              <w:pageBreakBefore w:val="0"/>
              <w:widowControl w:val="0"/>
              <w:kinsoku/>
              <w:wordWrap/>
              <w:overflowPunct/>
              <w:topLinePunct w:val="0"/>
              <w:autoSpaceDE/>
              <w:autoSpaceDN/>
              <w:bidi w:val="0"/>
              <w:adjustRightInd/>
              <w:snapToGrid/>
              <w:spacing w:after="0" w:line="52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b/>
                <w:bCs/>
                <w:sz w:val="28"/>
                <w:szCs w:val="28"/>
              </w:rPr>
              <w:t>发挥协同设计引领作用</w:t>
            </w:r>
            <w:r>
              <w:rPr>
                <w:rFonts w:ascii="仿宋_GB2312" w:hAnsi="仿宋_GB2312" w:eastAsia="仿宋_GB2312" w:cs="仿宋_GB2312"/>
                <w:sz w:val="28"/>
                <w:szCs w:val="28"/>
              </w:rPr>
              <w:t xml:space="preserve"> </w:t>
            </w:r>
          </w:p>
          <w:p w14:paraId="670A3992">
            <w:pPr>
              <w:pStyle w:val="2"/>
              <w:keepNext w:val="0"/>
              <w:keepLines w:val="0"/>
              <w:pageBreakBefore w:val="0"/>
              <w:widowControl w:val="0"/>
              <w:kinsoku/>
              <w:wordWrap/>
              <w:overflowPunct/>
              <w:topLinePunct w:val="0"/>
              <w:autoSpaceDE/>
              <w:autoSpaceDN/>
              <w:bidi w:val="0"/>
              <w:adjustRightInd/>
              <w:snapToGrid/>
              <w:spacing w:after="0" w:line="520" w:lineRule="exact"/>
              <w:ind w:left="105" w:leftChars="50" w:right="105" w:rightChars="50"/>
              <w:textAlignment w:val="baseline"/>
              <w:rPr>
                <w:rFonts w:ascii="仿宋_GB2312" w:hAnsi="仿宋_GB2312" w:eastAsia="仿宋_GB2312" w:cs="仿宋_GB2312"/>
                <w:sz w:val="28"/>
                <w:szCs w:val="28"/>
              </w:rPr>
            </w:pPr>
          </w:p>
        </w:tc>
        <w:tc>
          <w:tcPr>
            <w:tcW w:w="6453" w:type="dxa"/>
          </w:tcPr>
          <w:p w14:paraId="000B8D53">
            <w:pPr>
              <w:pStyle w:val="2"/>
              <w:keepNext w:val="0"/>
              <w:keepLines w:val="0"/>
              <w:pageBreakBefore w:val="0"/>
              <w:widowControl w:val="0"/>
              <w:kinsoku/>
              <w:wordWrap/>
              <w:overflowPunct/>
              <w:topLinePunct w:val="0"/>
              <w:autoSpaceDE/>
              <w:autoSpaceDN/>
              <w:bidi w:val="0"/>
              <w:adjustRightInd/>
              <w:snapToGrid/>
              <w:spacing w:after="0" w:line="520" w:lineRule="exact"/>
              <w:ind w:left="105" w:leftChars="50" w:right="105" w:rightChars="5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推行</w:t>
            </w:r>
            <w:r>
              <w:rPr>
                <w:rFonts w:ascii="仿宋_GB2312" w:hAnsi="仿宋_GB2312" w:eastAsia="仿宋_GB2312" w:cs="仿宋_GB2312"/>
                <w:sz w:val="28"/>
                <w:szCs w:val="28"/>
              </w:rPr>
              <w:t>BIM</w:t>
            </w:r>
            <w:r>
              <w:rPr>
                <w:rFonts w:hint="eastAsia" w:ascii="仿宋_GB2312" w:hAnsi="仿宋_GB2312" w:eastAsia="仿宋_GB2312" w:cs="仿宋_GB2312"/>
                <w:sz w:val="28"/>
                <w:szCs w:val="28"/>
              </w:rPr>
              <w:t>（建筑信息模型），形成协同工作机制。</w:t>
            </w:r>
          </w:p>
          <w:p w14:paraId="4DC5914F">
            <w:pPr>
              <w:pStyle w:val="2"/>
              <w:keepNext w:val="0"/>
              <w:keepLines w:val="0"/>
              <w:pageBreakBefore w:val="0"/>
              <w:widowControl w:val="0"/>
              <w:kinsoku/>
              <w:wordWrap/>
              <w:overflowPunct/>
              <w:topLinePunct w:val="0"/>
              <w:autoSpaceDE/>
              <w:autoSpaceDN/>
              <w:bidi w:val="0"/>
              <w:adjustRightInd/>
              <w:snapToGrid/>
              <w:spacing w:after="0" w:line="52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预制构件生产企业、部品部件厂家、装配施工企业、装修设计施工单位提前介入，协同设计，紧密合作。高星级绿色建筑重点示范项目可以作为试点，而后总结经验形成指引性文件推广。</w:t>
            </w:r>
          </w:p>
        </w:tc>
      </w:tr>
      <w:tr w14:paraId="07E1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43" w:type="dxa"/>
            <w:vAlign w:val="center"/>
          </w:tcPr>
          <w:p w14:paraId="0167D456">
            <w:pPr>
              <w:pStyle w:val="2"/>
              <w:keepNext w:val="0"/>
              <w:keepLines w:val="0"/>
              <w:pageBreakBefore w:val="0"/>
              <w:widowControl w:val="0"/>
              <w:kinsoku/>
              <w:wordWrap/>
              <w:overflowPunct/>
              <w:topLinePunct w:val="0"/>
              <w:autoSpaceDE/>
              <w:autoSpaceDN/>
              <w:bidi w:val="0"/>
              <w:adjustRightInd/>
              <w:snapToGrid/>
              <w:spacing w:after="0" w:line="520" w:lineRule="exact"/>
              <w:ind w:left="105" w:leftChars="50" w:right="105" w:rightChars="50"/>
              <w:textAlignment w:val="baseline"/>
              <w:rPr>
                <w:rFonts w:ascii="仿宋_GB2312" w:hAnsi="仿宋_GB2312" w:eastAsia="仿宋_GB2312" w:cs="仿宋_GB2312"/>
                <w:b/>
                <w:bCs/>
                <w:sz w:val="28"/>
                <w:szCs w:val="28"/>
              </w:rPr>
            </w:pPr>
            <w:r>
              <w:rPr>
                <w:rFonts w:ascii="仿宋_GB2312" w:hAnsi="仿宋_GB2312" w:eastAsia="仿宋_GB2312" w:cs="仿宋_GB2312"/>
                <w:b/>
                <w:bCs/>
                <w:sz w:val="28"/>
                <w:szCs w:val="28"/>
              </w:rPr>
              <w:t>培育</w:t>
            </w:r>
            <w:r>
              <w:rPr>
                <w:rFonts w:hint="eastAsia" w:ascii="仿宋_GB2312" w:hAnsi="仿宋_GB2312" w:eastAsia="仿宋_GB2312" w:cs="仿宋_GB2312"/>
                <w:b/>
                <w:bCs/>
                <w:sz w:val="28"/>
                <w:szCs w:val="28"/>
              </w:rPr>
              <w:t>壮大装配式产业</w:t>
            </w:r>
            <w:r>
              <w:rPr>
                <w:rFonts w:ascii="仿宋_GB2312" w:hAnsi="仿宋_GB2312" w:eastAsia="仿宋_GB2312" w:cs="仿宋_GB2312"/>
                <w:b/>
                <w:bCs/>
                <w:sz w:val="28"/>
                <w:szCs w:val="28"/>
              </w:rPr>
              <w:t xml:space="preserve"> </w:t>
            </w:r>
          </w:p>
          <w:p w14:paraId="61E2B7F4">
            <w:pPr>
              <w:pStyle w:val="2"/>
              <w:keepNext w:val="0"/>
              <w:keepLines w:val="0"/>
              <w:pageBreakBefore w:val="0"/>
              <w:widowControl w:val="0"/>
              <w:kinsoku/>
              <w:wordWrap/>
              <w:overflowPunct/>
              <w:topLinePunct w:val="0"/>
              <w:autoSpaceDE/>
              <w:autoSpaceDN/>
              <w:bidi w:val="0"/>
              <w:adjustRightInd/>
              <w:snapToGrid/>
              <w:spacing w:after="0" w:line="520" w:lineRule="exact"/>
              <w:ind w:left="105" w:leftChars="50" w:right="105" w:rightChars="50"/>
              <w:textAlignment w:val="baseline"/>
              <w:rPr>
                <w:rFonts w:ascii="仿宋_GB2312" w:hAnsi="仿宋_GB2312" w:eastAsia="仿宋_GB2312" w:cs="仿宋_GB2312"/>
                <w:sz w:val="28"/>
                <w:szCs w:val="28"/>
              </w:rPr>
            </w:pPr>
          </w:p>
        </w:tc>
        <w:tc>
          <w:tcPr>
            <w:tcW w:w="6453" w:type="dxa"/>
          </w:tcPr>
          <w:p w14:paraId="5E4C50D3">
            <w:pPr>
              <w:pStyle w:val="2"/>
              <w:keepNext w:val="0"/>
              <w:keepLines w:val="0"/>
              <w:pageBreakBefore w:val="0"/>
              <w:widowControl w:val="0"/>
              <w:kinsoku/>
              <w:wordWrap/>
              <w:overflowPunct/>
              <w:topLinePunct w:val="0"/>
              <w:autoSpaceDE/>
              <w:autoSpaceDN/>
              <w:bidi w:val="0"/>
              <w:adjustRightInd/>
              <w:snapToGrid/>
              <w:spacing w:after="62" w:afterLines="20" w:line="520" w:lineRule="exact"/>
              <w:ind w:left="105" w:leftChars="50" w:right="105" w:rightChars="50"/>
              <w:textAlignment w:val="baseline"/>
              <w:rPr>
                <w:rFonts w:ascii="仿宋_GB2312" w:eastAsia="仿宋_GB2312"/>
                <w:sz w:val="28"/>
                <w:szCs w:val="28"/>
              </w:rPr>
            </w:pPr>
            <w:r>
              <w:rPr>
                <w:rFonts w:hint="eastAsia" w:ascii="仿宋_GB2312" w:eastAsia="仿宋_GB2312"/>
                <w:sz w:val="28"/>
                <w:szCs w:val="28"/>
              </w:rPr>
              <w:t>1、综合分析现有预制构件、部品部件的布局，各行政（功能）区的建设量，优化新建构件、部品部件企业的选址，做到最大化利用运输半径和服务半径。</w:t>
            </w:r>
          </w:p>
          <w:p w14:paraId="154A0120">
            <w:pPr>
              <w:pStyle w:val="2"/>
              <w:keepNext w:val="0"/>
              <w:keepLines w:val="0"/>
              <w:pageBreakBefore w:val="0"/>
              <w:widowControl w:val="0"/>
              <w:kinsoku/>
              <w:wordWrap/>
              <w:overflowPunct/>
              <w:topLinePunct w:val="0"/>
              <w:autoSpaceDE/>
              <w:autoSpaceDN/>
              <w:bidi w:val="0"/>
              <w:adjustRightInd/>
              <w:snapToGrid/>
              <w:spacing w:after="0" w:line="520" w:lineRule="exact"/>
              <w:ind w:left="105" w:leftChars="50" w:right="105" w:rightChars="50"/>
              <w:textAlignment w:val="baseline"/>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、利用</w:t>
            </w:r>
            <w:r>
              <w:rPr>
                <w:rFonts w:ascii="仿宋_GB2312" w:hAnsi="仿宋_GB2312" w:eastAsia="仿宋_GB2312" w:cs="仿宋_GB2312"/>
                <w:sz w:val="28"/>
                <w:szCs w:val="28"/>
              </w:rPr>
              <w:t>5G</w:t>
            </w:r>
            <w:r>
              <w:rPr>
                <w:rFonts w:hint="eastAsia" w:ascii="仿宋_GB2312" w:hAnsi="仿宋_GB2312" w:eastAsia="仿宋_GB2312" w:cs="仿宋_GB2312"/>
                <w:sz w:val="28"/>
                <w:szCs w:val="28"/>
              </w:rPr>
              <w:t>、物联网等技术，以省级产业基地作为支点，建立全部装配式构件部件共享平台，充分利用各企业产能，实现动态互补生产，以此提升全市装配式企业的水平。</w:t>
            </w:r>
          </w:p>
        </w:tc>
      </w:tr>
    </w:tbl>
    <w:p w14:paraId="5461F448">
      <w:pPr>
        <w:pStyle w:val="2"/>
        <w:keepNext w:val="0"/>
        <w:keepLines w:val="0"/>
        <w:pageBreakBefore w:val="0"/>
        <w:kinsoku/>
        <w:wordWrap/>
        <w:overflowPunct/>
        <w:topLinePunct w:val="0"/>
        <w:autoSpaceDE/>
        <w:autoSpaceDN/>
        <w:bidi w:val="0"/>
        <w:spacing w:line="520" w:lineRule="exact"/>
      </w:pPr>
    </w:p>
    <w:p w14:paraId="165B9AEE">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710" w:name="_Toc27397"/>
      <w:bookmarkStart w:id="711" w:name="_Toc21235"/>
      <w:bookmarkStart w:id="712" w:name="_Toc798"/>
      <w:bookmarkStart w:id="713" w:name="_Toc31518"/>
      <w:bookmarkStart w:id="714" w:name="_Toc19974"/>
      <w:bookmarkStart w:id="715" w:name="_Toc5113"/>
      <w:bookmarkStart w:id="716" w:name="_Toc11658"/>
      <w:bookmarkStart w:id="717" w:name="_Toc30483"/>
      <w:bookmarkStart w:id="718" w:name="_Toc20502"/>
      <w:bookmarkStart w:id="719" w:name="_Toc29760"/>
      <w:bookmarkStart w:id="720" w:name="_Toc2865"/>
      <w:bookmarkStart w:id="721" w:name="_Toc12261"/>
      <w:bookmarkStart w:id="722" w:name="_Toc32227"/>
      <w:bookmarkStart w:id="723" w:name="_Toc31441"/>
      <w:bookmarkStart w:id="724" w:name="_Toc29445"/>
      <w:bookmarkStart w:id="725" w:name="_Toc12778"/>
      <w:bookmarkStart w:id="726" w:name="_Toc12638"/>
      <w:bookmarkStart w:id="727" w:name="_Toc28691"/>
      <w:bookmarkStart w:id="728" w:name="_Toc23445"/>
      <w:bookmarkStart w:id="729" w:name="_Toc22247"/>
      <w:bookmarkStart w:id="730" w:name="_Toc9820"/>
      <w:bookmarkStart w:id="731" w:name="_Toc25013"/>
      <w:bookmarkStart w:id="732" w:name="_Toc26447"/>
      <w:bookmarkStart w:id="733" w:name="_Toc17499"/>
      <w:bookmarkStart w:id="734" w:name="_Toc25535"/>
      <w:bookmarkStart w:id="735" w:name="_Toc4469"/>
      <w:bookmarkStart w:id="736" w:name="_Toc23209"/>
      <w:bookmarkStart w:id="737" w:name="_Toc31496"/>
      <w:bookmarkStart w:id="738" w:name="_Toc15163"/>
      <w:bookmarkStart w:id="739" w:name="_Toc18308"/>
      <w:bookmarkStart w:id="740" w:name="_Toc2742"/>
      <w:bookmarkStart w:id="741" w:name="_Toc16758"/>
      <w:bookmarkStart w:id="742" w:name="_Toc31014"/>
      <w:bookmarkStart w:id="743" w:name="_Toc19942"/>
      <w:bookmarkStart w:id="744" w:name="_Toc2360"/>
      <w:bookmarkStart w:id="745" w:name="_Toc15025"/>
      <w:bookmarkStart w:id="746" w:name="_Toc21495"/>
      <w:bookmarkStart w:id="747" w:name="_Toc21710"/>
      <w:bookmarkStart w:id="748" w:name="_Toc15590"/>
      <w:bookmarkStart w:id="749" w:name="_Toc12419"/>
      <w:bookmarkStart w:id="750" w:name="_Toc7120"/>
      <w:bookmarkStart w:id="751" w:name="_Toc3278"/>
      <w:bookmarkStart w:id="752" w:name="_Toc18699"/>
      <w:r>
        <w:rPr>
          <w:rFonts w:hint="eastAsia" w:ascii="楷体_GB2312" w:hAnsi="楷体_GB2312" w:eastAsia="楷体_GB2312" w:cs="楷体_GB2312"/>
          <w:sz w:val="32"/>
          <w:szCs w:val="32"/>
        </w:rPr>
        <w:t>（九）提高建材信息化与绿色化水平</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Pr>
          <w:rFonts w:hint="eastAsia" w:ascii="楷体_GB2312" w:hAnsi="楷体_GB2312" w:eastAsia="楷体_GB2312" w:cs="楷体_GB2312"/>
          <w:sz w:val="32"/>
          <w:szCs w:val="32"/>
        </w:rPr>
        <w:t>。</w:t>
      </w:r>
      <w:bookmarkEnd w:id="727"/>
      <w:bookmarkEnd w:id="728"/>
      <w:bookmarkEnd w:id="729"/>
      <w:bookmarkEnd w:id="730"/>
      <w:bookmarkEnd w:id="731"/>
      <w:bookmarkEnd w:id="732"/>
      <w:bookmarkEnd w:id="733"/>
      <w:bookmarkEnd w:id="734"/>
    </w:p>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060C07B8">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贯彻落实散装水泥、新型墙材等建筑工程材料绿色化发展地方性法规。参考省级散装水泥、新型墙材、绿色建材工作管理机制体制，建立健全市级相应工作管理机制体制，建立“新型墙材企业信息管理系统”及完善“预拌混凝土和预拌砂浆企业信息监管平台”，改革创新管理模式。落实政策法规，提升行业精细化管理水平。会同有关部门，强化进场材料质量监管。加强建材生产、流通和使用环节的质量监管和检查，加强建材应用备案管理，建立建材质量从生产企业到施工现场的可追溯机制，严禁性能不达标的建材流入市场。</w:t>
      </w:r>
    </w:p>
    <w:p w14:paraId="4AA46B66">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行业绿色发展水平。采取总量平衡、合理控制原则科学审批预拌混凝土搅拌站建设，加强预拌砂浆搅拌站规范化监管。发展新型墙材绿色化、智能化生产试点。深入推进预拌混凝土企业绿色化改造，维持并稳步提升预拌混凝土企业绿色生产水平。根据预拌混凝土企业绿色生产达标通用要求和本地评分细则，定期对全市预拌混凝土、预拌砂浆生产企业开展质量抽查和专项整治工作。参考省级散装水泥、新型墙材、绿色建材工作管理机制体制，建立健全预拌混凝土、预拌砂浆动态管理机制，促进行业优胜劣汰，加快绿色转型发展。进一步完善预拌混凝土及砂浆企业管理，进一步落实《预拌混凝土生产质量管理技术规程》、《广东省发展应用新型墙体材料管理规定》（广东省政府令第</w:t>
      </w:r>
      <w:r>
        <w:rPr>
          <w:rFonts w:ascii="仿宋_GB2312" w:hAnsi="仿宋_GB2312" w:eastAsia="仿宋_GB2312" w:cs="仿宋_GB2312"/>
          <w:sz w:val="32"/>
          <w:szCs w:val="32"/>
        </w:rPr>
        <w:t xml:space="preserve"> 95 </w:t>
      </w:r>
      <w:r>
        <w:rPr>
          <w:rFonts w:hint="eastAsia" w:ascii="仿宋_GB2312" w:hAnsi="仿宋_GB2312" w:eastAsia="仿宋_GB2312" w:cs="仿宋_GB2312"/>
          <w:sz w:val="32"/>
          <w:szCs w:val="32"/>
        </w:rPr>
        <w:t>号）、《珠海市装配式建筑发展专项规划（</w:t>
      </w:r>
      <w:r>
        <w:rPr>
          <w:rFonts w:ascii="仿宋_GB2312" w:hAnsi="仿宋_GB2312" w:eastAsia="仿宋_GB2312" w:cs="仿宋_GB2312"/>
          <w:sz w:val="32"/>
          <w:szCs w:val="32"/>
        </w:rPr>
        <w:t>2019-2025）》等政策。</w:t>
      </w:r>
    </w:p>
    <w:p w14:paraId="37AADCA6">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仿宋_GB2312" w:hAnsi="仿宋_GB2312" w:eastAsia="楷体_GB2312" w:cs="仿宋_GB2312"/>
          <w:sz w:val="32"/>
          <w:szCs w:val="32"/>
        </w:rPr>
      </w:pPr>
      <w:bookmarkStart w:id="753" w:name="_Toc25101"/>
      <w:bookmarkStart w:id="754" w:name="_Toc13461"/>
      <w:bookmarkStart w:id="755" w:name="_Toc22685"/>
      <w:bookmarkStart w:id="756" w:name="_Toc2101"/>
      <w:bookmarkStart w:id="757" w:name="_Toc11820"/>
      <w:bookmarkStart w:id="758" w:name="_Toc5348"/>
      <w:bookmarkStart w:id="759" w:name="_Toc14587"/>
      <w:bookmarkStart w:id="760" w:name="_Toc7336"/>
      <w:bookmarkStart w:id="761" w:name="_Toc30036"/>
      <w:bookmarkStart w:id="762" w:name="_Toc25955"/>
      <w:bookmarkStart w:id="763" w:name="_Toc11930"/>
      <w:bookmarkStart w:id="764" w:name="_Toc29367"/>
      <w:bookmarkStart w:id="765" w:name="_Toc30038"/>
      <w:bookmarkStart w:id="766" w:name="_Toc14143"/>
      <w:bookmarkStart w:id="767" w:name="_Toc20967"/>
      <w:bookmarkStart w:id="768" w:name="_Toc24938"/>
      <w:bookmarkStart w:id="769" w:name="_Toc30029"/>
      <w:bookmarkStart w:id="770" w:name="_Toc18116"/>
      <w:bookmarkStart w:id="771" w:name="_Toc9187"/>
      <w:bookmarkStart w:id="772" w:name="_Toc27943"/>
      <w:bookmarkStart w:id="773" w:name="_Toc6906"/>
      <w:bookmarkStart w:id="774" w:name="_Toc23049"/>
      <w:bookmarkStart w:id="775" w:name="_Toc14707"/>
      <w:bookmarkStart w:id="776" w:name="_Toc16866"/>
      <w:bookmarkStart w:id="777" w:name="_Toc29056"/>
      <w:bookmarkStart w:id="778" w:name="_Toc3299"/>
      <w:bookmarkStart w:id="779" w:name="_Toc1748"/>
      <w:bookmarkStart w:id="780" w:name="_Toc4745"/>
      <w:bookmarkStart w:id="781" w:name="_Toc30333"/>
      <w:bookmarkStart w:id="782" w:name="_Toc10989"/>
      <w:bookmarkStart w:id="783" w:name="_Toc13013"/>
      <w:bookmarkStart w:id="784" w:name="_Toc1212"/>
      <w:bookmarkStart w:id="785" w:name="_Toc6490"/>
      <w:bookmarkStart w:id="786" w:name="_Toc7858"/>
      <w:bookmarkStart w:id="787" w:name="_Toc13987"/>
      <w:bookmarkStart w:id="788" w:name="_Toc11436"/>
      <w:bookmarkStart w:id="789" w:name="_Toc24634"/>
      <w:bookmarkStart w:id="790" w:name="_Toc25977"/>
      <w:bookmarkStart w:id="791" w:name="_Toc364"/>
      <w:bookmarkStart w:id="792" w:name="_Toc31925"/>
      <w:bookmarkStart w:id="793" w:name="_Toc28278"/>
      <w:bookmarkStart w:id="794" w:name="_Toc24599"/>
      <w:bookmarkStart w:id="795" w:name="_Toc24773"/>
      <w:bookmarkStart w:id="796" w:name="_Toc14225"/>
      <w:bookmarkStart w:id="797" w:name="_Toc2279"/>
      <w:bookmarkStart w:id="798" w:name="_Toc13785"/>
      <w:bookmarkStart w:id="799" w:name="_Toc27394"/>
      <w:bookmarkStart w:id="800" w:name="_Toc8467"/>
      <w:bookmarkStart w:id="801" w:name="_Toc11393"/>
      <w:bookmarkStart w:id="802" w:name="_Toc27765"/>
      <w:bookmarkStart w:id="803" w:name="_Toc4329"/>
      <w:bookmarkStart w:id="804" w:name="_Toc10463"/>
      <w:bookmarkStart w:id="805" w:name="_Toc11053"/>
      <w:r>
        <w:rPr>
          <w:rFonts w:hint="eastAsia" w:ascii="楷体_GB2312" w:hAnsi="楷体_GB2312" w:eastAsia="楷体_GB2312" w:cs="楷体_GB2312"/>
          <w:sz w:val="32"/>
          <w:szCs w:val="32"/>
        </w:rPr>
        <w:t>（十）</w:t>
      </w:r>
      <w:bookmarkEnd w:id="753"/>
      <w:bookmarkEnd w:id="754"/>
      <w:bookmarkEnd w:id="755"/>
      <w:bookmarkEnd w:id="756"/>
      <w:bookmarkEnd w:id="757"/>
      <w:bookmarkEnd w:id="758"/>
      <w:r>
        <w:rPr>
          <w:rFonts w:hint="eastAsia" w:ascii="楷体_GB2312" w:hAnsi="楷体_GB2312" w:eastAsia="楷体_GB2312" w:cs="楷体_GB2312"/>
          <w:sz w:val="32"/>
          <w:szCs w:val="32"/>
        </w:rPr>
        <w:t>推动新型材料绿色建材应用</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r>
        <w:rPr>
          <w:rFonts w:hint="eastAsia" w:ascii="楷体_GB2312" w:hAnsi="楷体_GB2312" w:eastAsia="楷体_GB2312" w:cs="楷体_GB2312"/>
          <w:sz w:val="32"/>
          <w:szCs w:val="32"/>
        </w:rPr>
        <w:t>。</w:t>
      </w:r>
      <w:bookmarkEnd w:id="798"/>
      <w:bookmarkEnd w:id="799"/>
      <w:bookmarkEnd w:id="800"/>
      <w:bookmarkEnd w:id="801"/>
      <w:bookmarkEnd w:id="802"/>
      <w:bookmarkEnd w:id="803"/>
      <w:bookmarkEnd w:id="804"/>
      <w:bookmarkEnd w:id="805"/>
    </w:p>
    <w:p w14:paraId="43B04C21">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市禁止使用实心粘土砖，限制使用粘土制品。强化执法力度，打击使用实心粘土砖和劣质墙材行为。开展建筑工地新型墙体材料抽查，核查设计图纸及施工现场砌体工程是否使用国家和我省颁布的新型墙体材料。加强信息公开，实施企业诚信激励，进一步提升散装水泥使用率，建设工程禁止现场搅拌混凝土和砂浆及临时搅拌站，积极督促管辖范围内的在建工程使用有资质的商品（预拌）混凝土企业生产的混凝土，取缔无资质搅拌站，加大对产品质量低劣的搅拌站、现场违规使用袋装水泥和现场搅拌混凝土行为的处罚力度，按照《广东省促进散装水泥发展和应用规定》，对相关责任单位及责任人实施行政处罚。</w:t>
      </w:r>
    </w:p>
    <w:p w14:paraId="07AB363F">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不断发展节能环保、轻质高强的墙体和屋面材料，推进利用可再生资源制备新型墙体材料。以建筑垃圾综合资源化利用为重点，加强再生建材生产技术和工艺研发及推广应用，建立城市更新项目建筑</w:t>
      </w:r>
      <w:r>
        <w:rPr>
          <w:rFonts w:hint="eastAsia" w:ascii="仿宋_GB2312" w:hAnsi="仿宋_GB2312" w:eastAsia="仿宋_GB2312" w:cs="仿宋_GB2312"/>
          <w:sz w:val="32"/>
          <w:szCs w:val="32"/>
          <w:lang w:eastAsia="zh-CN"/>
        </w:rPr>
        <w:t>废</w:t>
      </w:r>
      <w:r>
        <w:rPr>
          <w:rFonts w:hint="eastAsia" w:ascii="仿宋_GB2312" w:hAnsi="仿宋_GB2312" w:eastAsia="仿宋_GB2312" w:cs="仿宋_GB2312"/>
          <w:sz w:val="32"/>
          <w:szCs w:val="32"/>
        </w:rPr>
        <w:t>弃物处理全过程监管的长效管理机制。大力推广混凝土及水泥制品生产过程的三废零排放技术应用、废弃物综合再生利用技术和节能减排生产技术，促进资源循环利用。大力推广机制砂，加强机制砂相关技术的宣贯和培训，尽快出台《珠海市机制砂生产应用技术导则》、加快机制砂生产基地建设，研究机制砂混凝土施工方法，培育产学研中心。扶持蒸压加气混凝土砌块（墙板）、高性能精密轻集料混凝土砌块等墙板、砌块类新型墙体材料。进一步推广应用高性能混凝土和特殊材料新型混凝土，发展生态修复混凝土制品。</w:t>
      </w:r>
    </w:p>
    <w:p w14:paraId="72697061">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提升建筑使用功能、健康性能的绿色建材产品关键技术研发，参考省绿色建材产品指标，因地制宜，制定适用于本市的产品指标，推动技术创新，提升性能要求，研究建立不同类型建筑内部空间适宜的建材产品数据库。开展绿色建材应用试点示范，加强示范引领，逐步建立绿色建材发展长效机制，管理本地绿色建材。</w:t>
      </w:r>
    </w:p>
    <w:p w14:paraId="21CCDE5A">
      <w:pPr>
        <w:keepNext w:val="0"/>
        <w:keepLines w:val="0"/>
        <w:pageBreakBefore w:val="0"/>
        <w:kinsoku/>
        <w:wordWrap/>
        <w:overflowPunct/>
        <w:topLinePunct w:val="0"/>
        <w:autoSpaceDE/>
        <w:autoSpaceDN/>
        <w:bidi w:val="0"/>
        <w:spacing w:line="520" w:lineRule="exact"/>
      </w:pPr>
      <w:r>
        <w:br w:type="page"/>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6507"/>
      </w:tblGrid>
      <w:tr w14:paraId="70F3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trPr>
        <w:tc>
          <w:tcPr>
            <w:tcW w:w="8296" w:type="dxa"/>
            <w:gridSpan w:val="2"/>
            <w:tcBorders>
              <w:top w:val="nil"/>
              <w:left w:val="nil"/>
              <w:right w:val="nil"/>
            </w:tcBorders>
          </w:tcPr>
          <w:p w14:paraId="34039CA2">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专栏</w:t>
            </w:r>
            <w:r>
              <w:rPr>
                <w:rFonts w:ascii="仿宋_GB2312" w:hAnsi="仿宋_GB2312" w:eastAsia="仿宋_GB2312" w:cs="仿宋_GB2312"/>
                <w:sz w:val="28"/>
                <w:szCs w:val="28"/>
              </w:rPr>
              <w:t xml:space="preserve">4 </w:t>
            </w:r>
            <w:r>
              <w:rPr>
                <w:rFonts w:hint="eastAsia" w:ascii="仿宋_GB2312" w:hAnsi="仿宋_GB2312" w:eastAsia="仿宋_GB2312" w:cs="仿宋_GB2312"/>
                <w:sz w:val="28"/>
                <w:szCs w:val="28"/>
              </w:rPr>
              <w:t>绿色生产、绿色建材应用重点工作及实施路径</w:t>
            </w:r>
          </w:p>
        </w:tc>
      </w:tr>
      <w:tr w14:paraId="46C2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trPr>
        <w:tc>
          <w:tcPr>
            <w:tcW w:w="1789" w:type="dxa"/>
          </w:tcPr>
          <w:p w14:paraId="190D628D">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重点工作</w:t>
            </w:r>
          </w:p>
        </w:tc>
        <w:tc>
          <w:tcPr>
            <w:tcW w:w="6507" w:type="dxa"/>
          </w:tcPr>
          <w:p w14:paraId="15FC53FB">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实施路径</w:t>
            </w:r>
          </w:p>
        </w:tc>
      </w:tr>
      <w:tr w14:paraId="1E5E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89" w:type="dxa"/>
            <w:vAlign w:val="center"/>
          </w:tcPr>
          <w:p w14:paraId="17E886CF">
            <w:pPr>
              <w:pStyle w:val="2"/>
              <w:keepNext w:val="0"/>
              <w:keepLines w:val="0"/>
              <w:pageBreakBefore w:val="0"/>
              <w:widowControl w:val="0"/>
              <w:kinsoku/>
              <w:wordWrap/>
              <w:overflowPunct/>
              <w:topLinePunct w:val="0"/>
              <w:autoSpaceDE/>
              <w:autoSpaceDN/>
              <w:bidi w:val="0"/>
              <w:adjustRightInd/>
              <w:snapToGrid/>
              <w:spacing w:after="0" w:line="48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b/>
                <w:bCs/>
                <w:sz w:val="28"/>
                <w:szCs w:val="28"/>
              </w:rPr>
              <w:t>绿色化生产</w:t>
            </w:r>
            <w:r>
              <w:rPr>
                <w:rFonts w:hint="eastAsia" w:ascii="仿宋_GB2312" w:hAnsi="仿宋_GB2312" w:eastAsia="仿宋_GB2312" w:cs="仿宋_GB2312"/>
                <w:sz w:val="28"/>
                <w:szCs w:val="28"/>
              </w:rPr>
              <w:t xml:space="preserve"> </w:t>
            </w:r>
          </w:p>
          <w:p w14:paraId="2BB846C0">
            <w:pPr>
              <w:pStyle w:val="2"/>
              <w:keepNext w:val="0"/>
              <w:keepLines w:val="0"/>
              <w:pageBreakBefore w:val="0"/>
              <w:widowControl w:val="0"/>
              <w:kinsoku/>
              <w:wordWrap/>
              <w:overflowPunct/>
              <w:topLinePunct w:val="0"/>
              <w:autoSpaceDE/>
              <w:autoSpaceDN/>
              <w:bidi w:val="0"/>
              <w:adjustRightInd/>
              <w:snapToGrid/>
              <w:spacing w:after="0" w:line="480" w:lineRule="exact"/>
              <w:ind w:left="105" w:leftChars="50" w:right="105" w:rightChars="50"/>
              <w:textAlignment w:val="baseline"/>
              <w:rPr>
                <w:rFonts w:ascii="仿宋_GB2312" w:hAnsi="仿宋_GB2312" w:eastAsia="仿宋_GB2312" w:cs="仿宋_GB2312"/>
                <w:sz w:val="28"/>
                <w:szCs w:val="28"/>
              </w:rPr>
            </w:pPr>
          </w:p>
        </w:tc>
        <w:tc>
          <w:tcPr>
            <w:tcW w:w="6507" w:type="dxa"/>
          </w:tcPr>
          <w:p w14:paraId="265874AA">
            <w:pPr>
              <w:pStyle w:val="2"/>
              <w:keepNext w:val="0"/>
              <w:keepLines w:val="0"/>
              <w:pageBreakBefore w:val="0"/>
              <w:widowControl w:val="0"/>
              <w:kinsoku/>
              <w:wordWrap/>
              <w:overflowPunct/>
              <w:topLinePunct w:val="0"/>
              <w:autoSpaceDE/>
              <w:autoSpaceDN/>
              <w:bidi w:val="0"/>
              <w:adjustRightInd/>
              <w:snapToGrid/>
              <w:spacing w:after="0" w:line="48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1、严格执行本市已发布的《珠海市预拌混凝土和预拌砂浆管理规定》、《珠海市预拌混凝土行业绿色生产建设指引》、《珠海市预拌砂浆生产应用技术导则》，新建企业的选址必须符合城市规划、行业规划、土地使用性质和环保要求，相关报建审批也应严格把关，1</w:t>
            </w:r>
            <w:r>
              <w:rPr>
                <w:rFonts w:ascii="仿宋_GB2312" w:hAnsi="仿宋_GB2312" w:eastAsia="仿宋_GB2312" w:cs="仿宋_GB2312"/>
                <w:sz w:val="28"/>
                <w:szCs w:val="28"/>
              </w:rPr>
              <w:t>00</w:t>
            </w:r>
            <w:r>
              <w:rPr>
                <w:rFonts w:hint="eastAsia" w:ascii="仿宋_GB2312" w:hAnsi="仿宋_GB2312" w:eastAsia="仿宋_GB2312" w:cs="仿宋_GB2312"/>
                <w:sz w:val="28"/>
                <w:szCs w:val="28"/>
              </w:rPr>
              <w:t>%满足绿色生产要求。</w:t>
            </w:r>
          </w:p>
          <w:p w14:paraId="41C59462">
            <w:pPr>
              <w:pStyle w:val="2"/>
              <w:keepNext w:val="0"/>
              <w:keepLines w:val="0"/>
              <w:pageBreakBefore w:val="0"/>
              <w:widowControl w:val="0"/>
              <w:kinsoku/>
              <w:wordWrap/>
              <w:overflowPunct/>
              <w:topLinePunct w:val="0"/>
              <w:autoSpaceDE/>
              <w:autoSpaceDN/>
              <w:bidi w:val="0"/>
              <w:adjustRightInd/>
              <w:snapToGrid/>
              <w:spacing w:after="0" w:line="480" w:lineRule="exact"/>
              <w:ind w:left="105" w:leftChars="50" w:right="105" w:rightChars="50"/>
              <w:textAlignment w:val="baseline"/>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、采取总量平衡、合理控制原则，根据现有企业数量和各行政（功能）区需求，合理控制预拌混凝土、砂浆等企业数量和规模。</w:t>
            </w:r>
          </w:p>
          <w:p w14:paraId="6BD223D7">
            <w:pPr>
              <w:pStyle w:val="2"/>
              <w:keepNext w:val="0"/>
              <w:keepLines w:val="0"/>
              <w:pageBreakBefore w:val="0"/>
              <w:widowControl w:val="0"/>
              <w:kinsoku/>
              <w:wordWrap/>
              <w:overflowPunct/>
              <w:topLinePunct w:val="0"/>
              <w:autoSpaceDE/>
              <w:autoSpaceDN/>
              <w:bidi w:val="0"/>
              <w:adjustRightInd/>
              <w:snapToGrid/>
              <w:spacing w:after="0" w:line="480" w:lineRule="exact"/>
              <w:ind w:left="105" w:leftChars="50" w:right="105" w:rightChars="50"/>
              <w:textAlignment w:val="baseline"/>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、定期对生产企业开展质量监督抽查和专项整治工作，要求不满足绿色生产的企业进行绿色化改造，不满足绿色生产要求的不得生产。</w:t>
            </w:r>
          </w:p>
        </w:tc>
      </w:tr>
      <w:tr w14:paraId="0B93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89" w:type="dxa"/>
            <w:vAlign w:val="center"/>
          </w:tcPr>
          <w:p w14:paraId="3A878453">
            <w:pPr>
              <w:pStyle w:val="2"/>
              <w:keepNext w:val="0"/>
              <w:keepLines w:val="0"/>
              <w:pageBreakBefore w:val="0"/>
              <w:widowControl w:val="0"/>
              <w:kinsoku/>
              <w:wordWrap/>
              <w:overflowPunct/>
              <w:topLinePunct w:val="0"/>
              <w:autoSpaceDE/>
              <w:autoSpaceDN/>
              <w:bidi w:val="0"/>
              <w:adjustRightInd/>
              <w:snapToGrid/>
              <w:spacing w:after="0" w:line="480" w:lineRule="exact"/>
              <w:ind w:left="105" w:leftChars="50" w:right="105" w:rightChars="50"/>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绿色建材认证 </w:t>
            </w:r>
          </w:p>
          <w:p w14:paraId="44996199">
            <w:pPr>
              <w:pStyle w:val="2"/>
              <w:keepNext w:val="0"/>
              <w:keepLines w:val="0"/>
              <w:pageBreakBefore w:val="0"/>
              <w:widowControl w:val="0"/>
              <w:kinsoku/>
              <w:wordWrap/>
              <w:overflowPunct/>
              <w:topLinePunct w:val="0"/>
              <w:autoSpaceDE/>
              <w:autoSpaceDN/>
              <w:bidi w:val="0"/>
              <w:adjustRightInd/>
              <w:snapToGrid/>
              <w:spacing w:after="0" w:line="480" w:lineRule="exact"/>
              <w:ind w:left="105" w:leftChars="50" w:right="105" w:rightChars="50"/>
              <w:textAlignment w:val="baseline"/>
              <w:rPr>
                <w:rFonts w:ascii="仿宋_GB2312" w:hAnsi="仿宋_GB2312" w:eastAsia="仿宋_GB2312" w:cs="仿宋_GB2312"/>
                <w:b/>
                <w:bCs/>
                <w:sz w:val="28"/>
                <w:szCs w:val="28"/>
              </w:rPr>
            </w:pPr>
          </w:p>
        </w:tc>
        <w:tc>
          <w:tcPr>
            <w:tcW w:w="6507" w:type="dxa"/>
          </w:tcPr>
          <w:p w14:paraId="739A6CF5">
            <w:pPr>
              <w:pStyle w:val="2"/>
              <w:keepNext w:val="0"/>
              <w:keepLines w:val="0"/>
              <w:pageBreakBefore w:val="0"/>
              <w:widowControl w:val="0"/>
              <w:numPr>
                <w:ilvl w:val="0"/>
                <w:numId w:val="1"/>
              </w:numPr>
              <w:kinsoku/>
              <w:wordWrap/>
              <w:overflowPunct/>
              <w:topLinePunct w:val="0"/>
              <w:autoSpaceDE/>
              <w:autoSpaceDN/>
              <w:bidi w:val="0"/>
              <w:adjustRightInd/>
              <w:snapToGrid/>
              <w:spacing w:after="0" w:line="480" w:lineRule="exact"/>
              <w:ind w:left="105" w:leftChars="50" w:right="105" w:rightChars="5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以政府投资项目、重点示范项目作为试点，推广绿色建材应用。</w:t>
            </w:r>
          </w:p>
          <w:p w14:paraId="18F54040">
            <w:pPr>
              <w:pStyle w:val="2"/>
              <w:keepNext w:val="0"/>
              <w:keepLines w:val="0"/>
              <w:pageBreakBefore w:val="0"/>
              <w:widowControl w:val="0"/>
              <w:numPr>
                <w:ilvl w:val="0"/>
                <w:numId w:val="1"/>
              </w:numPr>
              <w:kinsoku/>
              <w:wordWrap/>
              <w:overflowPunct/>
              <w:topLinePunct w:val="0"/>
              <w:autoSpaceDE/>
              <w:autoSpaceDN/>
              <w:bidi w:val="0"/>
              <w:adjustRightInd/>
              <w:snapToGrid/>
              <w:spacing w:after="0" w:line="48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加快开展绿色建材产品认证，鼓励建材生产企业主动认证。</w:t>
            </w:r>
          </w:p>
          <w:p w14:paraId="675559AC">
            <w:pPr>
              <w:pStyle w:val="2"/>
              <w:keepNext w:val="0"/>
              <w:keepLines w:val="0"/>
              <w:pageBreakBefore w:val="0"/>
              <w:widowControl w:val="0"/>
              <w:kinsoku/>
              <w:wordWrap/>
              <w:overflowPunct/>
              <w:topLinePunct w:val="0"/>
              <w:autoSpaceDE/>
              <w:autoSpaceDN/>
              <w:bidi w:val="0"/>
              <w:adjustRightInd/>
              <w:snapToGrid/>
              <w:spacing w:after="0" w:line="48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、制定绿色建材应用比例，政府投资项目、高星级绿色建筑重点示范项目、装配式建筑项目应将绿色建材应用比例纳入约束性指标。</w:t>
            </w:r>
          </w:p>
        </w:tc>
      </w:tr>
      <w:tr w14:paraId="195D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89" w:type="dxa"/>
            <w:vAlign w:val="center"/>
          </w:tcPr>
          <w:p w14:paraId="6698367D">
            <w:pPr>
              <w:pStyle w:val="2"/>
              <w:keepNext w:val="0"/>
              <w:keepLines w:val="0"/>
              <w:pageBreakBefore w:val="0"/>
              <w:widowControl w:val="0"/>
              <w:kinsoku/>
              <w:wordWrap/>
              <w:overflowPunct/>
              <w:topLinePunct w:val="0"/>
              <w:autoSpaceDE/>
              <w:autoSpaceDN/>
              <w:bidi w:val="0"/>
              <w:adjustRightInd/>
              <w:snapToGrid/>
              <w:spacing w:after="0" w:line="480" w:lineRule="exact"/>
              <w:ind w:left="105" w:leftChars="50" w:right="105" w:rightChars="50"/>
              <w:textAlignment w:val="baseline"/>
              <w:rPr>
                <w:rFonts w:ascii="仿宋_GB2312" w:hAnsi="仿宋_GB2312" w:eastAsia="仿宋_GB2312" w:cs="仿宋_GB2312"/>
                <w:b/>
                <w:bCs/>
                <w:sz w:val="28"/>
                <w:szCs w:val="28"/>
              </w:rPr>
            </w:pPr>
            <w:r>
              <w:rPr>
                <w:rFonts w:ascii="仿宋_GB2312" w:hAnsi="仿宋_GB2312" w:eastAsia="仿宋_GB2312" w:cs="仿宋_GB2312"/>
                <w:b/>
                <w:bCs/>
                <w:sz w:val="28"/>
                <w:szCs w:val="28"/>
              </w:rPr>
              <w:t>巩固“禁实限粘”</w:t>
            </w:r>
            <w:r>
              <w:rPr>
                <w:rFonts w:hint="eastAsia" w:ascii="仿宋_GB2312" w:hAnsi="仿宋_GB2312" w:eastAsia="仿宋_GB2312" w:cs="仿宋_GB2312"/>
                <w:b/>
                <w:bCs/>
                <w:sz w:val="28"/>
                <w:szCs w:val="28"/>
              </w:rPr>
              <w:t>工作成果</w:t>
            </w:r>
            <w:r>
              <w:rPr>
                <w:rFonts w:hint="eastAsia" w:ascii="仿宋_GB2312" w:hAnsi="仿宋_GB2312" w:eastAsia="仿宋_GB2312" w:cs="仿宋_GB2312"/>
                <w:sz w:val="28"/>
                <w:szCs w:val="28"/>
              </w:rPr>
              <w:t xml:space="preserve"> </w:t>
            </w:r>
          </w:p>
        </w:tc>
        <w:tc>
          <w:tcPr>
            <w:tcW w:w="6507" w:type="dxa"/>
          </w:tcPr>
          <w:p w14:paraId="3004BD8A">
            <w:pPr>
              <w:pStyle w:val="2"/>
              <w:keepNext w:val="0"/>
              <w:keepLines w:val="0"/>
              <w:pageBreakBefore w:val="0"/>
              <w:widowControl w:val="0"/>
              <w:kinsoku/>
              <w:wordWrap/>
              <w:overflowPunct/>
              <w:topLinePunct w:val="0"/>
              <w:autoSpaceDE/>
              <w:autoSpaceDN/>
              <w:bidi w:val="0"/>
              <w:adjustRightInd/>
              <w:snapToGrid/>
              <w:spacing w:after="0" w:line="480" w:lineRule="exact"/>
              <w:ind w:left="105" w:leftChars="50" w:right="105" w:rightChars="5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严格执行法律法规及文件政策指导，定期开展现场禁止使用袋装水泥、禁止施工现场搅拌混凝土、砂浆执法工作，强化“三禁”执法巡查力度。</w:t>
            </w:r>
          </w:p>
        </w:tc>
      </w:tr>
    </w:tbl>
    <w:p w14:paraId="01991770">
      <w:pPr>
        <w:keepNext w:val="0"/>
        <w:keepLines w:val="0"/>
        <w:pageBreakBefore w:val="0"/>
        <w:kinsoku/>
        <w:wordWrap/>
        <w:overflowPunct/>
        <w:topLinePunct w:val="0"/>
        <w:autoSpaceDE/>
        <w:autoSpaceDN/>
        <w:bidi w:val="0"/>
        <w:spacing w:line="520" w:lineRule="exact"/>
      </w:pPr>
    </w:p>
    <w:p w14:paraId="22F73E09">
      <w:pPr>
        <w:pStyle w:val="2"/>
        <w:keepNext w:val="0"/>
        <w:keepLines w:val="0"/>
        <w:pageBreakBefore w:val="0"/>
        <w:kinsoku/>
        <w:wordWrap/>
        <w:overflowPunct/>
        <w:topLinePunct w:val="0"/>
        <w:autoSpaceDE/>
        <w:autoSpaceDN/>
        <w:bidi w:val="0"/>
        <w:spacing w:line="520" w:lineRule="exact"/>
      </w:pPr>
      <w:r>
        <w:br w:type="page"/>
      </w:r>
    </w:p>
    <w:p w14:paraId="2FA72AB7">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0"/>
        <w:rPr>
          <w:rFonts w:ascii="黑体" w:hAnsi="黑体" w:eastAsia="黑体" w:cs="黑体"/>
          <w:sz w:val="32"/>
          <w:szCs w:val="32"/>
        </w:rPr>
      </w:pPr>
      <w:bookmarkStart w:id="806" w:name="_Toc28107"/>
      <w:bookmarkStart w:id="807" w:name="_Toc28677"/>
      <w:bookmarkStart w:id="808" w:name="_Toc26960"/>
      <w:bookmarkStart w:id="809" w:name="_Toc28240"/>
      <w:bookmarkStart w:id="810" w:name="_Toc29146"/>
      <w:bookmarkStart w:id="811" w:name="_Toc29904"/>
      <w:bookmarkStart w:id="812" w:name="_Toc941"/>
      <w:bookmarkStart w:id="813" w:name="_Toc8369"/>
      <w:bookmarkStart w:id="814" w:name="_Toc9465"/>
      <w:bookmarkStart w:id="815" w:name="_Toc224"/>
      <w:bookmarkStart w:id="816" w:name="_Toc30473"/>
      <w:bookmarkStart w:id="817" w:name="_Toc12780"/>
      <w:bookmarkStart w:id="818" w:name="_Toc31914"/>
      <w:bookmarkStart w:id="819" w:name="_Toc30572"/>
      <w:bookmarkStart w:id="820" w:name="_Toc14228"/>
      <w:bookmarkStart w:id="821" w:name="_Toc25177"/>
      <w:bookmarkStart w:id="822" w:name="_Toc10371"/>
      <w:bookmarkStart w:id="823" w:name="_Toc1885"/>
      <w:bookmarkStart w:id="824" w:name="_Toc212"/>
      <w:bookmarkStart w:id="825" w:name="_Toc20947"/>
      <w:bookmarkStart w:id="826" w:name="_Toc26141"/>
      <w:bookmarkStart w:id="827" w:name="_Toc5528"/>
      <w:bookmarkStart w:id="828" w:name="_Toc22109"/>
      <w:bookmarkStart w:id="829" w:name="_Toc6668"/>
      <w:bookmarkStart w:id="830" w:name="_Toc20809"/>
      <w:bookmarkStart w:id="831" w:name="_Toc60"/>
      <w:bookmarkStart w:id="832" w:name="_Toc18222"/>
      <w:bookmarkStart w:id="833" w:name="_Toc19759"/>
      <w:bookmarkStart w:id="834" w:name="_Toc32522"/>
      <w:bookmarkStart w:id="835" w:name="_Toc15581"/>
      <w:r>
        <w:rPr>
          <w:rFonts w:hint="eastAsia" w:ascii="黑体" w:hAnsi="黑体" w:eastAsia="黑体" w:cs="黑体"/>
          <w:sz w:val="32"/>
          <w:szCs w:val="32"/>
        </w:rPr>
        <w:t>四、保障措施</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5067C887">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836" w:name="_Toc8959"/>
      <w:bookmarkStart w:id="837" w:name="_Toc9542"/>
      <w:bookmarkStart w:id="838" w:name="_Toc7973"/>
      <w:bookmarkStart w:id="839" w:name="_Toc10762"/>
      <w:bookmarkStart w:id="840" w:name="_Toc20219"/>
      <w:bookmarkStart w:id="841" w:name="_Toc11851"/>
      <w:bookmarkStart w:id="842" w:name="_Toc31656"/>
      <w:bookmarkStart w:id="843" w:name="_Toc10726"/>
      <w:bookmarkStart w:id="844" w:name="_Toc2765"/>
      <w:bookmarkStart w:id="845" w:name="_Toc18944"/>
      <w:bookmarkStart w:id="846" w:name="_Toc1246"/>
      <w:bookmarkStart w:id="847" w:name="_Toc1201"/>
      <w:bookmarkStart w:id="848" w:name="_Toc22335"/>
      <w:bookmarkStart w:id="849" w:name="_Toc21827"/>
      <w:bookmarkStart w:id="850" w:name="_Toc6113"/>
      <w:bookmarkStart w:id="851" w:name="_Toc29278"/>
      <w:bookmarkStart w:id="852" w:name="_Toc30344"/>
      <w:bookmarkStart w:id="853" w:name="_Toc3583"/>
      <w:bookmarkStart w:id="854" w:name="_Toc13992"/>
      <w:bookmarkStart w:id="855" w:name="_Toc27506"/>
      <w:bookmarkStart w:id="856" w:name="_Toc15346"/>
      <w:bookmarkStart w:id="857" w:name="_Toc15200"/>
      <w:bookmarkStart w:id="858" w:name="_Toc27513"/>
      <w:bookmarkStart w:id="859" w:name="_Toc25337"/>
      <w:bookmarkStart w:id="860" w:name="_Toc1698"/>
      <w:bookmarkStart w:id="861" w:name="_Toc16159"/>
      <w:bookmarkStart w:id="862" w:name="_Toc5670"/>
      <w:bookmarkStart w:id="863" w:name="_Toc18057"/>
      <w:bookmarkStart w:id="864" w:name="_Toc14983"/>
      <w:bookmarkStart w:id="865" w:name="_Toc28872"/>
      <w:bookmarkStart w:id="866" w:name="_Toc25513"/>
      <w:bookmarkStart w:id="867" w:name="_Toc18026"/>
      <w:bookmarkStart w:id="868" w:name="_Toc27801"/>
      <w:bookmarkStart w:id="869" w:name="_Toc5203"/>
      <w:bookmarkStart w:id="870" w:name="_Toc25735"/>
      <w:bookmarkStart w:id="871" w:name="_Toc16922"/>
      <w:bookmarkStart w:id="872" w:name="_Toc25790"/>
      <w:bookmarkStart w:id="873" w:name="_Toc27764"/>
      <w:bookmarkStart w:id="874" w:name="_Toc30103"/>
      <w:bookmarkStart w:id="875" w:name="_Toc7836"/>
      <w:bookmarkStart w:id="876" w:name="_Toc29903"/>
      <w:bookmarkStart w:id="877" w:name="_Toc21228"/>
      <w:bookmarkStart w:id="878" w:name="_Toc5050"/>
      <w:bookmarkStart w:id="879" w:name="_Toc12732"/>
      <w:bookmarkStart w:id="880" w:name="_Toc4594"/>
      <w:bookmarkStart w:id="881" w:name="_Toc6643"/>
      <w:bookmarkStart w:id="882" w:name="_Toc14335"/>
      <w:bookmarkStart w:id="883" w:name="_Toc23664"/>
      <w:bookmarkStart w:id="884" w:name="_Toc5378"/>
      <w:bookmarkStart w:id="885" w:name="_Toc22336"/>
      <w:bookmarkStart w:id="886" w:name="_Toc28223"/>
      <w:bookmarkStart w:id="887" w:name="_Toc11934"/>
      <w:bookmarkStart w:id="888" w:name="_Toc12968"/>
      <w:bookmarkStart w:id="889" w:name="_Toc10424"/>
      <w:bookmarkStart w:id="890" w:name="_Toc16677"/>
      <w:bookmarkStart w:id="891" w:name="_Toc29132"/>
      <w:bookmarkStart w:id="892" w:name="_Toc29905"/>
      <w:bookmarkStart w:id="893" w:name="_Toc6894"/>
      <w:bookmarkStart w:id="894" w:name="_Toc25986"/>
      <w:bookmarkStart w:id="895" w:name="_Toc13387"/>
      <w:bookmarkStart w:id="896" w:name="_Toc14782"/>
      <w:bookmarkStart w:id="897" w:name="_Toc32355"/>
      <w:bookmarkStart w:id="898" w:name="_Toc8790"/>
      <w:bookmarkStart w:id="899" w:name="_Toc3608"/>
      <w:bookmarkStart w:id="900" w:name="_Toc723"/>
      <w:bookmarkStart w:id="901" w:name="_Toc31036"/>
      <w:bookmarkStart w:id="902" w:name="_Toc15797"/>
      <w:r>
        <w:rPr>
          <w:rFonts w:hint="eastAsia" w:ascii="楷体_GB2312" w:hAnsi="楷体_GB2312" w:eastAsia="楷体_GB2312" w:cs="楷体_GB2312"/>
          <w:sz w:val="32"/>
          <w:szCs w:val="32"/>
        </w:rPr>
        <w:t>（一）加强组织领导。</w:t>
      </w:r>
      <w:bookmarkEnd w:id="836"/>
      <w:bookmarkEnd w:id="837"/>
      <w:bookmarkEnd w:id="838"/>
      <w:bookmarkEnd w:id="839"/>
      <w:bookmarkEnd w:id="840"/>
      <w:bookmarkEnd w:id="841"/>
      <w:bookmarkEnd w:id="842"/>
      <w:bookmarkEnd w:id="843"/>
    </w:p>
    <w:p w14:paraId="052ACBA6">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Times New Roman" w:hAnsi="Times New Roman" w:eastAsia="仿宋_GB2312"/>
          <w:sz w:val="24"/>
          <w:szCs w:val="24"/>
        </w:rPr>
      </w:pPr>
      <w:r>
        <w:rPr>
          <w:rFonts w:hint="eastAsia" w:ascii="仿宋_GB2312" w:hAnsi="黑体" w:eastAsia="仿宋_GB2312"/>
          <w:sz w:val="32"/>
          <w:szCs w:val="32"/>
        </w:rPr>
        <w:t>市</w:t>
      </w:r>
      <w:r>
        <w:rPr>
          <w:rFonts w:hint="eastAsia" w:ascii="仿宋_GB2312" w:hAnsi="黑体" w:eastAsia="仿宋_GB2312"/>
          <w:sz w:val="32"/>
          <w:szCs w:val="32"/>
          <w:lang w:eastAsia="zh-CN"/>
        </w:rPr>
        <w:t>住房和城乡建设局</w:t>
      </w:r>
      <w:r>
        <w:rPr>
          <w:rFonts w:hint="eastAsia" w:ascii="仿宋_GB2312" w:hAnsi="黑体" w:eastAsia="仿宋_GB2312"/>
          <w:sz w:val="32"/>
          <w:szCs w:val="32"/>
        </w:rPr>
        <w:t>要加强组织领导，依托绿色建筑发展中心、建设工程质量监测站等机构，建立健全工作机制，强化工作责任，加强监督管理，推动各项工作的落实；各区建筑节能与绿色建筑主管部门应该</w:t>
      </w:r>
      <w:r>
        <w:rPr>
          <w:rFonts w:hint="eastAsia" w:ascii="仿宋_GB2312" w:hAnsi="仿宋_GB2312" w:eastAsia="仿宋_GB2312" w:cs="仿宋_GB2312"/>
          <w:sz w:val="32"/>
          <w:szCs w:val="32"/>
        </w:rPr>
        <w:t>结合实际情况，制定实施计划。</w:t>
      </w:r>
      <w:r>
        <w:rPr>
          <w:rFonts w:hint="eastAsia" w:ascii="仿宋_GB2312" w:hAnsi="黑体" w:eastAsia="仿宋_GB2312"/>
          <w:sz w:val="32"/>
          <w:szCs w:val="32"/>
        </w:rPr>
        <w:t>同时，各级建设主管部门积极会同发展改革、自然资源、工业与信息化、市场监管、财政等有关部门，出台配套支持政策，密切协作配合，形成工作合力，共同推动建筑节能与绿色建筑发展。</w:t>
      </w:r>
    </w:p>
    <w:p w14:paraId="1B47472C">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903" w:name="_Toc7480"/>
      <w:bookmarkStart w:id="904" w:name="_Toc7390"/>
      <w:bookmarkStart w:id="905" w:name="_Toc4212"/>
      <w:bookmarkStart w:id="906" w:name="_Toc2350"/>
      <w:bookmarkStart w:id="907" w:name="_Toc22750"/>
      <w:bookmarkStart w:id="908" w:name="_Toc10362"/>
      <w:bookmarkStart w:id="909" w:name="_Toc20171"/>
      <w:bookmarkStart w:id="910" w:name="_Toc25162"/>
      <w:r>
        <w:rPr>
          <w:rFonts w:hint="eastAsia" w:ascii="楷体_GB2312" w:hAnsi="楷体_GB2312" w:eastAsia="楷体_GB2312" w:cs="楷体_GB2312"/>
          <w:sz w:val="32"/>
          <w:szCs w:val="32"/>
        </w:rPr>
        <w:t>（二）强化目标考核。</w:t>
      </w:r>
      <w:bookmarkEnd w:id="903"/>
      <w:bookmarkEnd w:id="904"/>
      <w:bookmarkEnd w:id="905"/>
      <w:bookmarkEnd w:id="906"/>
      <w:bookmarkEnd w:id="907"/>
      <w:bookmarkEnd w:id="908"/>
      <w:bookmarkEnd w:id="909"/>
      <w:bookmarkEnd w:id="910"/>
    </w:p>
    <w:p w14:paraId="59C78F0E">
      <w:pPr>
        <w:keepNext w:val="0"/>
        <w:keepLines w:val="0"/>
        <w:pageBreakBefore w:val="0"/>
        <w:kinsoku/>
        <w:wordWrap/>
        <w:overflowPunct/>
        <w:topLinePunct w:val="0"/>
        <w:autoSpaceDE/>
        <w:autoSpaceDN/>
        <w:bidi w:val="0"/>
        <w:adjustRightInd w:val="0"/>
        <w:snapToGrid w:val="0"/>
        <w:spacing w:line="520" w:lineRule="exact"/>
        <w:ind w:firstLine="640" w:firstLineChars="200"/>
        <w:rPr>
          <w:rFonts w:ascii="Times New Roman" w:hAnsi="Times New Roman" w:eastAsia="仿宋_GB2312"/>
          <w:sz w:val="24"/>
          <w:szCs w:val="24"/>
        </w:rPr>
      </w:pPr>
      <w:bookmarkStart w:id="911" w:name="_Toc6452"/>
      <w:bookmarkStart w:id="912" w:name="_Toc10553"/>
      <w:bookmarkStart w:id="913" w:name="_Toc32550"/>
      <w:bookmarkStart w:id="914" w:name="_Toc22683"/>
      <w:r>
        <w:rPr>
          <w:rFonts w:hint="eastAsia" w:ascii="仿宋_GB2312" w:hAnsi="黑体" w:eastAsia="仿宋_GB2312"/>
          <w:sz w:val="32"/>
          <w:szCs w:val="32"/>
        </w:rPr>
        <w:t>市住房城乡建设局会同有关部门加强对本规划落实情况的指导监督，将相关工作完成情况纳入市政府对各区绩效考核及年度考核要求。各区应当对本地区建筑节能、绿色建筑、装配式建筑等发展成效进行评价，及时总结进展情况，形成年度报告，并于每年年底前报市住房城乡建设局</w:t>
      </w:r>
      <w:r>
        <w:rPr>
          <w:rFonts w:hint="eastAsia" w:ascii="仿宋_GB2312" w:hAnsi="仿宋_GB2312" w:eastAsia="仿宋_GB2312" w:cs="仿宋_GB2312"/>
          <w:sz w:val="32"/>
          <w:szCs w:val="32"/>
        </w:rPr>
        <w:t>。对目标责任不落实、实施进度落后的地区，进行通报批评，对超额完成、提前完成目标的地区予以表扬奖励。</w:t>
      </w:r>
      <w:bookmarkEnd w:id="911"/>
      <w:bookmarkEnd w:id="912"/>
      <w:bookmarkEnd w:id="913"/>
      <w:bookmarkEnd w:id="914"/>
    </w:p>
    <w:p w14:paraId="6880AE4A">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915" w:name="_Toc18572"/>
      <w:bookmarkStart w:id="916" w:name="_Toc15237"/>
      <w:bookmarkStart w:id="917" w:name="_Toc15454"/>
      <w:bookmarkStart w:id="918" w:name="_Toc11191"/>
      <w:bookmarkStart w:id="919" w:name="_Toc8120"/>
      <w:bookmarkStart w:id="920" w:name="_Toc20882"/>
      <w:bookmarkStart w:id="921" w:name="_Toc26739"/>
      <w:bookmarkStart w:id="922" w:name="_Toc5548"/>
      <w:r>
        <w:rPr>
          <w:rFonts w:hint="eastAsia" w:ascii="楷体_GB2312" w:hAnsi="楷体_GB2312" w:eastAsia="楷体_GB2312" w:cs="楷体_GB2312"/>
          <w:sz w:val="32"/>
          <w:szCs w:val="32"/>
        </w:rPr>
        <w:t>（三）</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Pr>
          <w:rFonts w:hint="eastAsia" w:ascii="楷体_GB2312" w:hAnsi="楷体_GB2312" w:eastAsia="楷体_GB2312" w:cs="楷体_GB2312"/>
          <w:sz w:val="32"/>
          <w:szCs w:val="32"/>
        </w:rPr>
        <w:t>加大政策激励</w:t>
      </w:r>
      <w:bookmarkEnd w:id="858"/>
      <w:r>
        <w:rPr>
          <w:rFonts w:hint="eastAsia" w:ascii="楷体_GB2312" w:hAnsi="楷体_GB2312" w:eastAsia="楷体_GB2312" w:cs="楷体_GB2312"/>
          <w:sz w:val="32"/>
          <w:szCs w:val="32"/>
        </w:rPr>
        <w:t>。</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15"/>
      <w:bookmarkEnd w:id="916"/>
      <w:bookmarkEnd w:id="917"/>
      <w:bookmarkEnd w:id="918"/>
      <w:bookmarkEnd w:id="919"/>
      <w:bookmarkEnd w:id="920"/>
      <w:bookmarkEnd w:id="921"/>
      <w:bookmarkEnd w:id="922"/>
    </w:p>
    <w:p w14:paraId="62738A4B">
      <w:pPr>
        <w:pStyle w:val="2"/>
        <w:keepNext w:val="0"/>
        <w:keepLines w:val="0"/>
        <w:pageBreakBefore w:val="0"/>
        <w:kinsoku/>
        <w:wordWrap/>
        <w:overflowPunct/>
        <w:topLinePunct w:val="0"/>
        <w:autoSpaceDE/>
        <w:autoSpaceDN/>
        <w:bidi w:val="0"/>
        <w:spacing w:after="0" w:line="520" w:lineRule="exact"/>
        <w:ind w:left="0" w:leftChars="0" w:firstLine="640" w:firstLineChars="200"/>
        <w:rPr>
          <w:rFonts w:ascii="仿宋_GB2312" w:hAnsi="黑体" w:eastAsia="仿宋_GB2312"/>
          <w:sz w:val="32"/>
          <w:szCs w:val="32"/>
        </w:rPr>
      </w:pPr>
      <w:r>
        <w:rPr>
          <w:rFonts w:hint="eastAsia" w:ascii="仿宋_GB2312" w:hAnsi="黑体" w:eastAsia="仿宋_GB2312"/>
          <w:sz w:val="32"/>
          <w:szCs w:val="32"/>
        </w:rPr>
        <w:t>研究完善市落实省级建筑领域节能专项资金使用管理制度，加大节能专项资金投入，拓宽专项资金支持范围，重点支持绿色建筑发展专项规划的编制、技术与产品的研发、示范项目的建设与推广、标准制定等相关工作。会同有关部门和金融机构制定激励措施推动绿色建筑发展，积极完善绿色金融支持政策，</w:t>
      </w:r>
      <w:r>
        <w:rPr>
          <w:rFonts w:hint="eastAsia" w:ascii="仿宋_GB2312" w:hAnsi="仿宋_GB2312" w:eastAsia="仿宋_GB2312" w:cs="仿宋_GB2312"/>
          <w:sz w:val="32"/>
          <w:szCs w:val="32"/>
        </w:rPr>
        <w:t>构建绿色金融实施体系，</w:t>
      </w:r>
      <w:r>
        <w:rPr>
          <w:rFonts w:hint="eastAsia" w:ascii="仿宋_GB2312" w:hAnsi="黑体" w:eastAsia="仿宋_GB2312"/>
          <w:sz w:val="32"/>
          <w:szCs w:val="32"/>
        </w:rPr>
        <w:t>通过绿色信贷、绿色保险、绿色债券等多种方式为绿色建筑发展提供绿色金融服务</w:t>
      </w:r>
      <w:r>
        <w:rPr>
          <w:rFonts w:hint="eastAsia" w:ascii="仿宋_GB2312" w:hAnsi="仿宋_GB2312" w:eastAsia="仿宋_GB2312" w:cs="仿宋_GB2312"/>
          <w:sz w:val="32"/>
          <w:szCs w:val="32"/>
        </w:rPr>
        <w:t>。</w:t>
      </w:r>
      <w:r>
        <w:rPr>
          <w:rFonts w:hint="eastAsia" w:ascii="仿宋_GB2312" w:hAnsi="黑体" w:eastAsia="仿宋_GB2312"/>
          <w:sz w:val="32"/>
          <w:szCs w:val="32"/>
        </w:rPr>
        <w:t>按规定因采取绿色建筑、装配式建筑相关技术措施增加的建筑面积不计入容积率核算；落实住房公积金贷款购买星级绿色建筑自住住房的贷款额度按规定比例上浮；考虑对实施绿色建筑成效显</w:t>
      </w:r>
      <w:r>
        <w:rPr>
          <w:rFonts w:hint="eastAsia" w:ascii="仿宋_GB2312" w:hAnsi="黑体" w:eastAsia="仿宋_GB2312"/>
          <w:sz w:val="32"/>
          <w:szCs w:val="32"/>
          <w:lang w:eastAsia="zh-CN"/>
        </w:rPr>
        <w:t>著</w:t>
      </w:r>
      <w:r>
        <w:rPr>
          <w:rFonts w:hint="eastAsia" w:ascii="仿宋_GB2312" w:hAnsi="黑体" w:eastAsia="仿宋_GB2312"/>
          <w:sz w:val="32"/>
          <w:szCs w:val="32"/>
        </w:rPr>
        <w:t>的企业，在企业资质年检、资质升级换证、项目招投标中给予免检、优先和加分等奖励；采用最高等级标准建设或者采用装配式商品房全装修方式建造的项目，在各类建筑工程奖项评审中可以优先推荐。</w:t>
      </w:r>
    </w:p>
    <w:p w14:paraId="099B9C80">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923" w:name="_Toc30762"/>
      <w:bookmarkStart w:id="924" w:name="_Toc18232"/>
      <w:bookmarkStart w:id="925" w:name="_Toc16690"/>
      <w:bookmarkStart w:id="926" w:name="_Toc23038"/>
      <w:bookmarkStart w:id="927" w:name="_Toc29387"/>
      <w:bookmarkStart w:id="928" w:name="_Toc17161"/>
      <w:bookmarkStart w:id="929" w:name="_Toc14380"/>
      <w:bookmarkStart w:id="930" w:name="_Toc6761"/>
      <w:bookmarkStart w:id="931" w:name="_Toc20097"/>
      <w:bookmarkStart w:id="932" w:name="_Toc10904"/>
      <w:bookmarkStart w:id="933" w:name="_Toc13756"/>
      <w:bookmarkStart w:id="934" w:name="_Toc2315"/>
      <w:bookmarkStart w:id="935" w:name="_Toc23401"/>
      <w:bookmarkStart w:id="936" w:name="_Toc26950"/>
      <w:bookmarkStart w:id="937" w:name="_Toc21405"/>
      <w:bookmarkStart w:id="938" w:name="_Toc19052"/>
      <w:bookmarkStart w:id="939" w:name="_Toc5194"/>
      <w:bookmarkStart w:id="940" w:name="_Toc18194"/>
      <w:bookmarkStart w:id="941" w:name="_Toc8689"/>
      <w:bookmarkStart w:id="942" w:name="_Toc10224"/>
      <w:bookmarkStart w:id="943" w:name="_Toc1896"/>
      <w:bookmarkStart w:id="944" w:name="_Toc19050"/>
      <w:bookmarkStart w:id="945" w:name="_Toc18215"/>
      <w:bookmarkStart w:id="946" w:name="_Toc25991"/>
      <w:bookmarkStart w:id="947" w:name="_Toc18784"/>
      <w:bookmarkStart w:id="948" w:name="_Toc30707"/>
      <w:bookmarkStart w:id="949" w:name="_Toc26929"/>
      <w:bookmarkStart w:id="950" w:name="_Toc26470"/>
      <w:bookmarkStart w:id="951" w:name="_Toc14627"/>
      <w:bookmarkStart w:id="952" w:name="_Toc27298"/>
      <w:bookmarkStart w:id="953" w:name="_Toc5718"/>
      <w:bookmarkStart w:id="954" w:name="_Toc21692"/>
      <w:bookmarkStart w:id="955" w:name="_Toc23440"/>
      <w:bookmarkStart w:id="956" w:name="_Toc10014"/>
      <w:bookmarkStart w:id="957" w:name="_Toc5374"/>
      <w:bookmarkStart w:id="958" w:name="_Toc2967"/>
      <w:bookmarkStart w:id="959" w:name="_Toc29"/>
      <w:bookmarkStart w:id="960" w:name="_Toc18149"/>
      <w:bookmarkStart w:id="961" w:name="_Toc15170"/>
      <w:bookmarkStart w:id="962" w:name="_Toc19979"/>
      <w:bookmarkStart w:id="963" w:name="_Toc24658"/>
      <w:bookmarkStart w:id="964" w:name="_Toc21786"/>
      <w:bookmarkStart w:id="965" w:name="_Toc22371"/>
      <w:bookmarkStart w:id="966" w:name="_Toc12411"/>
      <w:bookmarkStart w:id="967" w:name="_Toc16101"/>
      <w:bookmarkStart w:id="968" w:name="_Toc9751"/>
      <w:bookmarkStart w:id="969" w:name="_Toc24524"/>
      <w:bookmarkStart w:id="970" w:name="_Toc31149"/>
      <w:bookmarkStart w:id="971" w:name="_Toc11635"/>
      <w:bookmarkStart w:id="972" w:name="_Toc21740"/>
      <w:bookmarkStart w:id="973" w:name="_Toc14946"/>
      <w:bookmarkStart w:id="974" w:name="_Toc10036"/>
      <w:bookmarkStart w:id="975" w:name="_Toc23059"/>
      <w:bookmarkStart w:id="976" w:name="_Toc11259"/>
      <w:bookmarkStart w:id="977" w:name="_Toc28654"/>
      <w:bookmarkStart w:id="978" w:name="_Toc26247"/>
      <w:bookmarkStart w:id="979" w:name="_Toc14994"/>
      <w:bookmarkStart w:id="980" w:name="_Toc19919"/>
      <w:bookmarkStart w:id="981" w:name="_Toc4230"/>
      <w:bookmarkStart w:id="982" w:name="_Toc10730"/>
      <w:bookmarkStart w:id="983" w:name="_Toc154"/>
      <w:bookmarkStart w:id="984" w:name="_Toc8314"/>
      <w:bookmarkStart w:id="985" w:name="_Toc13274"/>
      <w:bookmarkStart w:id="986" w:name="_Toc28889"/>
      <w:bookmarkStart w:id="987" w:name="_Toc11913"/>
      <w:bookmarkStart w:id="988" w:name="_Toc21425"/>
      <w:bookmarkStart w:id="989" w:name="_Toc5904"/>
      <w:r>
        <w:rPr>
          <w:rFonts w:hint="eastAsia" w:ascii="楷体_GB2312" w:hAnsi="楷体_GB2312" w:eastAsia="楷体_GB2312" w:cs="楷体_GB2312"/>
          <w:sz w:val="32"/>
          <w:szCs w:val="32"/>
        </w:rPr>
        <w:t>（四）发挥市场作用</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Pr>
          <w:rFonts w:hint="eastAsia" w:ascii="楷体_GB2312" w:hAnsi="楷体_GB2312" w:eastAsia="楷体_GB2312" w:cs="楷体_GB2312"/>
          <w:sz w:val="32"/>
          <w:szCs w:val="32"/>
        </w:rPr>
        <w:t>。</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0610EEE7">
      <w:pPr>
        <w:pStyle w:val="2"/>
        <w:keepNext w:val="0"/>
        <w:keepLines w:val="0"/>
        <w:pageBreakBefore w:val="0"/>
        <w:kinsoku/>
        <w:wordWrap/>
        <w:overflowPunct/>
        <w:topLinePunct w:val="0"/>
        <w:autoSpaceDE/>
        <w:autoSpaceDN/>
        <w:bidi w:val="0"/>
        <w:spacing w:after="0" w:line="520" w:lineRule="exact"/>
        <w:ind w:left="0" w:leftChars="0" w:firstLine="640" w:firstLineChars="200"/>
        <w:rPr>
          <w:rFonts w:ascii="仿宋_GB2312" w:hAnsi="黑体" w:eastAsia="仿宋_GB2312"/>
          <w:sz w:val="32"/>
          <w:szCs w:val="32"/>
        </w:rPr>
      </w:pPr>
      <w:r>
        <w:rPr>
          <w:rFonts w:hint="eastAsia" w:ascii="仿宋_GB2312" w:hAnsi="黑体" w:eastAsia="仿宋_GB2312"/>
          <w:sz w:val="32"/>
          <w:szCs w:val="32"/>
        </w:rPr>
        <w:t>加强服务能力建设，引进和培育专业服务管理公司。培育市场新模式，推动合同能源管理、政府与社会资本合作（</w:t>
      </w:r>
      <w:r>
        <w:rPr>
          <w:rFonts w:ascii="仿宋_GB2312" w:hAnsi="黑体" w:eastAsia="仿宋_GB2312"/>
          <w:sz w:val="32"/>
          <w:szCs w:val="32"/>
        </w:rPr>
        <w:t>PPP）等；积极跟进广州、深圳等城市，研究建筑能效交易、碳交易机制。加强市场引导，会同相关部门推进绿色信贷在建筑节能与绿色建筑等领域的应用。优化市场监管机制，采集建筑节能、绿色建筑、绿色建材等相关主体信用信息，根据信用信息情况实施守信激励与失信惩戒。</w:t>
      </w:r>
    </w:p>
    <w:p w14:paraId="63A1CAA4">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990" w:name="_Toc18698"/>
      <w:bookmarkStart w:id="991" w:name="_Toc15342"/>
      <w:bookmarkStart w:id="992" w:name="_Toc23095"/>
      <w:bookmarkStart w:id="993" w:name="_Toc4703"/>
      <w:bookmarkStart w:id="994" w:name="_Toc4725"/>
      <w:bookmarkStart w:id="995" w:name="_Toc23697"/>
      <w:bookmarkStart w:id="996" w:name="_Toc18964"/>
      <w:bookmarkStart w:id="997" w:name="_Toc9273"/>
      <w:bookmarkStart w:id="998" w:name="_Toc7881"/>
      <w:bookmarkStart w:id="999" w:name="_Toc930"/>
      <w:bookmarkStart w:id="1000" w:name="_Toc5823"/>
      <w:bookmarkStart w:id="1001" w:name="_Toc20321"/>
      <w:bookmarkStart w:id="1002" w:name="_Toc14764"/>
      <w:bookmarkStart w:id="1003" w:name="_Toc4592"/>
      <w:bookmarkStart w:id="1004" w:name="_Toc13820"/>
      <w:r>
        <w:rPr>
          <w:rFonts w:hint="eastAsia" w:ascii="楷体_GB2312" w:hAnsi="楷体_GB2312" w:eastAsia="楷体_GB2312" w:cs="楷体_GB2312"/>
          <w:sz w:val="32"/>
          <w:szCs w:val="32"/>
        </w:rPr>
        <w:t>（五）推进科技创新。</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1ACB4F01">
      <w:pPr>
        <w:pStyle w:val="2"/>
        <w:keepNext w:val="0"/>
        <w:keepLines w:val="0"/>
        <w:pageBreakBefore w:val="0"/>
        <w:kinsoku/>
        <w:wordWrap/>
        <w:overflowPunct/>
        <w:topLinePunct w:val="0"/>
        <w:autoSpaceDE/>
        <w:autoSpaceDN/>
        <w:bidi w:val="0"/>
        <w:spacing w:after="0" w:line="520" w:lineRule="exact"/>
        <w:ind w:left="0" w:leftChars="0" w:firstLine="640" w:firstLineChars="200"/>
        <w:rPr>
          <w:rFonts w:ascii="仿宋_GB2312" w:hAnsi="黑体" w:eastAsia="仿宋_GB2312"/>
          <w:sz w:val="32"/>
          <w:szCs w:val="32"/>
        </w:rPr>
      </w:pPr>
      <w:r>
        <w:rPr>
          <w:rFonts w:hint="eastAsia" w:ascii="仿宋_GB2312" w:hAnsi="黑体" w:eastAsia="仿宋_GB2312"/>
          <w:sz w:val="32"/>
          <w:szCs w:val="32"/>
        </w:rPr>
        <w:t>构建市场导向的建筑节能与绿色建筑技术创新体系，开展重点领域关键环节的科研攻关和项目研发。推动互联网、大数据、人工智能等新技术、先进制造与建筑节能和绿色建筑的深度融合。发挥大型国有企业研发和应用能力，推进企业与科研机构强强联合，建立企业与高等院校的技术创新联合体，研发新技术、新工艺、新材料和新设备。组建珠海市绿色建筑专家委员会，对珠海市绿色建筑实施过程中遇到的问题，进行及时梳理和解决，形成统一的要求，规范绿色建筑的顺利实施。梳理编制绿色产品、企业目录，疏理成熟应用技术，供设计、建设和施工等参考选用。</w:t>
      </w:r>
    </w:p>
    <w:p w14:paraId="075A7750">
      <w:pPr>
        <w:keepNext w:val="0"/>
        <w:keepLines w:val="0"/>
        <w:pageBreakBefore w:val="0"/>
        <w:kinsoku/>
        <w:wordWrap/>
        <w:overflowPunct/>
        <w:topLinePunct w:val="0"/>
        <w:autoSpaceDE/>
        <w:autoSpaceDN/>
        <w:bidi w:val="0"/>
        <w:adjustRightInd w:val="0"/>
        <w:snapToGrid w:val="0"/>
        <w:spacing w:line="520" w:lineRule="exact"/>
        <w:ind w:firstLine="640" w:firstLineChars="200"/>
        <w:outlineLvl w:val="1"/>
        <w:rPr>
          <w:rFonts w:ascii="楷体_GB2312" w:hAnsi="楷体_GB2312" w:eastAsia="楷体_GB2312" w:cs="楷体_GB2312"/>
          <w:sz w:val="32"/>
          <w:szCs w:val="32"/>
        </w:rPr>
      </w:pPr>
      <w:bookmarkStart w:id="1005" w:name="_Toc1191"/>
      <w:bookmarkStart w:id="1006" w:name="_Toc8368"/>
      <w:bookmarkStart w:id="1007" w:name="_Toc5723"/>
      <w:bookmarkStart w:id="1008" w:name="_Toc27382"/>
      <w:bookmarkStart w:id="1009" w:name="_Toc10792"/>
      <w:bookmarkStart w:id="1010" w:name="_Toc32411"/>
      <w:bookmarkStart w:id="1011" w:name="_Toc19139"/>
      <w:bookmarkStart w:id="1012" w:name="_Toc27988"/>
      <w:bookmarkStart w:id="1013" w:name="_Toc10382"/>
      <w:bookmarkStart w:id="1014" w:name="_Toc24662"/>
      <w:bookmarkStart w:id="1015" w:name="_Toc20352"/>
      <w:bookmarkStart w:id="1016" w:name="_Toc12576"/>
      <w:bookmarkStart w:id="1017" w:name="_Toc30308"/>
      <w:bookmarkStart w:id="1018" w:name="_Toc27179"/>
      <w:bookmarkStart w:id="1019" w:name="_Toc19491"/>
      <w:bookmarkStart w:id="1020" w:name="_Toc9612"/>
      <w:bookmarkStart w:id="1021" w:name="_Toc22824"/>
      <w:bookmarkStart w:id="1022" w:name="_Toc18441"/>
      <w:bookmarkStart w:id="1023" w:name="_Toc16558"/>
      <w:bookmarkStart w:id="1024" w:name="_Toc4376"/>
      <w:bookmarkStart w:id="1025" w:name="_Toc25167"/>
      <w:bookmarkStart w:id="1026" w:name="_Toc4148"/>
      <w:bookmarkStart w:id="1027" w:name="_Toc12649"/>
      <w:bookmarkStart w:id="1028" w:name="_Toc17732"/>
      <w:bookmarkStart w:id="1029" w:name="_Toc23977"/>
      <w:bookmarkStart w:id="1030" w:name="_Toc16433"/>
      <w:bookmarkStart w:id="1031" w:name="_Toc12675"/>
      <w:bookmarkStart w:id="1032" w:name="_Toc24736"/>
      <w:bookmarkStart w:id="1033" w:name="_Toc5129"/>
      <w:bookmarkStart w:id="1034" w:name="_Toc24030"/>
      <w:bookmarkStart w:id="1035" w:name="_Toc1007"/>
      <w:bookmarkStart w:id="1036" w:name="_Toc18077"/>
      <w:bookmarkStart w:id="1037" w:name="_Toc28016"/>
      <w:bookmarkStart w:id="1038" w:name="_Toc8267"/>
      <w:bookmarkStart w:id="1039" w:name="_Toc25301"/>
      <w:bookmarkStart w:id="1040" w:name="_Toc8202"/>
      <w:bookmarkStart w:id="1041" w:name="_Toc8843"/>
      <w:bookmarkStart w:id="1042" w:name="_Toc6909"/>
      <w:bookmarkStart w:id="1043" w:name="_Toc6918"/>
      <w:bookmarkStart w:id="1044" w:name="_Toc1831"/>
      <w:bookmarkStart w:id="1045" w:name="_Toc8510"/>
      <w:bookmarkStart w:id="1046" w:name="_Toc32214"/>
      <w:bookmarkStart w:id="1047" w:name="_Toc4951"/>
      <w:bookmarkStart w:id="1048" w:name="_Toc4306"/>
      <w:bookmarkStart w:id="1049" w:name="_Toc18224"/>
      <w:bookmarkStart w:id="1050" w:name="_Toc17221"/>
      <w:bookmarkStart w:id="1051" w:name="_Toc3740"/>
      <w:r>
        <w:rPr>
          <w:rFonts w:hint="eastAsia" w:ascii="楷体_GB2312" w:hAnsi="楷体_GB2312" w:eastAsia="楷体_GB2312" w:cs="楷体_GB2312"/>
          <w:sz w:val="32"/>
          <w:szCs w:val="32"/>
        </w:rPr>
        <w:t>（六）做好宣传培训。</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14:paraId="788A15EE">
      <w:pPr>
        <w:pStyle w:val="2"/>
        <w:keepNext w:val="0"/>
        <w:keepLines w:val="0"/>
        <w:pageBreakBefore w:val="0"/>
        <w:kinsoku/>
        <w:wordWrap/>
        <w:overflowPunct/>
        <w:topLinePunct w:val="0"/>
        <w:autoSpaceDE/>
        <w:autoSpaceDN/>
        <w:bidi w:val="0"/>
        <w:spacing w:after="0" w:line="520" w:lineRule="exact"/>
        <w:ind w:left="0" w:leftChars="0" w:firstLine="640" w:firstLineChars="200"/>
        <w:rPr>
          <w:rFonts w:ascii="仿宋_GB2312" w:hAnsi="黑体" w:eastAsia="仿宋_GB2312"/>
          <w:sz w:val="32"/>
          <w:szCs w:val="32"/>
        </w:rPr>
      </w:pPr>
      <w:bookmarkStart w:id="1052" w:name="_Toc5088"/>
      <w:bookmarkStart w:id="1053" w:name="_Toc6395"/>
      <w:bookmarkStart w:id="1054" w:name="_Toc24526"/>
      <w:bookmarkStart w:id="1055" w:name="_Toc2349"/>
      <w:r>
        <w:rPr>
          <w:rFonts w:hint="eastAsia" w:ascii="仿宋_GB2312" w:hAnsi="黑体" w:eastAsia="仿宋_GB2312"/>
          <w:sz w:val="32"/>
          <w:szCs w:val="32"/>
        </w:rPr>
        <w:t>结合“全民节能行动”、“节能宣传月”等活动，利用电视、报刊、网络等媒体，构建立体化的宣传体系，广泛宣传建筑节能、绿色建筑、装配式建筑等法律法规和政策措施，大力推广先进地区、项目成功经验。积极开展宣传培训、技术推广、信息咨询、会展等活动，营造良好发展范围，倡导绿色生活消费方式。</w:t>
      </w:r>
      <w:bookmarkEnd w:id="1052"/>
      <w:bookmarkEnd w:id="1053"/>
      <w:bookmarkEnd w:id="1054"/>
      <w:bookmarkEnd w:id="1055"/>
      <w:r>
        <w:rPr>
          <w:rFonts w:hint="eastAsia" w:ascii="仿宋_GB2312" w:hAnsi="黑体" w:eastAsia="仿宋_GB2312"/>
          <w:sz w:val="32"/>
          <w:szCs w:val="32"/>
        </w:rPr>
        <w:t>积极推进绿色建筑、装配式建筑示范项目建设，加强示范项目的宣传推广，让居民感受绿色建筑技术的效果，身临其境的体会绿色建筑的魅力，倡导绿色生活消费方式。依托高等院校、职业学校、科研院所、行业协会开展针对设计、施工、运营管理等人员的专业培训，提升管理人员及从业人员的综合素质。</w:t>
      </w:r>
    </w:p>
    <w:p w14:paraId="1668BEA4">
      <w:pPr>
        <w:pStyle w:val="2"/>
        <w:keepNext w:val="0"/>
        <w:keepLines w:val="0"/>
        <w:pageBreakBefore w:val="0"/>
        <w:kinsoku/>
        <w:wordWrap/>
        <w:overflowPunct/>
        <w:topLinePunct w:val="0"/>
        <w:autoSpaceDE/>
        <w:autoSpaceDN/>
        <w:bidi w:val="0"/>
        <w:spacing w:after="0" w:line="520" w:lineRule="exact"/>
        <w:ind w:left="0" w:leftChars="0" w:firstLine="640" w:firstLineChars="200"/>
        <w:rPr>
          <w:rFonts w:ascii="仿宋_GB2312" w:hAnsi="黑体" w:eastAsia="仿宋_GB2312"/>
          <w:sz w:val="32"/>
          <w:szCs w:val="32"/>
        </w:rPr>
        <w:sectPr>
          <w:footerReference r:id="rId6" w:type="default"/>
          <w:pgSz w:w="11906" w:h="16838"/>
          <w:pgMar w:top="1440" w:right="1800" w:bottom="1440" w:left="1800" w:header="851" w:footer="992" w:gutter="0"/>
          <w:pgNumType w:start="1"/>
          <w:cols w:space="720" w:num="1"/>
          <w:docGrid w:type="lines" w:linePitch="312" w:charSpace="0"/>
        </w:sectPr>
      </w:pPr>
    </w:p>
    <w:p w14:paraId="430FC24A">
      <w:pPr>
        <w:pStyle w:val="2"/>
        <w:keepNext w:val="0"/>
        <w:keepLines w:val="0"/>
        <w:pageBreakBefore w:val="0"/>
        <w:kinsoku/>
        <w:wordWrap/>
        <w:overflowPunct/>
        <w:topLinePunct w:val="0"/>
        <w:autoSpaceDE/>
        <w:autoSpaceDN/>
        <w:bidi w:val="0"/>
        <w:spacing w:line="520" w:lineRule="exact"/>
        <w:outlineLvl w:val="0"/>
        <w:rPr>
          <w:rFonts w:ascii="仿宋_GB2312" w:hAnsi="仿宋_GB2312" w:eastAsia="仿宋_GB2312" w:cs="仿宋_GB2312"/>
          <w:sz w:val="32"/>
          <w:szCs w:val="32"/>
        </w:rPr>
      </w:pPr>
      <w:bookmarkStart w:id="1056" w:name="_Toc17155"/>
      <w:bookmarkStart w:id="1057" w:name="_Toc27376"/>
      <w:bookmarkStart w:id="1058" w:name="_Toc23776"/>
      <w:bookmarkStart w:id="1059" w:name="_Toc4650"/>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重点任务分解列表</w:t>
      </w:r>
      <w:bookmarkEnd w:id="1056"/>
      <w:bookmarkEnd w:id="1057"/>
      <w:bookmarkEnd w:id="1058"/>
      <w:bookmarkEnd w:id="1059"/>
    </w:p>
    <w:tbl>
      <w:tblPr>
        <w:tblStyle w:val="22"/>
        <w:tblW w:w="14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448"/>
        <w:gridCol w:w="1848"/>
        <w:gridCol w:w="1892"/>
        <w:gridCol w:w="11"/>
        <w:gridCol w:w="1860"/>
        <w:gridCol w:w="1870"/>
        <w:gridCol w:w="1871"/>
        <w:gridCol w:w="2937"/>
      </w:tblGrid>
      <w:tr w14:paraId="726D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5" w:type="dxa"/>
            <w:vMerge w:val="restart"/>
            <w:vAlign w:val="center"/>
          </w:tcPr>
          <w:p w14:paraId="6BDFE679">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rPr>
              <w:t>重点任务</w:t>
            </w:r>
          </w:p>
          <w:p w14:paraId="64632FB8">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rPr>
              <w:t>板块</w:t>
            </w:r>
          </w:p>
        </w:tc>
        <w:tc>
          <w:tcPr>
            <w:tcW w:w="1448" w:type="dxa"/>
            <w:vMerge w:val="restart"/>
            <w:vAlign w:val="center"/>
          </w:tcPr>
          <w:p w14:paraId="0F9C1D98">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rPr>
              <w:t>重点任务</w:t>
            </w:r>
          </w:p>
        </w:tc>
        <w:tc>
          <w:tcPr>
            <w:tcW w:w="9352" w:type="dxa"/>
            <w:gridSpan w:val="6"/>
            <w:vAlign w:val="center"/>
          </w:tcPr>
          <w:p w14:paraId="5B5346A6">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rPr>
              <w:t>具体规划措施</w:t>
            </w:r>
          </w:p>
        </w:tc>
        <w:tc>
          <w:tcPr>
            <w:tcW w:w="2937" w:type="dxa"/>
            <w:vMerge w:val="restart"/>
            <w:vAlign w:val="center"/>
          </w:tcPr>
          <w:p w14:paraId="4F5B9401">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rPr>
              <w:t>责任单位</w:t>
            </w:r>
          </w:p>
        </w:tc>
      </w:tr>
      <w:tr w14:paraId="0424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5" w:type="dxa"/>
            <w:vMerge w:val="continue"/>
            <w:vAlign w:val="center"/>
          </w:tcPr>
          <w:p w14:paraId="3FE2B922">
            <w:pPr>
              <w:keepNext w:val="0"/>
              <w:keepLines w:val="0"/>
              <w:pageBreakBefore w:val="0"/>
              <w:widowControl w:val="0"/>
              <w:kinsoku/>
              <w:wordWrap/>
              <w:overflowPunct/>
              <w:topLinePunct w:val="0"/>
              <w:autoSpaceDE/>
              <w:autoSpaceDN/>
              <w:bidi w:val="0"/>
              <w:adjustRightInd/>
              <w:snapToGrid/>
              <w:spacing w:line="340" w:lineRule="exact"/>
              <w:textAlignment w:val="auto"/>
            </w:pPr>
          </w:p>
        </w:tc>
        <w:tc>
          <w:tcPr>
            <w:tcW w:w="1448" w:type="dxa"/>
            <w:vMerge w:val="continue"/>
            <w:vAlign w:val="center"/>
          </w:tcPr>
          <w:p w14:paraId="6F7E35D6">
            <w:pPr>
              <w:keepNext w:val="0"/>
              <w:keepLines w:val="0"/>
              <w:pageBreakBefore w:val="0"/>
              <w:widowControl w:val="0"/>
              <w:kinsoku/>
              <w:wordWrap/>
              <w:overflowPunct/>
              <w:topLinePunct w:val="0"/>
              <w:autoSpaceDE/>
              <w:autoSpaceDN/>
              <w:bidi w:val="0"/>
              <w:adjustRightInd/>
              <w:snapToGrid/>
              <w:spacing w:line="340" w:lineRule="exact"/>
              <w:textAlignment w:val="auto"/>
            </w:pPr>
          </w:p>
        </w:tc>
        <w:tc>
          <w:tcPr>
            <w:tcW w:w="1848" w:type="dxa"/>
            <w:vAlign w:val="center"/>
          </w:tcPr>
          <w:p w14:paraId="3C2F6169">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rPr>
              <w:t>2</w:t>
            </w:r>
            <w:r>
              <w:t>021</w:t>
            </w:r>
            <w:r>
              <w:rPr>
                <w:rFonts w:hint="eastAsia"/>
              </w:rPr>
              <w:t>年</w:t>
            </w:r>
          </w:p>
        </w:tc>
        <w:tc>
          <w:tcPr>
            <w:tcW w:w="1892" w:type="dxa"/>
            <w:vAlign w:val="center"/>
          </w:tcPr>
          <w:p w14:paraId="3AC919DD">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rPr>
              <w:t>2</w:t>
            </w:r>
            <w:r>
              <w:t>022</w:t>
            </w:r>
            <w:r>
              <w:rPr>
                <w:rFonts w:hint="eastAsia"/>
              </w:rPr>
              <w:t>年</w:t>
            </w:r>
          </w:p>
        </w:tc>
        <w:tc>
          <w:tcPr>
            <w:tcW w:w="1871" w:type="dxa"/>
            <w:gridSpan w:val="2"/>
            <w:vAlign w:val="center"/>
          </w:tcPr>
          <w:p w14:paraId="156FCF50">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rPr>
              <w:t>2</w:t>
            </w:r>
            <w:r>
              <w:t>023</w:t>
            </w:r>
            <w:r>
              <w:rPr>
                <w:rFonts w:hint="eastAsia"/>
              </w:rPr>
              <w:t>年</w:t>
            </w:r>
          </w:p>
        </w:tc>
        <w:tc>
          <w:tcPr>
            <w:tcW w:w="1870" w:type="dxa"/>
            <w:vAlign w:val="center"/>
          </w:tcPr>
          <w:p w14:paraId="4DF7A3E7">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rPr>
              <w:t>2</w:t>
            </w:r>
            <w:r>
              <w:t>024</w:t>
            </w:r>
            <w:r>
              <w:rPr>
                <w:rFonts w:hint="eastAsia"/>
              </w:rPr>
              <w:t>年</w:t>
            </w:r>
          </w:p>
        </w:tc>
        <w:tc>
          <w:tcPr>
            <w:tcW w:w="1871" w:type="dxa"/>
            <w:vAlign w:val="center"/>
          </w:tcPr>
          <w:p w14:paraId="4E3FA5FE">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rPr>
              <w:t>2</w:t>
            </w:r>
            <w:r>
              <w:t>025</w:t>
            </w:r>
            <w:r>
              <w:rPr>
                <w:rFonts w:hint="eastAsia"/>
              </w:rPr>
              <w:t>年</w:t>
            </w:r>
          </w:p>
        </w:tc>
        <w:tc>
          <w:tcPr>
            <w:tcW w:w="2937" w:type="dxa"/>
            <w:vMerge w:val="continue"/>
            <w:vAlign w:val="center"/>
          </w:tcPr>
          <w:p w14:paraId="1721FC39">
            <w:pPr>
              <w:keepNext w:val="0"/>
              <w:keepLines w:val="0"/>
              <w:pageBreakBefore w:val="0"/>
              <w:widowControl w:val="0"/>
              <w:kinsoku/>
              <w:wordWrap/>
              <w:overflowPunct/>
              <w:topLinePunct w:val="0"/>
              <w:autoSpaceDE/>
              <w:autoSpaceDN/>
              <w:bidi w:val="0"/>
              <w:adjustRightInd/>
              <w:snapToGrid/>
              <w:spacing w:line="340" w:lineRule="exact"/>
              <w:textAlignment w:val="auto"/>
            </w:pPr>
          </w:p>
        </w:tc>
      </w:tr>
      <w:tr w14:paraId="74E3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5" w:type="dxa"/>
            <w:vMerge w:val="restart"/>
            <w:vAlign w:val="center"/>
          </w:tcPr>
          <w:p w14:paraId="18DF0FAD">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rPr>
              <w:t>建筑节能</w:t>
            </w:r>
          </w:p>
        </w:tc>
        <w:tc>
          <w:tcPr>
            <w:tcW w:w="1448" w:type="dxa"/>
            <w:vMerge w:val="restart"/>
            <w:vAlign w:val="center"/>
          </w:tcPr>
          <w:p w14:paraId="270355D9">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提升建筑能源利用效率</w:t>
            </w:r>
          </w:p>
        </w:tc>
        <w:tc>
          <w:tcPr>
            <w:tcW w:w="9352" w:type="dxa"/>
            <w:gridSpan w:val="6"/>
            <w:vAlign w:val="center"/>
          </w:tcPr>
          <w:p w14:paraId="1AB36616">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严格执行国家、省建筑节能强制性标准要求，率先严格执行《建筑节能与可再生能源利用通用规范》GB 55015-2021。</w:t>
            </w:r>
          </w:p>
        </w:tc>
        <w:tc>
          <w:tcPr>
            <w:tcW w:w="2937" w:type="dxa"/>
            <w:vMerge w:val="restart"/>
            <w:vAlign w:val="center"/>
          </w:tcPr>
          <w:p w14:paraId="6969A96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lang w:val="en" w:eastAsia="zh-CN"/>
              </w:rPr>
            </w:pPr>
            <w:r>
              <w:rPr>
                <w:rFonts w:hint="eastAsia"/>
              </w:rPr>
              <w:t>珠海市住房和城乡建设局</w:t>
            </w:r>
            <w:r>
              <w:rPr>
                <w:rFonts w:hint="eastAsia"/>
                <w:lang w:val="en"/>
              </w:rPr>
              <w:t>,</w:t>
            </w:r>
            <w:r>
              <w:rPr>
                <w:rFonts w:hint="eastAsia"/>
                <w:lang w:val="en" w:eastAsia="zh-CN"/>
              </w:rPr>
              <w:t>各区（功能区）</w:t>
            </w:r>
          </w:p>
          <w:p w14:paraId="377AEA5D">
            <w:pPr>
              <w:spacing w:line="340" w:lineRule="exact"/>
              <w:textAlignment w:val="auto"/>
              <w:rPr>
                <w:rFonts w:hint="eastAsia"/>
                <w:lang w:val="en" w:eastAsia="zh-CN"/>
              </w:rPr>
            </w:pPr>
            <w:r>
              <w:rPr>
                <w:rFonts w:hint="eastAsia"/>
                <w:lang w:val="en" w:eastAsia="zh-CN"/>
              </w:rPr>
              <w:t>以下各项任务均需各区（功能区）落实，不再列出。</w:t>
            </w:r>
          </w:p>
        </w:tc>
      </w:tr>
      <w:tr w14:paraId="786D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5" w:type="dxa"/>
            <w:vMerge w:val="continue"/>
            <w:vAlign w:val="center"/>
          </w:tcPr>
          <w:p w14:paraId="5FA16FE6">
            <w:pPr>
              <w:keepNext w:val="0"/>
              <w:keepLines w:val="0"/>
              <w:pageBreakBefore w:val="0"/>
              <w:widowControl w:val="0"/>
              <w:kinsoku/>
              <w:wordWrap/>
              <w:overflowPunct/>
              <w:topLinePunct w:val="0"/>
              <w:autoSpaceDE/>
              <w:autoSpaceDN/>
              <w:bidi w:val="0"/>
              <w:adjustRightInd/>
              <w:snapToGrid/>
              <w:spacing w:line="340" w:lineRule="exact"/>
              <w:textAlignment w:val="auto"/>
            </w:pPr>
          </w:p>
        </w:tc>
        <w:tc>
          <w:tcPr>
            <w:tcW w:w="1448" w:type="dxa"/>
            <w:vMerge w:val="continue"/>
            <w:vAlign w:val="center"/>
          </w:tcPr>
          <w:p w14:paraId="5E6C6D53">
            <w:pPr>
              <w:keepNext w:val="0"/>
              <w:keepLines w:val="0"/>
              <w:pageBreakBefore w:val="0"/>
              <w:widowControl w:val="0"/>
              <w:kinsoku/>
              <w:wordWrap/>
              <w:overflowPunct/>
              <w:topLinePunct w:val="0"/>
              <w:autoSpaceDE/>
              <w:autoSpaceDN/>
              <w:bidi w:val="0"/>
              <w:adjustRightInd/>
              <w:snapToGrid/>
              <w:spacing w:line="340" w:lineRule="exact"/>
              <w:textAlignment w:val="auto"/>
            </w:pPr>
          </w:p>
        </w:tc>
        <w:tc>
          <w:tcPr>
            <w:tcW w:w="1848" w:type="dxa"/>
            <w:vAlign w:val="center"/>
          </w:tcPr>
          <w:p w14:paraId="5AC1640F">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rPr>
              <w:t>/</w:t>
            </w:r>
          </w:p>
        </w:tc>
        <w:tc>
          <w:tcPr>
            <w:tcW w:w="7504" w:type="dxa"/>
            <w:gridSpan w:val="5"/>
            <w:vAlign w:val="center"/>
          </w:tcPr>
          <w:p w14:paraId="01E1C191">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1、政府投资项目积极采用超低能耗建筑标准建设；</w:t>
            </w:r>
          </w:p>
          <w:p w14:paraId="3CE64200">
            <w:pPr>
              <w:keepNext w:val="0"/>
              <w:keepLines w:val="0"/>
              <w:pageBreakBefore w:val="0"/>
              <w:widowControl w:val="0"/>
              <w:kinsoku/>
              <w:wordWrap/>
              <w:overflowPunct/>
              <w:topLinePunct w:val="0"/>
              <w:autoSpaceDE/>
              <w:autoSpaceDN/>
              <w:bidi w:val="0"/>
              <w:adjustRightInd/>
              <w:snapToGrid/>
              <w:spacing w:line="340" w:lineRule="exact"/>
              <w:textAlignment w:val="auto"/>
            </w:pPr>
            <w:r>
              <w:t>2</w:t>
            </w:r>
            <w:r>
              <w:rPr>
                <w:rFonts w:hint="eastAsia"/>
              </w:rPr>
              <w:t>、与科研机构、高校等单位合作，开展有珠海特色的超低能耗建筑技术路线、指标体系研究，总结提炼规划、设计、施工、运行维护等环节共性关键技术，力争到2</w:t>
            </w:r>
            <w:r>
              <w:t>025</w:t>
            </w:r>
            <w:r>
              <w:rPr>
                <w:rFonts w:hint="eastAsia"/>
              </w:rPr>
              <w:t>年建成</w:t>
            </w:r>
            <w:r>
              <w:t>50</w:t>
            </w:r>
            <w:r>
              <w:rPr>
                <w:rFonts w:hint="eastAsia"/>
                <w:lang w:eastAsia="zh-CN"/>
              </w:rPr>
              <w:t>万</w:t>
            </w:r>
            <w:r>
              <w:rPr>
                <w:rFonts w:hint="eastAsia"/>
              </w:rPr>
              <w:t>平方米超低能耗、近零能耗建筑示范项目。</w:t>
            </w:r>
          </w:p>
        </w:tc>
        <w:tc>
          <w:tcPr>
            <w:tcW w:w="2937" w:type="dxa"/>
            <w:vMerge w:val="continue"/>
            <w:vAlign w:val="center"/>
          </w:tcPr>
          <w:p w14:paraId="44CA55FC">
            <w:pPr>
              <w:keepNext w:val="0"/>
              <w:keepLines w:val="0"/>
              <w:pageBreakBefore w:val="0"/>
              <w:widowControl w:val="0"/>
              <w:kinsoku/>
              <w:wordWrap/>
              <w:overflowPunct/>
              <w:topLinePunct w:val="0"/>
              <w:autoSpaceDE/>
              <w:autoSpaceDN/>
              <w:bidi w:val="0"/>
              <w:adjustRightInd/>
              <w:snapToGrid/>
              <w:spacing w:line="340" w:lineRule="exact"/>
              <w:textAlignment w:val="auto"/>
            </w:pPr>
          </w:p>
        </w:tc>
      </w:tr>
      <w:tr w14:paraId="2302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5" w:type="dxa"/>
            <w:vMerge w:val="continue"/>
            <w:vAlign w:val="center"/>
          </w:tcPr>
          <w:p w14:paraId="6EEE83E8">
            <w:pPr>
              <w:keepNext w:val="0"/>
              <w:keepLines w:val="0"/>
              <w:pageBreakBefore w:val="0"/>
              <w:widowControl w:val="0"/>
              <w:kinsoku/>
              <w:wordWrap/>
              <w:overflowPunct/>
              <w:topLinePunct w:val="0"/>
              <w:autoSpaceDE/>
              <w:autoSpaceDN/>
              <w:bidi w:val="0"/>
              <w:adjustRightInd/>
              <w:snapToGrid/>
              <w:spacing w:line="340" w:lineRule="exact"/>
              <w:textAlignment w:val="auto"/>
            </w:pPr>
          </w:p>
        </w:tc>
        <w:tc>
          <w:tcPr>
            <w:tcW w:w="1448" w:type="dxa"/>
            <w:vMerge w:val="continue"/>
            <w:vAlign w:val="center"/>
          </w:tcPr>
          <w:p w14:paraId="521B4003">
            <w:pPr>
              <w:keepNext w:val="0"/>
              <w:keepLines w:val="0"/>
              <w:pageBreakBefore w:val="0"/>
              <w:widowControl w:val="0"/>
              <w:kinsoku/>
              <w:wordWrap/>
              <w:overflowPunct/>
              <w:topLinePunct w:val="0"/>
              <w:autoSpaceDE/>
              <w:autoSpaceDN/>
              <w:bidi w:val="0"/>
              <w:adjustRightInd/>
              <w:snapToGrid/>
              <w:spacing w:line="340" w:lineRule="exact"/>
              <w:textAlignment w:val="auto"/>
            </w:pPr>
          </w:p>
        </w:tc>
        <w:tc>
          <w:tcPr>
            <w:tcW w:w="3751" w:type="dxa"/>
            <w:gridSpan w:val="3"/>
            <w:vAlign w:val="center"/>
          </w:tcPr>
          <w:p w14:paraId="5D64266A">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1、研究在高星级绿色建筑、超低能耗建筑等各类示范项目中，将可再生能源建筑应用比例作为约束性指标；</w:t>
            </w:r>
          </w:p>
          <w:p w14:paraId="1E931277">
            <w:pPr>
              <w:keepNext w:val="0"/>
              <w:keepLines w:val="0"/>
              <w:pageBreakBefore w:val="0"/>
              <w:widowControl w:val="0"/>
              <w:kinsoku/>
              <w:wordWrap/>
              <w:overflowPunct/>
              <w:topLinePunct w:val="0"/>
              <w:autoSpaceDE/>
              <w:autoSpaceDN/>
              <w:bidi w:val="0"/>
              <w:adjustRightInd/>
              <w:snapToGrid/>
              <w:spacing w:line="340" w:lineRule="exact"/>
              <w:textAlignment w:val="auto"/>
            </w:pPr>
            <w:r>
              <w:t>2</w:t>
            </w:r>
            <w:r>
              <w:rPr>
                <w:rFonts w:hint="eastAsia"/>
              </w:rPr>
              <w:t>、对现有工业园区厂房开展调研，掌握可用于安装太阳能光伏系统的屋顶面积，制定既有工业厂房光伏化屋顶计划。</w:t>
            </w:r>
          </w:p>
        </w:tc>
        <w:tc>
          <w:tcPr>
            <w:tcW w:w="5601" w:type="dxa"/>
            <w:gridSpan w:val="3"/>
            <w:vAlign w:val="center"/>
          </w:tcPr>
          <w:p w14:paraId="5ECA5FC8">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1、保障性住房、政府投资的公益性建筑和大型公共建筑使用可再生能源，新建、既有工业厂房采用分布式光伏系统；</w:t>
            </w:r>
          </w:p>
          <w:p w14:paraId="2EA338E7">
            <w:pPr>
              <w:keepNext w:val="0"/>
              <w:keepLines w:val="0"/>
              <w:pageBreakBefore w:val="0"/>
              <w:widowControl w:val="0"/>
              <w:kinsoku/>
              <w:wordWrap/>
              <w:overflowPunct/>
              <w:topLinePunct w:val="0"/>
              <w:autoSpaceDE/>
              <w:autoSpaceDN/>
              <w:bidi w:val="0"/>
              <w:adjustRightInd/>
              <w:snapToGrid/>
              <w:spacing w:line="340" w:lineRule="exact"/>
              <w:textAlignment w:val="auto"/>
            </w:pPr>
            <w:r>
              <w:t>2</w:t>
            </w:r>
            <w:r>
              <w:rPr>
                <w:rFonts w:hint="eastAsia"/>
              </w:rPr>
              <w:t>、根据实际情况，在“十四五”期间，每年新增太阳能光电建筑应用装机容量</w:t>
            </w:r>
            <w:r>
              <w:t>40</w:t>
            </w:r>
            <w:r>
              <w:rPr>
                <w:rFonts w:hint="eastAsia"/>
              </w:rPr>
              <w:t>兆瓦以上。</w:t>
            </w:r>
          </w:p>
        </w:tc>
        <w:tc>
          <w:tcPr>
            <w:tcW w:w="2937" w:type="dxa"/>
            <w:vAlign w:val="center"/>
          </w:tcPr>
          <w:p w14:paraId="6720AE28">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珠海市住房和城乡建设局、珠海市发展和改革局、珠海市工业和信息化局、珠海市财政局</w:t>
            </w:r>
          </w:p>
        </w:tc>
      </w:tr>
      <w:tr w14:paraId="6F9B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vAlign w:val="center"/>
          </w:tcPr>
          <w:p w14:paraId="543AA64A">
            <w:pPr>
              <w:keepNext w:val="0"/>
              <w:keepLines w:val="0"/>
              <w:pageBreakBefore w:val="0"/>
              <w:widowControl w:val="0"/>
              <w:kinsoku/>
              <w:wordWrap/>
              <w:overflowPunct/>
              <w:topLinePunct w:val="0"/>
              <w:autoSpaceDE/>
              <w:autoSpaceDN/>
              <w:bidi w:val="0"/>
              <w:adjustRightInd/>
              <w:snapToGrid/>
              <w:spacing w:line="340" w:lineRule="exact"/>
              <w:textAlignment w:val="auto"/>
            </w:pPr>
          </w:p>
        </w:tc>
        <w:tc>
          <w:tcPr>
            <w:tcW w:w="1448" w:type="dxa"/>
            <w:vAlign w:val="center"/>
          </w:tcPr>
          <w:p w14:paraId="379A1C85">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拓宽建筑节能改造渠道</w:t>
            </w:r>
          </w:p>
        </w:tc>
        <w:tc>
          <w:tcPr>
            <w:tcW w:w="3751" w:type="dxa"/>
            <w:gridSpan w:val="3"/>
          </w:tcPr>
          <w:p w14:paraId="65794D44">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结合珠海市历年能耗监测、能源审计数据，按年份对既有建筑进行节能改造潜力评估。</w:t>
            </w:r>
          </w:p>
        </w:tc>
        <w:tc>
          <w:tcPr>
            <w:tcW w:w="5601" w:type="dxa"/>
            <w:gridSpan w:val="3"/>
            <w:vAlign w:val="center"/>
          </w:tcPr>
          <w:p w14:paraId="33F1752E">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根据实际每年完成</w:t>
            </w:r>
            <w:r>
              <w:t>90</w:t>
            </w:r>
            <w:r>
              <w:rPr>
                <w:rFonts w:hint="eastAsia"/>
              </w:rPr>
              <w:t>万平方米以上绿色节能改造。</w:t>
            </w:r>
          </w:p>
        </w:tc>
        <w:tc>
          <w:tcPr>
            <w:tcW w:w="2937" w:type="dxa"/>
            <w:vAlign w:val="center"/>
          </w:tcPr>
          <w:p w14:paraId="1777EBDC">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珠海市住房和城乡建设局、珠海市财政局、珠海市自然资源局</w:t>
            </w:r>
          </w:p>
        </w:tc>
      </w:tr>
      <w:tr w14:paraId="6AF4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vAlign w:val="center"/>
          </w:tcPr>
          <w:p w14:paraId="21427379">
            <w:pPr>
              <w:keepNext w:val="0"/>
              <w:keepLines w:val="0"/>
              <w:pageBreakBefore w:val="0"/>
              <w:widowControl w:val="0"/>
              <w:kinsoku/>
              <w:wordWrap/>
              <w:overflowPunct/>
              <w:topLinePunct w:val="0"/>
              <w:autoSpaceDE/>
              <w:autoSpaceDN/>
              <w:bidi w:val="0"/>
              <w:adjustRightInd/>
              <w:snapToGrid/>
              <w:spacing w:line="340" w:lineRule="exact"/>
              <w:textAlignment w:val="auto"/>
            </w:pPr>
          </w:p>
        </w:tc>
        <w:tc>
          <w:tcPr>
            <w:tcW w:w="1448" w:type="dxa"/>
            <w:vAlign w:val="center"/>
          </w:tcPr>
          <w:p w14:paraId="408167BD">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加强建筑低碳能力建设</w:t>
            </w:r>
          </w:p>
        </w:tc>
        <w:tc>
          <w:tcPr>
            <w:tcW w:w="3751" w:type="dxa"/>
            <w:gridSpan w:val="3"/>
            <w:vAlign w:val="center"/>
          </w:tcPr>
          <w:p w14:paraId="54DBA4E5">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开展我市建筑领域碳排放基础数据搜集分析，结合广东省下达3060双碳行动目标，出台碳达峰行动方案。</w:t>
            </w:r>
          </w:p>
        </w:tc>
        <w:tc>
          <w:tcPr>
            <w:tcW w:w="5601" w:type="dxa"/>
            <w:gridSpan w:val="3"/>
            <w:vAlign w:val="center"/>
          </w:tcPr>
          <w:p w14:paraId="74F3F119">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1、落实珠海市碳达峰行动中建筑碳排放控制任务，会同能源管理部门开展区域能源评估与数据共享；</w:t>
            </w:r>
          </w:p>
          <w:p w14:paraId="323C1C67">
            <w:pPr>
              <w:keepNext w:val="0"/>
              <w:keepLines w:val="0"/>
              <w:pageBreakBefore w:val="0"/>
              <w:widowControl w:val="0"/>
              <w:kinsoku/>
              <w:wordWrap/>
              <w:overflowPunct/>
              <w:topLinePunct w:val="0"/>
              <w:autoSpaceDE/>
              <w:autoSpaceDN/>
              <w:bidi w:val="0"/>
              <w:adjustRightInd/>
              <w:snapToGrid/>
              <w:spacing w:line="340" w:lineRule="exact"/>
              <w:textAlignment w:val="auto"/>
            </w:pPr>
            <w:r>
              <w:t>2</w:t>
            </w:r>
            <w:r>
              <w:rPr>
                <w:rFonts w:hint="eastAsia"/>
              </w:rPr>
              <w:t>、加强公共建筑用能管理，统筹分析应用能耗统计、能源审计、能耗监测等数据信息，开展能耗信息公示及披露试点。</w:t>
            </w:r>
          </w:p>
        </w:tc>
        <w:tc>
          <w:tcPr>
            <w:tcW w:w="2937" w:type="dxa"/>
            <w:vAlign w:val="center"/>
          </w:tcPr>
          <w:p w14:paraId="41B9F78C">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珠海市住房和城乡建设局、广东电网公司珠海供电局、珠海市机关事务管理局</w:t>
            </w:r>
          </w:p>
        </w:tc>
      </w:tr>
    </w:tbl>
    <w:p w14:paraId="7287859E">
      <w:pPr>
        <w:keepNext w:val="0"/>
        <w:keepLines w:val="0"/>
        <w:pageBreakBefore w:val="0"/>
        <w:kinsoku/>
        <w:wordWrap/>
        <w:overflowPunct/>
        <w:topLinePunct w:val="0"/>
        <w:autoSpaceDE/>
        <w:autoSpaceDN/>
        <w:bidi w:val="0"/>
        <w:spacing w:line="520" w:lineRule="exact"/>
      </w:pPr>
    </w:p>
    <w:p w14:paraId="5740235E">
      <w:pPr>
        <w:keepNext w:val="0"/>
        <w:keepLines w:val="0"/>
        <w:pageBreakBefore w:val="0"/>
        <w:widowControl/>
        <w:kinsoku/>
        <w:wordWrap/>
        <w:overflowPunct/>
        <w:topLinePunct w:val="0"/>
        <w:autoSpaceDE/>
        <w:autoSpaceDN/>
        <w:bidi w:val="0"/>
        <w:spacing w:line="520" w:lineRule="exact"/>
        <w:jc w:val="left"/>
      </w:pPr>
      <w:r>
        <w:br w:type="page"/>
      </w:r>
    </w:p>
    <w:tbl>
      <w:tblPr>
        <w:tblStyle w:val="22"/>
        <w:tblW w:w="14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448"/>
        <w:gridCol w:w="1848"/>
        <w:gridCol w:w="22"/>
        <w:gridCol w:w="916"/>
        <w:gridCol w:w="954"/>
        <w:gridCol w:w="907"/>
        <w:gridCol w:w="964"/>
        <w:gridCol w:w="1870"/>
        <w:gridCol w:w="1871"/>
        <w:gridCol w:w="2937"/>
      </w:tblGrid>
      <w:tr w14:paraId="7062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5" w:type="dxa"/>
            <w:vMerge w:val="restart"/>
            <w:vAlign w:val="center"/>
          </w:tcPr>
          <w:p w14:paraId="40AC6416">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rPr>
              <w:t>重点任务</w:t>
            </w:r>
          </w:p>
          <w:p w14:paraId="2841B227">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rPr>
              <w:t>板块</w:t>
            </w:r>
          </w:p>
        </w:tc>
        <w:tc>
          <w:tcPr>
            <w:tcW w:w="1448" w:type="dxa"/>
            <w:vMerge w:val="restart"/>
            <w:vAlign w:val="center"/>
          </w:tcPr>
          <w:p w14:paraId="7FC8D134">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rPr>
              <w:t>重点任务</w:t>
            </w:r>
          </w:p>
        </w:tc>
        <w:tc>
          <w:tcPr>
            <w:tcW w:w="9352" w:type="dxa"/>
            <w:gridSpan w:val="8"/>
            <w:vAlign w:val="center"/>
          </w:tcPr>
          <w:p w14:paraId="666E2077">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rPr>
              <w:t>具体规划措施</w:t>
            </w:r>
          </w:p>
        </w:tc>
        <w:tc>
          <w:tcPr>
            <w:tcW w:w="2937" w:type="dxa"/>
            <w:vMerge w:val="restart"/>
            <w:vAlign w:val="center"/>
          </w:tcPr>
          <w:p w14:paraId="43F738FF">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rPr>
              <w:t>责任单位</w:t>
            </w:r>
          </w:p>
        </w:tc>
      </w:tr>
      <w:tr w14:paraId="7B8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15" w:type="dxa"/>
            <w:vMerge w:val="continue"/>
            <w:vAlign w:val="center"/>
          </w:tcPr>
          <w:p w14:paraId="7B9C6667">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1448" w:type="dxa"/>
            <w:vMerge w:val="continue"/>
            <w:vAlign w:val="center"/>
          </w:tcPr>
          <w:p w14:paraId="4F89E663">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1848" w:type="dxa"/>
            <w:vAlign w:val="center"/>
          </w:tcPr>
          <w:p w14:paraId="2185B7A4">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rPr>
              <w:t>2</w:t>
            </w:r>
            <w:r>
              <w:t>021</w:t>
            </w:r>
            <w:r>
              <w:rPr>
                <w:rFonts w:hint="eastAsia"/>
              </w:rPr>
              <w:t>年</w:t>
            </w:r>
          </w:p>
        </w:tc>
        <w:tc>
          <w:tcPr>
            <w:tcW w:w="1892" w:type="dxa"/>
            <w:gridSpan w:val="3"/>
            <w:vAlign w:val="center"/>
          </w:tcPr>
          <w:p w14:paraId="690507BF">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rPr>
              <w:t>2</w:t>
            </w:r>
            <w:r>
              <w:t>022</w:t>
            </w:r>
            <w:r>
              <w:rPr>
                <w:rFonts w:hint="eastAsia"/>
              </w:rPr>
              <w:t>年</w:t>
            </w:r>
          </w:p>
        </w:tc>
        <w:tc>
          <w:tcPr>
            <w:tcW w:w="1871" w:type="dxa"/>
            <w:gridSpan w:val="2"/>
            <w:vAlign w:val="center"/>
          </w:tcPr>
          <w:p w14:paraId="2B6EDA76">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rPr>
              <w:t>2</w:t>
            </w:r>
            <w:r>
              <w:t>023</w:t>
            </w:r>
            <w:r>
              <w:rPr>
                <w:rFonts w:hint="eastAsia"/>
              </w:rPr>
              <w:t>年</w:t>
            </w:r>
          </w:p>
        </w:tc>
        <w:tc>
          <w:tcPr>
            <w:tcW w:w="1870" w:type="dxa"/>
            <w:vAlign w:val="center"/>
          </w:tcPr>
          <w:p w14:paraId="31D1F61E">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rPr>
              <w:t>2</w:t>
            </w:r>
            <w:r>
              <w:t>024</w:t>
            </w:r>
            <w:r>
              <w:rPr>
                <w:rFonts w:hint="eastAsia"/>
              </w:rPr>
              <w:t>年</w:t>
            </w:r>
          </w:p>
        </w:tc>
        <w:tc>
          <w:tcPr>
            <w:tcW w:w="1871" w:type="dxa"/>
            <w:vAlign w:val="center"/>
          </w:tcPr>
          <w:p w14:paraId="36068FE2">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rPr>
              <w:t>2</w:t>
            </w:r>
            <w:r>
              <w:t>025</w:t>
            </w:r>
            <w:r>
              <w:rPr>
                <w:rFonts w:hint="eastAsia"/>
              </w:rPr>
              <w:t>年</w:t>
            </w:r>
          </w:p>
        </w:tc>
        <w:tc>
          <w:tcPr>
            <w:tcW w:w="2937" w:type="dxa"/>
            <w:vMerge w:val="continue"/>
            <w:vAlign w:val="center"/>
          </w:tcPr>
          <w:p w14:paraId="774C9208">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14:paraId="5DBC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5" w:type="dxa"/>
            <w:vMerge w:val="restart"/>
            <w:vAlign w:val="center"/>
          </w:tcPr>
          <w:p w14:paraId="4FCACA41">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rPr>
              <w:t>绿色建筑</w:t>
            </w:r>
          </w:p>
        </w:tc>
        <w:tc>
          <w:tcPr>
            <w:tcW w:w="1448" w:type="dxa"/>
            <w:vMerge w:val="restart"/>
            <w:vAlign w:val="center"/>
          </w:tcPr>
          <w:p w14:paraId="0A5E68B1">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促进绿色建筑高质量发展</w:t>
            </w:r>
          </w:p>
        </w:tc>
        <w:tc>
          <w:tcPr>
            <w:tcW w:w="9352" w:type="dxa"/>
            <w:gridSpan w:val="8"/>
            <w:vAlign w:val="center"/>
          </w:tcPr>
          <w:p w14:paraId="6097D2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贯彻落实《广东省绿色建筑条例》，城镇新建民用建筑全面按照绿色建筑标准进行建设，严格执行《广东省绿色建筑设计规范》，加强绿色建筑施工图审查。</w:t>
            </w:r>
          </w:p>
        </w:tc>
        <w:tc>
          <w:tcPr>
            <w:tcW w:w="2937" w:type="dxa"/>
            <w:vMerge w:val="restart"/>
            <w:vAlign w:val="center"/>
          </w:tcPr>
          <w:p w14:paraId="089FCFDA">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珠海市住房和城乡建设局</w:t>
            </w:r>
          </w:p>
        </w:tc>
      </w:tr>
      <w:tr w14:paraId="0F31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5" w:type="dxa"/>
            <w:vMerge w:val="continue"/>
            <w:vAlign w:val="center"/>
          </w:tcPr>
          <w:p w14:paraId="16145D12">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1448" w:type="dxa"/>
            <w:vMerge w:val="continue"/>
            <w:vAlign w:val="center"/>
          </w:tcPr>
          <w:p w14:paraId="0E616E3A">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2786" w:type="dxa"/>
            <w:gridSpan w:val="3"/>
            <w:vAlign w:val="center"/>
          </w:tcPr>
          <w:p w14:paraId="01859401">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rPr>
              <w:t>/</w:t>
            </w:r>
          </w:p>
        </w:tc>
        <w:tc>
          <w:tcPr>
            <w:tcW w:w="6566" w:type="dxa"/>
            <w:gridSpan w:val="5"/>
            <w:vAlign w:val="center"/>
          </w:tcPr>
          <w:p w14:paraId="49BD7285">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1、政府投资（国有资金投资）项目的科研类、文化类公共建筑、超高层建筑执行三星级标准；以政府投资为主的办公建筑执行二星级或以上标准；政府投资为主，或非政府投资的2万平方米以上的体育类、商业类、酒店类、公共交通类建筑按二星级或以上标准；其他2万平方米以上的公建，10万平方米以上的居住小区按二星级或以上标准；</w:t>
            </w:r>
          </w:p>
          <w:p w14:paraId="311CC901">
            <w:pPr>
              <w:keepNext w:val="0"/>
              <w:keepLines w:val="0"/>
              <w:pageBreakBefore w:val="0"/>
              <w:widowControl w:val="0"/>
              <w:kinsoku/>
              <w:wordWrap/>
              <w:overflowPunct/>
              <w:topLinePunct w:val="0"/>
              <w:autoSpaceDE/>
              <w:autoSpaceDN/>
              <w:bidi w:val="0"/>
              <w:adjustRightInd/>
              <w:snapToGrid/>
              <w:spacing w:line="360" w:lineRule="exact"/>
              <w:textAlignment w:val="auto"/>
            </w:pPr>
            <w:r>
              <w:t>2</w:t>
            </w:r>
            <w:r>
              <w:rPr>
                <w:rFonts w:hint="eastAsia"/>
              </w:rPr>
              <w:t>、每年创建不少于</w:t>
            </w:r>
            <w:r>
              <w:t>5</w:t>
            </w:r>
            <w:r>
              <w:rPr>
                <w:rFonts w:hint="eastAsia"/>
              </w:rPr>
              <w:t>个高星级绿色建筑示范项目。</w:t>
            </w:r>
          </w:p>
        </w:tc>
        <w:tc>
          <w:tcPr>
            <w:tcW w:w="2937" w:type="dxa"/>
            <w:vMerge w:val="continue"/>
            <w:vAlign w:val="center"/>
          </w:tcPr>
          <w:p w14:paraId="4B1129E5">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14:paraId="1BA1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vAlign w:val="center"/>
          </w:tcPr>
          <w:p w14:paraId="58BB2C29">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1448" w:type="dxa"/>
            <w:vAlign w:val="center"/>
          </w:tcPr>
          <w:p w14:paraId="0A629E87">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强化建筑智能健康属性</w:t>
            </w:r>
          </w:p>
        </w:tc>
        <w:tc>
          <w:tcPr>
            <w:tcW w:w="4647" w:type="dxa"/>
            <w:gridSpan w:val="5"/>
            <w:vAlign w:val="center"/>
          </w:tcPr>
          <w:p w14:paraId="3E72935F">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1、与科研机构、高校等单位合作，开展有珠海特色的健康住宅技术路线研究；</w:t>
            </w:r>
          </w:p>
          <w:p w14:paraId="3020D40A">
            <w:pPr>
              <w:keepNext w:val="0"/>
              <w:keepLines w:val="0"/>
              <w:pageBreakBefore w:val="0"/>
              <w:widowControl w:val="0"/>
              <w:kinsoku/>
              <w:wordWrap/>
              <w:overflowPunct/>
              <w:topLinePunct w:val="0"/>
              <w:autoSpaceDE/>
              <w:autoSpaceDN/>
              <w:bidi w:val="0"/>
              <w:adjustRightInd/>
              <w:snapToGrid/>
              <w:spacing w:line="360" w:lineRule="exact"/>
              <w:textAlignment w:val="auto"/>
            </w:pPr>
            <w:r>
              <w:t>2</w:t>
            </w:r>
            <w:r>
              <w:rPr>
                <w:rFonts w:hint="eastAsia"/>
              </w:rPr>
              <w:t>、兼顾平疫结合，提高建筑室内空气品质、水质、隔声性能等方面的健康性能指标，提升建筑视觉和心理舒适性。</w:t>
            </w:r>
          </w:p>
        </w:tc>
        <w:tc>
          <w:tcPr>
            <w:tcW w:w="4705" w:type="dxa"/>
            <w:gridSpan w:val="3"/>
            <w:vAlign w:val="center"/>
          </w:tcPr>
          <w:p w14:paraId="6F8C0567">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关注全龄化需求、倡导气候适应性、突出岭南特色，力争2</w:t>
            </w:r>
            <w:r>
              <w:t>025</w:t>
            </w:r>
            <w:r>
              <w:rPr>
                <w:rFonts w:hint="eastAsia"/>
              </w:rPr>
              <w:t>年引导发展建筑健康性能提升示范项目</w:t>
            </w:r>
            <w:r>
              <w:t>5</w:t>
            </w:r>
            <w:r>
              <w:rPr>
                <w:rFonts w:hint="eastAsia"/>
              </w:rPr>
              <w:t>个。</w:t>
            </w:r>
          </w:p>
        </w:tc>
        <w:tc>
          <w:tcPr>
            <w:tcW w:w="2937" w:type="dxa"/>
            <w:vAlign w:val="center"/>
          </w:tcPr>
          <w:p w14:paraId="33691920">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珠海市住房和城乡建设局</w:t>
            </w:r>
          </w:p>
        </w:tc>
      </w:tr>
      <w:tr w14:paraId="6D40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vAlign w:val="center"/>
          </w:tcPr>
          <w:p w14:paraId="27BE1B5E">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1448" w:type="dxa"/>
            <w:vMerge w:val="restart"/>
            <w:vAlign w:val="center"/>
          </w:tcPr>
          <w:p w14:paraId="3A0F04E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完善绿色建筑全过程监管</w:t>
            </w:r>
          </w:p>
        </w:tc>
        <w:tc>
          <w:tcPr>
            <w:tcW w:w="9352" w:type="dxa"/>
            <w:gridSpan w:val="8"/>
            <w:vAlign w:val="center"/>
          </w:tcPr>
          <w:p w14:paraId="68AE3072">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1、贯彻落实《珠海市绿色建筑设计要点》、《珠海市绿色建筑施工图审查要点》、《珠海市绿色建筑工程质量控制要点》；</w:t>
            </w:r>
          </w:p>
          <w:p w14:paraId="5E85AFE7">
            <w:pPr>
              <w:keepNext w:val="0"/>
              <w:keepLines w:val="0"/>
              <w:pageBreakBefore w:val="0"/>
              <w:widowControl w:val="0"/>
              <w:kinsoku/>
              <w:wordWrap/>
              <w:overflowPunct/>
              <w:topLinePunct w:val="0"/>
              <w:autoSpaceDE/>
              <w:autoSpaceDN/>
              <w:bidi w:val="0"/>
              <w:adjustRightInd/>
              <w:snapToGrid/>
              <w:spacing w:line="360" w:lineRule="exact"/>
              <w:textAlignment w:val="auto"/>
            </w:pPr>
            <w:r>
              <w:t>2</w:t>
            </w:r>
            <w:r>
              <w:rPr>
                <w:rFonts w:hint="eastAsia"/>
              </w:rPr>
              <w:t>、依托“广东省绿色建筑信息平台”，实施绿色建筑标识认定全流程统一管理。</w:t>
            </w:r>
          </w:p>
        </w:tc>
        <w:tc>
          <w:tcPr>
            <w:tcW w:w="2937" w:type="dxa"/>
            <w:vMerge w:val="restart"/>
            <w:vAlign w:val="center"/>
          </w:tcPr>
          <w:p w14:paraId="0D789937">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珠海市住房和城乡建设局</w:t>
            </w:r>
          </w:p>
        </w:tc>
      </w:tr>
      <w:tr w14:paraId="574C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vAlign w:val="center"/>
          </w:tcPr>
          <w:p w14:paraId="4D85DBB8">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1448" w:type="dxa"/>
            <w:vMerge w:val="continue"/>
            <w:vAlign w:val="center"/>
          </w:tcPr>
          <w:p w14:paraId="4BEDD4D2">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1870" w:type="dxa"/>
            <w:gridSpan w:val="2"/>
            <w:vAlign w:val="center"/>
          </w:tcPr>
          <w:p w14:paraId="356A59E1">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rPr>
              <w:t>/</w:t>
            </w:r>
          </w:p>
        </w:tc>
        <w:tc>
          <w:tcPr>
            <w:tcW w:w="7482" w:type="dxa"/>
            <w:gridSpan w:val="6"/>
            <w:vAlign w:val="center"/>
          </w:tcPr>
          <w:p w14:paraId="6A4FB0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结合《广东省建筑节能与绿色建筑工程施工质量验收规范》与珠海市近年绿色建筑工程验收的相关工作经验，优化绿色建筑验收工作流程。</w:t>
            </w:r>
          </w:p>
        </w:tc>
        <w:tc>
          <w:tcPr>
            <w:tcW w:w="2937" w:type="dxa"/>
            <w:vMerge w:val="continue"/>
            <w:vAlign w:val="center"/>
          </w:tcPr>
          <w:p w14:paraId="2319DEA0">
            <w:pPr>
              <w:keepNext w:val="0"/>
              <w:keepLines w:val="0"/>
              <w:pageBreakBefore w:val="0"/>
              <w:widowControl w:val="0"/>
              <w:kinsoku/>
              <w:wordWrap/>
              <w:overflowPunct/>
              <w:topLinePunct w:val="0"/>
              <w:autoSpaceDE/>
              <w:autoSpaceDN/>
              <w:bidi w:val="0"/>
              <w:adjustRightInd/>
              <w:snapToGrid/>
              <w:spacing w:line="360" w:lineRule="exact"/>
              <w:textAlignment w:val="auto"/>
            </w:pPr>
          </w:p>
        </w:tc>
      </w:tr>
    </w:tbl>
    <w:p w14:paraId="0D95FEA1">
      <w:pPr>
        <w:keepNext w:val="0"/>
        <w:keepLines w:val="0"/>
        <w:pageBreakBefore w:val="0"/>
        <w:kinsoku/>
        <w:wordWrap/>
        <w:overflowPunct/>
        <w:topLinePunct w:val="0"/>
        <w:autoSpaceDE/>
        <w:autoSpaceDN/>
        <w:bidi w:val="0"/>
        <w:spacing w:line="520" w:lineRule="exact"/>
      </w:pPr>
    </w:p>
    <w:p w14:paraId="66FCEA8B">
      <w:pPr>
        <w:keepNext w:val="0"/>
        <w:keepLines w:val="0"/>
        <w:pageBreakBefore w:val="0"/>
        <w:widowControl/>
        <w:kinsoku/>
        <w:wordWrap/>
        <w:overflowPunct/>
        <w:topLinePunct w:val="0"/>
        <w:autoSpaceDE/>
        <w:autoSpaceDN/>
        <w:bidi w:val="0"/>
        <w:spacing w:line="520" w:lineRule="exact"/>
        <w:jc w:val="left"/>
      </w:pPr>
      <w:r>
        <w:br w:type="page"/>
      </w:r>
    </w:p>
    <w:tbl>
      <w:tblPr>
        <w:tblStyle w:val="22"/>
        <w:tblW w:w="14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445"/>
        <w:gridCol w:w="1848"/>
        <w:gridCol w:w="1895"/>
        <w:gridCol w:w="1872"/>
        <w:gridCol w:w="1872"/>
        <w:gridCol w:w="1875"/>
        <w:gridCol w:w="2934"/>
      </w:tblGrid>
      <w:tr w14:paraId="4DB2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811" w:type="dxa"/>
            <w:vMerge w:val="restart"/>
            <w:vAlign w:val="center"/>
          </w:tcPr>
          <w:p w14:paraId="1A85C5D2">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rPr>
              <w:t>重点任务</w:t>
            </w:r>
          </w:p>
          <w:p w14:paraId="0CB35106">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rPr>
              <w:t>板块</w:t>
            </w:r>
          </w:p>
        </w:tc>
        <w:tc>
          <w:tcPr>
            <w:tcW w:w="1445" w:type="dxa"/>
            <w:vMerge w:val="restart"/>
            <w:vAlign w:val="center"/>
          </w:tcPr>
          <w:p w14:paraId="6BF512EA">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rPr>
              <w:t>重点任务</w:t>
            </w:r>
          </w:p>
        </w:tc>
        <w:tc>
          <w:tcPr>
            <w:tcW w:w="9362" w:type="dxa"/>
            <w:gridSpan w:val="5"/>
            <w:vAlign w:val="center"/>
          </w:tcPr>
          <w:p w14:paraId="1245ED93">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rPr>
              <w:t>具体规划措施</w:t>
            </w:r>
          </w:p>
        </w:tc>
        <w:tc>
          <w:tcPr>
            <w:tcW w:w="2934" w:type="dxa"/>
            <w:vMerge w:val="restart"/>
            <w:vAlign w:val="center"/>
          </w:tcPr>
          <w:p w14:paraId="44FB687B">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rPr>
              <w:t>责任单位</w:t>
            </w:r>
          </w:p>
        </w:tc>
      </w:tr>
      <w:tr w14:paraId="63A7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1" w:type="dxa"/>
            <w:vMerge w:val="continue"/>
            <w:vAlign w:val="center"/>
          </w:tcPr>
          <w:p w14:paraId="2869ADDF">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p>
        </w:tc>
        <w:tc>
          <w:tcPr>
            <w:tcW w:w="1445" w:type="dxa"/>
            <w:vMerge w:val="continue"/>
            <w:vAlign w:val="center"/>
          </w:tcPr>
          <w:p w14:paraId="6CC32D4D">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p>
        </w:tc>
        <w:tc>
          <w:tcPr>
            <w:tcW w:w="1848" w:type="dxa"/>
            <w:vAlign w:val="center"/>
          </w:tcPr>
          <w:p w14:paraId="313BC5FB">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rPr>
              <w:t>2</w:t>
            </w:r>
            <w:r>
              <w:t>021</w:t>
            </w:r>
            <w:r>
              <w:rPr>
                <w:rFonts w:hint="eastAsia"/>
              </w:rPr>
              <w:t>年</w:t>
            </w:r>
          </w:p>
        </w:tc>
        <w:tc>
          <w:tcPr>
            <w:tcW w:w="1895" w:type="dxa"/>
            <w:vAlign w:val="center"/>
          </w:tcPr>
          <w:p w14:paraId="73BCBFB7">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rPr>
              <w:t>2</w:t>
            </w:r>
            <w:r>
              <w:t>022</w:t>
            </w:r>
            <w:r>
              <w:rPr>
                <w:rFonts w:hint="eastAsia"/>
              </w:rPr>
              <w:t>年</w:t>
            </w:r>
          </w:p>
        </w:tc>
        <w:tc>
          <w:tcPr>
            <w:tcW w:w="1872" w:type="dxa"/>
            <w:vAlign w:val="center"/>
          </w:tcPr>
          <w:p w14:paraId="090C724C">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rPr>
              <w:t>2</w:t>
            </w:r>
            <w:r>
              <w:t>023</w:t>
            </w:r>
            <w:r>
              <w:rPr>
                <w:rFonts w:hint="eastAsia"/>
              </w:rPr>
              <w:t>年</w:t>
            </w:r>
          </w:p>
        </w:tc>
        <w:tc>
          <w:tcPr>
            <w:tcW w:w="1872" w:type="dxa"/>
            <w:vAlign w:val="center"/>
          </w:tcPr>
          <w:p w14:paraId="04CF39C7">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rPr>
              <w:t>2</w:t>
            </w:r>
            <w:r>
              <w:t>024</w:t>
            </w:r>
            <w:r>
              <w:rPr>
                <w:rFonts w:hint="eastAsia"/>
              </w:rPr>
              <w:t>年</w:t>
            </w:r>
          </w:p>
        </w:tc>
        <w:tc>
          <w:tcPr>
            <w:tcW w:w="1875" w:type="dxa"/>
            <w:vAlign w:val="center"/>
          </w:tcPr>
          <w:p w14:paraId="11FE7A3E">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rPr>
              <w:t>2</w:t>
            </w:r>
            <w:r>
              <w:t>025</w:t>
            </w:r>
            <w:r>
              <w:rPr>
                <w:rFonts w:hint="eastAsia"/>
              </w:rPr>
              <w:t>年</w:t>
            </w:r>
          </w:p>
        </w:tc>
        <w:tc>
          <w:tcPr>
            <w:tcW w:w="2934" w:type="dxa"/>
            <w:vMerge w:val="continue"/>
            <w:vAlign w:val="center"/>
          </w:tcPr>
          <w:p w14:paraId="0A8F41B4">
            <w:pPr>
              <w:keepNext w:val="0"/>
              <w:keepLines w:val="0"/>
              <w:pageBreakBefore w:val="0"/>
              <w:widowControl w:val="0"/>
              <w:kinsoku/>
              <w:wordWrap/>
              <w:overflowPunct/>
              <w:topLinePunct w:val="0"/>
              <w:autoSpaceDE/>
              <w:autoSpaceDN/>
              <w:bidi w:val="0"/>
              <w:adjustRightInd/>
              <w:snapToGrid/>
              <w:spacing w:line="320" w:lineRule="exact"/>
              <w:textAlignment w:val="auto"/>
            </w:pPr>
          </w:p>
        </w:tc>
      </w:tr>
      <w:tr w14:paraId="2B74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11" w:type="dxa"/>
            <w:vMerge w:val="restart"/>
            <w:vAlign w:val="center"/>
          </w:tcPr>
          <w:p w14:paraId="000E82CC">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rPr>
              <w:t>装配式建筑</w:t>
            </w:r>
          </w:p>
        </w:tc>
        <w:tc>
          <w:tcPr>
            <w:tcW w:w="1445" w:type="dxa"/>
            <w:vMerge w:val="restart"/>
            <w:vAlign w:val="center"/>
          </w:tcPr>
          <w:p w14:paraId="500559C3">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推进新型建筑工业化发展</w:t>
            </w:r>
          </w:p>
        </w:tc>
        <w:tc>
          <w:tcPr>
            <w:tcW w:w="9362" w:type="dxa"/>
            <w:gridSpan w:val="5"/>
            <w:vAlign w:val="center"/>
          </w:tcPr>
          <w:p w14:paraId="161262BC">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落实《珠海市装配式建筑发展专项规划（2019-2025）》；控制性详细规划制定或修改纳入装配式建筑控制性指标。</w:t>
            </w:r>
          </w:p>
        </w:tc>
        <w:tc>
          <w:tcPr>
            <w:tcW w:w="2934" w:type="dxa"/>
            <w:vMerge w:val="restart"/>
            <w:vAlign w:val="center"/>
          </w:tcPr>
          <w:p w14:paraId="39660ED6">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珠海市住房和城乡建设局、珠海市自然资源局</w:t>
            </w:r>
          </w:p>
        </w:tc>
      </w:tr>
      <w:tr w14:paraId="7DEF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811" w:type="dxa"/>
            <w:vMerge w:val="continue"/>
            <w:vAlign w:val="center"/>
          </w:tcPr>
          <w:p w14:paraId="7397E7B8">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445" w:type="dxa"/>
            <w:vMerge w:val="continue"/>
            <w:vAlign w:val="center"/>
          </w:tcPr>
          <w:p w14:paraId="6D6BAE47">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3743" w:type="dxa"/>
            <w:gridSpan w:val="2"/>
            <w:vAlign w:val="center"/>
          </w:tcPr>
          <w:p w14:paraId="368EE237">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与相关企业、设计单位共同研究协同工作机制，在项目建设的各阶段协同设计、深化设计、协同施工。</w:t>
            </w:r>
          </w:p>
        </w:tc>
        <w:tc>
          <w:tcPr>
            <w:tcW w:w="5619" w:type="dxa"/>
            <w:gridSpan w:val="3"/>
            <w:vAlign w:val="center"/>
          </w:tcPr>
          <w:p w14:paraId="1F02097C">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1、全市装配式建筑面积占新建建筑面积比例达到35%，政府投资工程带头发展装配式建筑，保障性住房、大型公共建筑项目原则上应实施装配式建筑；</w:t>
            </w:r>
          </w:p>
          <w:p w14:paraId="6CD21409">
            <w:pPr>
              <w:keepNext w:val="0"/>
              <w:keepLines w:val="0"/>
              <w:pageBreakBefore w:val="0"/>
              <w:widowControl w:val="0"/>
              <w:kinsoku/>
              <w:wordWrap/>
              <w:overflowPunct/>
              <w:topLinePunct w:val="0"/>
              <w:autoSpaceDE/>
              <w:autoSpaceDN/>
              <w:bidi w:val="0"/>
              <w:adjustRightInd/>
              <w:snapToGrid/>
              <w:spacing w:line="320" w:lineRule="exact"/>
              <w:textAlignment w:val="auto"/>
            </w:pPr>
            <w:r>
              <w:t>2</w:t>
            </w:r>
            <w:r>
              <w:rPr>
                <w:rFonts w:hint="eastAsia"/>
              </w:rPr>
              <w:t>、“十四五”期间，政府投资工程装配式建筑比例达到70%。</w:t>
            </w:r>
          </w:p>
        </w:tc>
        <w:tc>
          <w:tcPr>
            <w:tcW w:w="2934" w:type="dxa"/>
            <w:vMerge w:val="continue"/>
            <w:vAlign w:val="center"/>
          </w:tcPr>
          <w:p w14:paraId="7F113509">
            <w:pPr>
              <w:keepNext w:val="0"/>
              <w:keepLines w:val="0"/>
              <w:pageBreakBefore w:val="0"/>
              <w:widowControl w:val="0"/>
              <w:kinsoku/>
              <w:wordWrap/>
              <w:overflowPunct/>
              <w:topLinePunct w:val="0"/>
              <w:autoSpaceDE/>
              <w:autoSpaceDN/>
              <w:bidi w:val="0"/>
              <w:adjustRightInd/>
              <w:snapToGrid/>
              <w:spacing w:line="320" w:lineRule="exact"/>
              <w:textAlignment w:val="auto"/>
            </w:pPr>
          </w:p>
        </w:tc>
      </w:tr>
      <w:tr w14:paraId="6B74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vAlign w:val="center"/>
          </w:tcPr>
          <w:p w14:paraId="477BE854">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445" w:type="dxa"/>
            <w:vAlign w:val="center"/>
          </w:tcPr>
          <w:p w14:paraId="1142DDF4">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培育壮大装配式建筑产业</w:t>
            </w:r>
          </w:p>
        </w:tc>
        <w:tc>
          <w:tcPr>
            <w:tcW w:w="3743" w:type="dxa"/>
            <w:gridSpan w:val="2"/>
            <w:vAlign w:val="center"/>
          </w:tcPr>
          <w:p w14:paraId="0BC47D86">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综合分析现有预制构件、部品部件的布局，各行政（功能）区的建设量，优化新建构件、部品部件企业的选址，做到最大化利用运输半径和服务半径。</w:t>
            </w:r>
          </w:p>
        </w:tc>
        <w:tc>
          <w:tcPr>
            <w:tcW w:w="5619" w:type="dxa"/>
            <w:gridSpan w:val="3"/>
            <w:vAlign w:val="center"/>
          </w:tcPr>
          <w:p w14:paraId="0AB59470">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利用5G、物联网等技术，以省级产业基地作为支点，建立全部装配式构件部件共享平台，充分利用各企业产能，实现动态互补生产，以此提升全市装配式企业的水平。</w:t>
            </w:r>
          </w:p>
        </w:tc>
        <w:tc>
          <w:tcPr>
            <w:tcW w:w="2934" w:type="dxa"/>
            <w:vAlign w:val="center"/>
          </w:tcPr>
          <w:p w14:paraId="08D3C806">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珠海市住房和城乡建设局、珠海市财政局</w:t>
            </w:r>
          </w:p>
        </w:tc>
      </w:tr>
      <w:tr w14:paraId="0B2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restart"/>
            <w:vAlign w:val="center"/>
          </w:tcPr>
          <w:p w14:paraId="235E7BD7">
            <w:pPr>
              <w:keepNext w:val="0"/>
              <w:keepLines w:val="0"/>
              <w:pageBreakBefore w:val="0"/>
              <w:widowControl w:val="0"/>
              <w:kinsoku/>
              <w:wordWrap/>
              <w:overflowPunct/>
              <w:topLinePunct w:val="0"/>
              <w:autoSpaceDE/>
              <w:autoSpaceDN/>
              <w:bidi w:val="0"/>
              <w:adjustRightInd/>
              <w:snapToGrid/>
              <w:spacing w:line="320" w:lineRule="exact"/>
              <w:jc w:val="center"/>
              <w:textAlignment w:val="auto"/>
            </w:pPr>
            <w:r>
              <w:rPr>
                <w:rFonts w:hint="eastAsia"/>
              </w:rPr>
              <w:t>绿色建材</w:t>
            </w:r>
          </w:p>
        </w:tc>
        <w:tc>
          <w:tcPr>
            <w:tcW w:w="1445" w:type="dxa"/>
            <w:vAlign w:val="center"/>
          </w:tcPr>
          <w:p w14:paraId="189E9064">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提高建材信息化与绿色化水平</w:t>
            </w:r>
          </w:p>
        </w:tc>
        <w:tc>
          <w:tcPr>
            <w:tcW w:w="9362" w:type="dxa"/>
            <w:gridSpan w:val="5"/>
            <w:vAlign w:val="center"/>
          </w:tcPr>
          <w:p w14:paraId="5B8F94BD">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1、进一步落实预拌混凝土绿色生产建设指引、预拌砂浆生产应用技术导则，新建企业必须全部满足绿色生产要求，既有企业也需通过绿色化改造达到绿色生产。</w:t>
            </w:r>
          </w:p>
          <w:p w14:paraId="726CC10D">
            <w:pPr>
              <w:keepNext w:val="0"/>
              <w:keepLines w:val="0"/>
              <w:pageBreakBefore w:val="0"/>
              <w:widowControl w:val="0"/>
              <w:kinsoku/>
              <w:wordWrap/>
              <w:overflowPunct/>
              <w:topLinePunct w:val="0"/>
              <w:autoSpaceDE/>
              <w:autoSpaceDN/>
              <w:bidi w:val="0"/>
              <w:adjustRightInd/>
              <w:snapToGrid/>
              <w:spacing w:line="320" w:lineRule="exact"/>
              <w:textAlignment w:val="auto"/>
            </w:pPr>
            <w:r>
              <w:t>2</w:t>
            </w:r>
            <w:r>
              <w:rPr>
                <w:rFonts w:hint="eastAsia"/>
              </w:rPr>
              <w:t>、采取总量平衡、合理控制原则科学审批预拌混凝土搅拌站建设，加强预拌砂浆搅拌站规范化监管。</w:t>
            </w:r>
          </w:p>
        </w:tc>
        <w:tc>
          <w:tcPr>
            <w:tcW w:w="2934" w:type="dxa"/>
            <w:vAlign w:val="center"/>
          </w:tcPr>
          <w:p w14:paraId="6125AE77">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珠海市住房和城乡建设局</w:t>
            </w:r>
          </w:p>
        </w:tc>
      </w:tr>
      <w:tr w14:paraId="5FE1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vAlign w:val="center"/>
          </w:tcPr>
          <w:p w14:paraId="623ABAFC">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445" w:type="dxa"/>
            <w:vMerge w:val="restart"/>
            <w:vAlign w:val="center"/>
          </w:tcPr>
          <w:p w14:paraId="4385A04E">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推动新型材料绿色建材应用</w:t>
            </w:r>
          </w:p>
        </w:tc>
        <w:tc>
          <w:tcPr>
            <w:tcW w:w="3743" w:type="dxa"/>
            <w:gridSpan w:val="2"/>
            <w:vAlign w:val="center"/>
          </w:tcPr>
          <w:p w14:paraId="64F8E6BD">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以政府投资项目、重点示范项目作为试点，推广绿色建材应用。</w:t>
            </w:r>
          </w:p>
        </w:tc>
        <w:tc>
          <w:tcPr>
            <w:tcW w:w="5619" w:type="dxa"/>
            <w:gridSpan w:val="3"/>
            <w:vAlign w:val="center"/>
          </w:tcPr>
          <w:p w14:paraId="6A31A34B">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1、助力建材生产企业开展绿色建材产品认证工作；</w:t>
            </w:r>
          </w:p>
          <w:p w14:paraId="7E3731B8">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2、政府投资项目、高星级绿色建筑重点示范项目、装配式建筑项目应将绿色建材应用比例纳入约束性指标。</w:t>
            </w:r>
          </w:p>
        </w:tc>
        <w:tc>
          <w:tcPr>
            <w:tcW w:w="2934" w:type="dxa"/>
            <w:vMerge w:val="restart"/>
            <w:vAlign w:val="center"/>
          </w:tcPr>
          <w:p w14:paraId="00009E8A">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珠海市住房和城乡建设局</w:t>
            </w:r>
          </w:p>
        </w:tc>
      </w:tr>
      <w:tr w14:paraId="1CCD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1" w:type="dxa"/>
            <w:vMerge w:val="continue"/>
            <w:vAlign w:val="center"/>
          </w:tcPr>
          <w:p w14:paraId="7E2924AD">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445" w:type="dxa"/>
            <w:vMerge w:val="continue"/>
            <w:vAlign w:val="center"/>
          </w:tcPr>
          <w:p w14:paraId="402FE0B6">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3743" w:type="dxa"/>
            <w:gridSpan w:val="2"/>
            <w:vAlign w:val="center"/>
          </w:tcPr>
          <w:p w14:paraId="597527D5">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大力推广机制砂，加强机制砂相关技术的宣贯和培训。</w:t>
            </w:r>
          </w:p>
        </w:tc>
        <w:tc>
          <w:tcPr>
            <w:tcW w:w="5619" w:type="dxa"/>
            <w:gridSpan w:val="3"/>
            <w:vAlign w:val="center"/>
          </w:tcPr>
          <w:p w14:paraId="2317248E">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1、加快机制砂生产基地建设，研究机制砂混凝土施工方法，培育产学研中心；</w:t>
            </w:r>
          </w:p>
          <w:p w14:paraId="61E74004">
            <w:pPr>
              <w:keepNext w:val="0"/>
              <w:keepLines w:val="0"/>
              <w:pageBreakBefore w:val="0"/>
              <w:widowControl w:val="0"/>
              <w:kinsoku/>
              <w:wordWrap/>
              <w:overflowPunct/>
              <w:topLinePunct w:val="0"/>
              <w:autoSpaceDE/>
              <w:autoSpaceDN/>
              <w:bidi w:val="0"/>
              <w:adjustRightInd/>
              <w:snapToGrid/>
              <w:spacing w:line="320" w:lineRule="exact"/>
              <w:textAlignment w:val="auto"/>
            </w:pPr>
            <w:r>
              <w:t>2</w:t>
            </w:r>
            <w:r>
              <w:rPr>
                <w:rFonts w:hint="eastAsia"/>
              </w:rPr>
              <w:t>、扶持蒸压加气混凝土砌块（墙板）、高性能精密轻集料混凝土砌块等墙板、砌块类新型墙体材料企业。</w:t>
            </w:r>
          </w:p>
        </w:tc>
        <w:tc>
          <w:tcPr>
            <w:tcW w:w="2934" w:type="dxa"/>
            <w:vMerge w:val="continue"/>
            <w:vAlign w:val="center"/>
          </w:tcPr>
          <w:p w14:paraId="6D8F028B">
            <w:pPr>
              <w:keepNext w:val="0"/>
              <w:keepLines w:val="0"/>
              <w:pageBreakBefore w:val="0"/>
              <w:widowControl w:val="0"/>
              <w:kinsoku/>
              <w:wordWrap/>
              <w:overflowPunct/>
              <w:topLinePunct w:val="0"/>
              <w:autoSpaceDE/>
              <w:autoSpaceDN/>
              <w:bidi w:val="0"/>
              <w:adjustRightInd/>
              <w:snapToGrid/>
              <w:spacing w:line="320" w:lineRule="exact"/>
              <w:textAlignment w:val="auto"/>
            </w:pPr>
          </w:p>
        </w:tc>
      </w:tr>
      <w:tr w14:paraId="5B2F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vAlign w:val="center"/>
          </w:tcPr>
          <w:p w14:paraId="7B92464F">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445" w:type="dxa"/>
            <w:vMerge w:val="continue"/>
            <w:vAlign w:val="center"/>
          </w:tcPr>
          <w:p w14:paraId="5AD31153">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9362" w:type="dxa"/>
            <w:gridSpan w:val="5"/>
            <w:vAlign w:val="center"/>
          </w:tcPr>
          <w:p w14:paraId="12E5A28C">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巩固“禁实限粘”工作成果，严格执行法律法规及文件政策指导，定期开展现场禁止使用袋装水泥、禁止施工现场搅拌混凝土、砂浆执法工作，强化“三禁”执法巡查力度。</w:t>
            </w:r>
          </w:p>
        </w:tc>
        <w:tc>
          <w:tcPr>
            <w:tcW w:w="2934" w:type="dxa"/>
            <w:vMerge w:val="continue"/>
            <w:vAlign w:val="center"/>
          </w:tcPr>
          <w:p w14:paraId="1CE7F491">
            <w:pPr>
              <w:keepNext w:val="0"/>
              <w:keepLines w:val="0"/>
              <w:pageBreakBefore w:val="0"/>
              <w:widowControl w:val="0"/>
              <w:kinsoku/>
              <w:wordWrap/>
              <w:overflowPunct/>
              <w:topLinePunct w:val="0"/>
              <w:autoSpaceDE/>
              <w:autoSpaceDN/>
              <w:bidi w:val="0"/>
              <w:adjustRightInd/>
              <w:snapToGrid/>
              <w:spacing w:line="320" w:lineRule="exact"/>
              <w:textAlignment w:val="auto"/>
            </w:pPr>
          </w:p>
        </w:tc>
      </w:tr>
    </w:tbl>
    <w:p w14:paraId="6155101B">
      <w:pPr>
        <w:keepNext w:val="0"/>
        <w:keepLines w:val="0"/>
        <w:pageBreakBefore w:val="0"/>
        <w:kinsoku/>
        <w:wordWrap/>
        <w:overflowPunct/>
        <w:topLinePunct w:val="0"/>
        <w:autoSpaceDE/>
        <w:autoSpaceDN/>
        <w:bidi w:val="0"/>
        <w:spacing w:line="520" w:lineRule="exact"/>
      </w:pPr>
    </w:p>
    <w:p w14:paraId="364E9911">
      <w:pPr>
        <w:pStyle w:val="2"/>
        <w:keepNext w:val="0"/>
        <w:keepLines w:val="0"/>
        <w:pageBreakBefore w:val="0"/>
        <w:kinsoku/>
        <w:wordWrap/>
        <w:overflowPunct/>
        <w:topLinePunct w:val="0"/>
        <w:autoSpaceDE/>
        <w:autoSpaceDN/>
        <w:bidi w:val="0"/>
        <w:spacing w:line="520" w:lineRule="exact"/>
      </w:pPr>
      <w:r>
        <w:br w:type="page"/>
      </w:r>
    </w:p>
    <w:p w14:paraId="4428EC90">
      <w:pPr>
        <w:pStyle w:val="2"/>
        <w:keepNext w:val="0"/>
        <w:keepLines w:val="0"/>
        <w:pageBreakBefore w:val="0"/>
        <w:kinsoku/>
        <w:wordWrap/>
        <w:overflowPunct/>
        <w:topLinePunct w:val="0"/>
        <w:autoSpaceDE/>
        <w:autoSpaceDN/>
        <w:bidi w:val="0"/>
        <w:spacing w:line="520" w:lineRule="exact"/>
        <w:outlineLvl w:val="0"/>
        <w:rPr>
          <w:rFonts w:ascii="仿宋_GB2312" w:hAnsi="仿宋_GB2312" w:eastAsia="仿宋_GB2312" w:cs="仿宋_GB2312"/>
          <w:sz w:val="32"/>
          <w:szCs w:val="32"/>
        </w:rPr>
      </w:pPr>
      <w:bookmarkStart w:id="1060" w:name="_Toc4415"/>
      <w:bookmarkStart w:id="1061" w:name="_Toc27446"/>
      <w:bookmarkStart w:id="1062" w:name="_Toc30642"/>
      <w:bookmarkStart w:id="1063" w:name="_Toc29561"/>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 各行政（功能）区目标分解表</w:t>
      </w:r>
      <w:bookmarkEnd w:id="1060"/>
      <w:bookmarkEnd w:id="1061"/>
      <w:bookmarkEnd w:id="1062"/>
      <w:bookmarkEnd w:id="1063"/>
    </w:p>
    <w:tbl>
      <w:tblPr>
        <w:tblStyle w:val="21"/>
        <w:tblW w:w="10654" w:type="dxa"/>
        <w:jc w:val="center"/>
        <w:tblLayout w:type="fixed"/>
        <w:tblCellMar>
          <w:top w:w="0" w:type="dxa"/>
          <w:left w:w="0" w:type="dxa"/>
          <w:bottom w:w="0" w:type="dxa"/>
          <w:right w:w="0" w:type="dxa"/>
        </w:tblCellMar>
      </w:tblPr>
      <w:tblGrid>
        <w:gridCol w:w="589"/>
        <w:gridCol w:w="1841"/>
        <w:gridCol w:w="2057"/>
        <w:gridCol w:w="1756"/>
        <w:gridCol w:w="2510"/>
        <w:gridCol w:w="1901"/>
      </w:tblGrid>
      <w:tr w14:paraId="581544F6">
        <w:tblPrEx>
          <w:tblCellMar>
            <w:top w:w="0" w:type="dxa"/>
            <w:left w:w="0" w:type="dxa"/>
            <w:bottom w:w="0" w:type="dxa"/>
            <w:right w:w="0" w:type="dxa"/>
          </w:tblCellMar>
        </w:tblPrEx>
        <w:trPr>
          <w:trHeight w:val="315" w:hRule="atLeast"/>
          <w:tblHeader/>
          <w:jc w:val="center"/>
        </w:trPr>
        <w:tc>
          <w:tcPr>
            <w:tcW w:w="589" w:type="dxa"/>
            <w:tcBorders>
              <w:top w:val="single" w:color="000000" w:sz="4" w:space="0"/>
              <w:left w:val="single" w:color="000000" w:sz="4" w:space="0"/>
              <w:right w:val="single" w:color="000000" w:sz="4" w:space="0"/>
            </w:tcBorders>
            <w:shd w:val="clear" w:color="auto" w:fill="D7D7D7" w:themeFill="background1" w:themeFillShade="D8"/>
            <w:noWrap/>
            <w:tcMar>
              <w:top w:w="15" w:type="dxa"/>
              <w:left w:w="15" w:type="dxa"/>
              <w:right w:w="15" w:type="dxa"/>
            </w:tcMar>
            <w:vAlign w:val="center"/>
          </w:tcPr>
          <w:p w14:paraId="299ABAA0">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hint="eastAsia" w:ascii="宋体" w:hAnsi="宋体" w:cs="宋体"/>
                <w:kern w:val="0"/>
                <w:sz w:val="24"/>
                <w:szCs w:val="24"/>
              </w:rPr>
              <w:t>序号</w:t>
            </w:r>
          </w:p>
        </w:tc>
        <w:tc>
          <w:tcPr>
            <w:tcW w:w="1841" w:type="dxa"/>
            <w:tcBorders>
              <w:top w:val="single" w:color="000000" w:sz="4" w:space="0"/>
              <w:left w:val="single" w:color="000000" w:sz="4" w:space="0"/>
              <w:right w:val="single" w:color="000000" w:sz="4" w:space="0"/>
            </w:tcBorders>
            <w:shd w:val="clear" w:color="auto" w:fill="D7D7D7" w:themeFill="background1" w:themeFillShade="D8"/>
            <w:noWrap/>
            <w:tcMar>
              <w:top w:w="15" w:type="dxa"/>
              <w:left w:w="15" w:type="dxa"/>
              <w:right w:w="15" w:type="dxa"/>
            </w:tcMar>
            <w:vAlign w:val="center"/>
          </w:tcPr>
          <w:p w14:paraId="211E7978">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hint="eastAsia" w:ascii="宋体" w:hAnsi="宋体" w:cs="宋体"/>
                <w:kern w:val="0"/>
                <w:sz w:val="24"/>
                <w:szCs w:val="24"/>
              </w:rPr>
              <w:t>行政（功能）区</w:t>
            </w:r>
          </w:p>
        </w:tc>
        <w:tc>
          <w:tcPr>
            <w:tcW w:w="2057" w:type="dxa"/>
            <w:tcBorders>
              <w:top w:val="single" w:color="000000" w:sz="4" w:space="0"/>
              <w:left w:val="single" w:color="000000" w:sz="4" w:space="0"/>
              <w:right w:val="single" w:color="000000" w:sz="4" w:space="0"/>
            </w:tcBorders>
            <w:shd w:val="clear" w:color="auto" w:fill="D7D7D7" w:themeFill="background1" w:themeFillShade="D8"/>
            <w:noWrap/>
            <w:tcMar>
              <w:top w:w="15" w:type="dxa"/>
              <w:left w:w="15" w:type="dxa"/>
              <w:right w:w="15" w:type="dxa"/>
            </w:tcMar>
            <w:vAlign w:val="center"/>
          </w:tcPr>
          <w:p w14:paraId="1431CC7A">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kern w:val="0"/>
                <w:sz w:val="24"/>
                <w:szCs w:val="24"/>
              </w:rPr>
            </w:pPr>
            <w:r>
              <w:rPr>
                <w:rFonts w:hint="eastAsia" w:ascii="宋体" w:hAnsi="宋体" w:cs="宋体"/>
                <w:kern w:val="0"/>
                <w:sz w:val="24"/>
                <w:szCs w:val="24"/>
              </w:rPr>
              <w:t>星级建筑占新建建筑比例</w:t>
            </w:r>
            <w:r>
              <w:rPr>
                <w:rStyle w:val="32"/>
                <w:rFonts w:ascii="宋体" w:hAnsi="宋体" w:cs="宋体"/>
                <w:kern w:val="0"/>
                <w:sz w:val="24"/>
                <w:szCs w:val="24"/>
              </w:rPr>
              <w:footnoteReference w:id="0"/>
            </w:r>
          </w:p>
        </w:tc>
        <w:tc>
          <w:tcPr>
            <w:tcW w:w="1756" w:type="dxa"/>
            <w:tcBorders>
              <w:top w:val="single" w:color="000000" w:sz="4" w:space="0"/>
              <w:left w:val="single" w:color="000000" w:sz="4" w:space="0"/>
              <w:right w:val="single" w:color="000000" w:sz="4" w:space="0"/>
            </w:tcBorders>
            <w:shd w:val="clear" w:color="auto" w:fill="D7D7D7" w:themeFill="background1" w:themeFillShade="D8"/>
            <w:noWrap/>
            <w:tcMar>
              <w:top w:w="15" w:type="dxa"/>
              <w:left w:w="15" w:type="dxa"/>
              <w:right w:w="15" w:type="dxa"/>
            </w:tcMar>
            <w:vAlign w:val="center"/>
          </w:tcPr>
          <w:p w14:paraId="4D79214D">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hint="eastAsia" w:ascii="宋体" w:hAnsi="宋体" w:cs="宋体"/>
                <w:sz w:val="24"/>
                <w:szCs w:val="24"/>
              </w:rPr>
              <w:t>光电建筑装机容量（兆瓦）</w:t>
            </w:r>
          </w:p>
        </w:tc>
        <w:tc>
          <w:tcPr>
            <w:tcW w:w="2510" w:type="dxa"/>
            <w:tcBorders>
              <w:top w:val="single" w:color="000000" w:sz="4" w:space="0"/>
              <w:left w:val="single" w:color="000000" w:sz="4" w:space="0"/>
              <w:right w:val="single" w:color="000000" w:sz="4" w:space="0"/>
            </w:tcBorders>
            <w:shd w:val="clear" w:color="auto" w:fill="D7D7D7" w:themeFill="background1" w:themeFillShade="D8"/>
            <w:noWrap/>
            <w:tcMar>
              <w:top w:w="15" w:type="dxa"/>
              <w:left w:w="15" w:type="dxa"/>
              <w:right w:w="15" w:type="dxa"/>
            </w:tcMar>
            <w:vAlign w:val="center"/>
          </w:tcPr>
          <w:p w14:paraId="00A78451">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hint="eastAsia" w:ascii="宋体" w:hAnsi="宋体" w:cs="宋体"/>
                <w:kern w:val="0"/>
                <w:sz w:val="24"/>
                <w:szCs w:val="24"/>
              </w:rPr>
              <w:t>既有建筑节能绿色化改造量（万㎡）</w:t>
            </w:r>
          </w:p>
        </w:tc>
        <w:tc>
          <w:tcPr>
            <w:tcW w:w="1901" w:type="dxa"/>
            <w:tcBorders>
              <w:top w:val="single" w:color="000000" w:sz="4" w:space="0"/>
              <w:left w:val="single" w:color="000000" w:sz="4" w:space="0"/>
              <w:bottom w:val="single" w:color="auto" w:sz="4" w:space="0"/>
              <w:right w:val="single" w:color="000000" w:sz="4" w:space="0"/>
            </w:tcBorders>
            <w:shd w:val="clear" w:color="auto" w:fill="D7D7D7" w:themeFill="background1" w:themeFillShade="D8"/>
            <w:noWrap/>
            <w:tcMar>
              <w:top w:w="15" w:type="dxa"/>
              <w:left w:w="15" w:type="dxa"/>
              <w:right w:w="15" w:type="dxa"/>
            </w:tcMar>
            <w:vAlign w:val="center"/>
          </w:tcPr>
          <w:p w14:paraId="2C3EEECA">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kern w:val="0"/>
                <w:sz w:val="24"/>
                <w:szCs w:val="24"/>
              </w:rPr>
            </w:pPr>
            <w:r>
              <w:rPr>
                <w:rFonts w:hint="eastAsia" w:ascii="宋体" w:hAnsi="宋体" w:cs="宋体"/>
                <w:kern w:val="0"/>
                <w:sz w:val="24"/>
                <w:szCs w:val="24"/>
              </w:rPr>
              <w:t>装配式建筑</w:t>
            </w:r>
          </w:p>
          <w:p w14:paraId="34EBD164">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kern w:val="0"/>
                <w:sz w:val="24"/>
                <w:szCs w:val="24"/>
              </w:rPr>
            </w:pPr>
            <w:r>
              <w:rPr>
                <w:rFonts w:hint="eastAsia" w:ascii="宋体" w:hAnsi="宋体" w:cs="宋体"/>
                <w:kern w:val="0"/>
                <w:sz w:val="24"/>
                <w:szCs w:val="24"/>
              </w:rPr>
              <w:t>比例</w:t>
            </w:r>
          </w:p>
        </w:tc>
      </w:tr>
      <w:tr w14:paraId="10891CE0">
        <w:tblPrEx>
          <w:tblCellMar>
            <w:top w:w="0" w:type="dxa"/>
            <w:left w:w="0" w:type="dxa"/>
            <w:bottom w:w="0" w:type="dxa"/>
            <w:right w:w="0" w:type="dxa"/>
          </w:tblCellMar>
        </w:tblPrEx>
        <w:trPr>
          <w:trHeight w:val="486" w:hRule="atLeast"/>
          <w:jc w:val="center"/>
        </w:trPr>
        <w:tc>
          <w:tcPr>
            <w:tcW w:w="5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509565">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hint="eastAsia" w:ascii="宋体" w:hAnsi="宋体" w:cs="宋体"/>
                <w:sz w:val="24"/>
                <w:szCs w:val="24"/>
              </w:rPr>
              <w:t>1</w:t>
            </w:r>
          </w:p>
        </w:tc>
        <w:tc>
          <w:tcPr>
            <w:tcW w:w="1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D5735">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hint="eastAsia" w:ascii="宋体" w:hAnsi="宋体" w:cs="宋体"/>
                <w:sz w:val="24"/>
                <w:szCs w:val="24"/>
              </w:rPr>
              <w:t>鹤洲新区</w:t>
            </w:r>
          </w:p>
        </w:tc>
        <w:tc>
          <w:tcPr>
            <w:tcW w:w="2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E5663">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100%</w:t>
            </w:r>
          </w:p>
        </w:tc>
        <w:tc>
          <w:tcPr>
            <w:tcW w:w="17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9C578">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8.75</w:t>
            </w:r>
          </w:p>
        </w:tc>
        <w:tc>
          <w:tcPr>
            <w:tcW w:w="25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1BFDD">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w:t>
            </w:r>
          </w:p>
        </w:tc>
        <w:tc>
          <w:tcPr>
            <w:tcW w:w="19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53AF5">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5</w:t>
            </w:r>
            <w:r>
              <w:rPr>
                <w:rFonts w:hint="eastAsia" w:ascii="Times New Roman" w:hAnsi="Times New Roman"/>
                <w:sz w:val="24"/>
                <w:szCs w:val="24"/>
              </w:rPr>
              <w:t>%</w:t>
            </w:r>
          </w:p>
        </w:tc>
      </w:tr>
      <w:tr w14:paraId="007AD1DC">
        <w:tblPrEx>
          <w:tblCellMar>
            <w:top w:w="0" w:type="dxa"/>
            <w:left w:w="0" w:type="dxa"/>
            <w:bottom w:w="0" w:type="dxa"/>
            <w:right w:w="0" w:type="dxa"/>
          </w:tblCellMar>
        </w:tblPrEx>
        <w:trPr>
          <w:trHeight w:val="486" w:hRule="atLeast"/>
          <w:jc w:val="center"/>
        </w:trPr>
        <w:tc>
          <w:tcPr>
            <w:tcW w:w="5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1DA5C">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ascii="宋体" w:hAnsi="宋体" w:cs="宋体"/>
                <w:sz w:val="24"/>
                <w:szCs w:val="24"/>
              </w:rPr>
              <w:t>2</w:t>
            </w:r>
          </w:p>
        </w:tc>
        <w:tc>
          <w:tcPr>
            <w:tcW w:w="1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3F9AF">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hint="eastAsia" w:ascii="宋体" w:hAnsi="宋体" w:cs="宋体"/>
                <w:sz w:val="24"/>
                <w:szCs w:val="24"/>
              </w:rPr>
              <w:t>香洲区</w:t>
            </w:r>
          </w:p>
        </w:tc>
        <w:tc>
          <w:tcPr>
            <w:tcW w:w="2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BF0F6">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95%</w:t>
            </w:r>
          </w:p>
        </w:tc>
        <w:tc>
          <w:tcPr>
            <w:tcW w:w="17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97F5B">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1.25</w:t>
            </w:r>
          </w:p>
        </w:tc>
        <w:tc>
          <w:tcPr>
            <w:tcW w:w="25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274E6">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150</w:t>
            </w:r>
          </w:p>
        </w:tc>
        <w:tc>
          <w:tcPr>
            <w:tcW w:w="19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D15F7">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35%</w:t>
            </w:r>
          </w:p>
        </w:tc>
      </w:tr>
      <w:tr w14:paraId="07EA4D73">
        <w:tblPrEx>
          <w:tblCellMar>
            <w:top w:w="0" w:type="dxa"/>
            <w:left w:w="0" w:type="dxa"/>
            <w:bottom w:w="0" w:type="dxa"/>
            <w:right w:w="0" w:type="dxa"/>
          </w:tblCellMar>
        </w:tblPrEx>
        <w:trPr>
          <w:trHeight w:val="486" w:hRule="atLeast"/>
          <w:jc w:val="center"/>
        </w:trPr>
        <w:tc>
          <w:tcPr>
            <w:tcW w:w="5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2858D">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ascii="宋体" w:hAnsi="宋体" w:cs="宋体"/>
                <w:sz w:val="24"/>
                <w:szCs w:val="24"/>
              </w:rPr>
              <w:t>3</w:t>
            </w:r>
          </w:p>
        </w:tc>
        <w:tc>
          <w:tcPr>
            <w:tcW w:w="1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AE973">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hint="eastAsia" w:ascii="宋体" w:hAnsi="宋体" w:cs="宋体"/>
                <w:sz w:val="24"/>
                <w:szCs w:val="24"/>
              </w:rPr>
              <w:t>金湾区</w:t>
            </w:r>
          </w:p>
        </w:tc>
        <w:tc>
          <w:tcPr>
            <w:tcW w:w="2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9E430">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90%</w:t>
            </w:r>
          </w:p>
        </w:tc>
        <w:tc>
          <w:tcPr>
            <w:tcW w:w="17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C6493">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5</w:t>
            </w:r>
          </w:p>
        </w:tc>
        <w:tc>
          <w:tcPr>
            <w:tcW w:w="25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E2F62">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50</w:t>
            </w:r>
          </w:p>
        </w:tc>
        <w:tc>
          <w:tcPr>
            <w:tcW w:w="19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D709E">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35%</w:t>
            </w:r>
          </w:p>
        </w:tc>
      </w:tr>
      <w:tr w14:paraId="258B0358">
        <w:tblPrEx>
          <w:tblCellMar>
            <w:top w:w="0" w:type="dxa"/>
            <w:left w:w="0" w:type="dxa"/>
            <w:bottom w:w="0" w:type="dxa"/>
            <w:right w:w="0" w:type="dxa"/>
          </w:tblCellMar>
        </w:tblPrEx>
        <w:trPr>
          <w:trHeight w:val="486" w:hRule="atLeast"/>
          <w:jc w:val="center"/>
        </w:trPr>
        <w:tc>
          <w:tcPr>
            <w:tcW w:w="5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A393E">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ascii="宋体" w:hAnsi="宋体" w:cs="宋体"/>
                <w:sz w:val="24"/>
                <w:szCs w:val="24"/>
              </w:rPr>
              <w:t>4</w:t>
            </w:r>
          </w:p>
        </w:tc>
        <w:tc>
          <w:tcPr>
            <w:tcW w:w="1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0CBE4">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hint="eastAsia" w:ascii="宋体" w:hAnsi="宋体" w:cs="宋体"/>
                <w:sz w:val="24"/>
                <w:szCs w:val="24"/>
              </w:rPr>
              <w:t>斗门区</w:t>
            </w:r>
          </w:p>
        </w:tc>
        <w:tc>
          <w:tcPr>
            <w:tcW w:w="2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F5663">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90%</w:t>
            </w:r>
          </w:p>
        </w:tc>
        <w:tc>
          <w:tcPr>
            <w:tcW w:w="17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6111E">
            <w:pPr>
              <w:keepNext w:val="0"/>
              <w:keepLines w:val="0"/>
              <w:pageBreakBefore w:val="0"/>
              <w:kinsoku/>
              <w:wordWrap/>
              <w:overflowPunct/>
              <w:topLinePunct w:val="0"/>
              <w:autoSpaceDE/>
              <w:autoSpaceDN/>
              <w:bidi w:val="0"/>
              <w:spacing w:line="520" w:lineRule="exact"/>
              <w:jc w:val="center"/>
              <w:rPr>
                <w:rFonts w:hint="default" w:ascii="Times New Roman" w:hAnsi="Times New Roman"/>
                <w:sz w:val="24"/>
                <w:szCs w:val="24"/>
                <w:lang w:val="en"/>
              </w:rPr>
            </w:pPr>
            <w:r>
              <w:rPr>
                <w:rFonts w:hint="default" w:ascii="Times New Roman" w:hAnsi="Times New Roman"/>
                <w:sz w:val="24"/>
                <w:szCs w:val="24"/>
                <w:lang w:val="en"/>
              </w:rPr>
              <w:t>40</w:t>
            </w:r>
          </w:p>
        </w:tc>
        <w:tc>
          <w:tcPr>
            <w:tcW w:w="25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BB586">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50</w:t>
            </w:r>
          </w:p>
        </w:tc>
        <w:tc>
          <w:tcPr>
            <w:tcW w:w="19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F7AB8">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35%</w:t>
            </w:r>
          </w:p>
        </w:tc>
      </w:tr>
      <w:tr w14:paraId="3F059CD0">
        <w:tblPrEx>
          <w:tblCellMar>
            <w:top w:w="0" w:type="dxa"/>
            <w:left w:w="0" w:type="dxa"/>
            <w:bottom w:w="0" w:type="dxa"/>
            <w:right w:w="0" w:type="dxa"/>
          </w:tblCellMar>
        </w:tblPrEx>
        <w:trPr>
          <w:trHeight w:val="486" w:hRule="atLeast"/>
          <w:jc w:val="center"/>
        </w:trPr>
        <w:tc>
          <w:tcPr>
            <w:tcW w:w="5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8C39A">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ascii="宋体" w:hAnsi="宋体" w:cs="宋体"/>
                <w:sz w:val="24"/>
                <w:szCs w:val="24"/>
              </w:rPr>
              <w:t>5</w:t>
            </w:r>
          </w:p>
        </w:tc>
        <w:tc>
          <w:tcPr>
            <w:tcW w:w="1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93D7E">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hint="eastAsia" w:ascii="宋体" w:hAnsi="宋体" w:cs="宋体"/>
                <w:sz w:val="24"/>
                <w:szCs w:val="24"/>
              </w:rPr>
              <w:t>高新技术开发区</w:t>
            </w:r>
          </w:p>
        </w:tc>
        <w:tc>
          <w:tcPr>
            <w:tcW w:w="2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4AD9A">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100%</w:t>
            </w:r>
          </w:p>
        </w:tc>
        <w:tc>
          <w:tcPr>
            <w:tcW w:w="17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67B30">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5</w:t>
            </w:r>
          </w:p>
        </w:tc>
        <w:tc>
          <w:tcPr>
            <w:tcW w:w="25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4DF2C">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w:t>
            </w:r>
          </w:p>
        </w:tc>
        <w:tc>
          <w:tcPr>
            <w:tcW w:w="19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C078F">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Times New Roman" w:hAnsi="Times New Roman"/>
                <w:sz w:val="24"/>
                <w:szCs w:val="24"/>
              </w:rPr>
              <w:t>35%</w:t>
            </w:r>
          </w:p>
        </w:tc>
      </w:tr>
      <w:tr w14:paraId="2618A5C7">
        <w:tblPrEx>
          <w:tblCellMar>
            <w:top w:w="0" w:type="dxa"/>
            <w:left w:w="0" w:type="dxa"/>
            <w:bottom w:w="0" w:type="dxa"/>
            <w:right w:w="0" w:type="dxa"/>
          </w:tblCellMar>
        </w:tblPrEx>
        <w:trPr>
          <w:trHeight w:val="486" w:hRule="atLeast"/>
          <w:jc w:val="center"/>
        </w:trPr>
        <w:tc>
          <w:tcPr>
            <w:tcW w:w="24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275E4">
            <w:pPr>
              <w:keepNext w:val="0"/>
              <w:keepLines w:val="0"/>
              <w:pageBreakBefore w:val="0"/>
              <w:widowControl/>
              <w:kinsoku/>
              <w:wordWrap/>
              <w:overflowPunct/>
              <w:topLinePunct w:val="0"/>
              <w:autoSpaceDE/>
              <w:autoSpaceDN/>
              <w:bidi w:val="0"/>
              <w:spacing w:line="520" w:lineRule="exact"/>
              <w:jc w:val="center"/>
              <w:textAlignment w:val="center"/>
              <w:rPr>
                <w:rFonts w:ascii="宋体" w:hAnsi="宋体" w:cs="宋体"/>
                <w:sz w:val="24"/>
                <w:szCs w:val="24"/>
              </w:rPr>
            </w:pPr>
            <w:r>
              <w:rPr>
                <w:rFonts w:hint="eastAsia" w:ascii="宋体" w:hAnsi="宋体" w:cs="宋体"/>
                <w:sz w:val="24"/>
                <w:szCs w:val="24"/>
              </w:rPr>
              <w:t>总计</w:t>
            </w:r>
          </w:p>
        </w:tc>
        <w:tc>
          <w:tcPr>
            <w:tcW w:w="2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65C15">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宋体" w:hAnsi="宋体"/>
                <w:sz w:val="24"/>
                <w:szCs w:val="24"/>
              </w:rPr>
              <w:t>≥</w:t>
            </w:r>
            <w:r>
              <w:rPr>
                <w:rFonts w:ascii="Times New Roman" w:hAnsi="Times New Roman"/>
                <w:sz w:val="24"/>
                <w:szCs w:val="24"/>
              </w:rPr>
              <w:t>95%</w:t>
            </w:r>
          </w:p>
        </w:tc>
        <w:tc>
          <w:tcPr>
            <w:tcW w:w="17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BB4EC">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宋体" w:hAnsi="宋体"/>
                <w:sz w:val="24"/>
                <w:szCs w:val="24"/>
              </w:rPr>
              <w:t>≥</w:t>
            </w:r>
            <w:r>
              <w:rPr>
                <w:rFonts w:ascii="Times New Roman" w:hAnsi="Times New Roman"/>
                <w:sz w:val="24"/>
                <w:szCs w:val="24"/>
              </w:rPr>
              <w:t>150</w:t>
            </w:r>
          </w:p>
        </w:tc>
        <w:tc>
          <w:tcPr>
            <w:tcW w:w="25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5468F">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ascii="宋体" w:hAnsi="宋体"/>
                <w:sz w:val="24"/>
                <w:szCs w:val="24"/>
              </w:rPr>
              <w:t>≥</w:t>
            </w:r>
            <w:r>
              <w:rPr>
                <w:rFonts w:ascii="Times New Roman" w:hAnsi="Times New Roman"/>
                <w:sz w:val="24"/>
                <w:szCs w:val="24"/>
              </w:rPr>
              <w:t>250</w:t>
            </w:r>
          </w:p>
        </w:tc>
        <w:tc>
          <w:tcPr>
            <w:tcW w:w="19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9143F">
            <w:pPr>
              <w:keepNext w:val="0"/>
              <w:keepLines w:val="0"/>
              <w:pageBreakBefore w:val="0"/>
              <w:kinsoku/>
              <w:wordWrap/>
              <w:overflowPunct/>
              <w:topLinePunct w:val="0"/>
              <w:autoSpaceDE/>
              <w:autoSpaceDN/>
              <w:bidi w:val="0"/>
              <w:spacing w:line="520" w:lineRule="exact"/>
              <w:jc w:val="center"/>
              <w:rPr>
                <w:rFonts w:ascii="Times New Roman" w:hAnsi="Times New Roman"/>
                <w:sz w:val="24"/>
                <w:szCs w:val="24"/>
              </w:rPr>
            </w:pPr>
            <w:r>
              <w:rPr>
                <w:rFonts w:hint="eastAsia" w:ascii="Times New Roman" w:hAnsi="Times New Roman"/>
                <w:sz w:val="24"/>
                <w:szCs w:val="24"/>
              </w:rPr>
              <w:t>≥35%</w:t>
            </w:r>
          </w:p>
        </w:tc>
      </w:tr>
    </w:tbl>
    <w:p w14:paraId="689EDABC">
      <w:pPr>
        <w:pStyle w:val="2"/>
        <w:keepNext w:val="0"/>
        <w:keepLines w:val="0"/>
        <w:pageBreakBefore w:val="0"/>
        <w:kinsoku/>
        <w:wordWrap/>
        <w:overflowPunct/>
        <w:topLinePunct w:val="0"/>
        <w:autoSpaceDE/>
        <w:autoSpaceDN/>
        <w:bidi w:val="0"/>
        <w:spacing w:line="520" w:lineRule="exact"/>
        <w:rPr>
          <w:rFonts w:ascii="仿宋_GB2312" w:hAnsi="仿宋_GB2312" w:eastAsia="仿宋_GB2312" w:cs="仿宋_GB2312"/>
          <w:sz w:val="32"/>
          <w:szCs w:val="32"/>
        </w:rPr>
      </w:pPr>
    </w:p>
    <w:sectPr>
      <w:pgSz w:w="16838" w:h="11906" w:orient="landscape"/>
      <w:pgMar w:top="1418" w:right="1440" w:bottom="141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E26C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FE8EBC">
                          <w:pPr>
                            <w:pStyle w:val="13"/>
                            <w:rPr>
                              <w:sz w:val="21"/>
                              <w:szCs w:val="21"/>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67FE8EBC">
                    <w:pPr>
                      <w:pStyle w:val="13"/>
                      <w:rPr>
                        <w:sz w:val="21"/>
                        <w:szCs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08C91A9D">
        <w:pPr>
          <w:pStyle w:val="13"/>
          <w:jc w:val="center"/>
        </w:pPr>
        <w:r>
          <w:fldChar w:fldCharType="begin"/>
        </w:r>
        <w:r>
          <w:instrText xml:space="preserve">PAGE   \* MERGEFORMAT</w:instrText>
        </w:r>
        <w:r>
          <w:fldChar w:fldCharType="separate"/>
        </w:r>
        <w:r>
          <w:rPr>
            <w:lang w:val="zh-CN"/>
          </w:rPr>
          <w:t>2</w:t>
        </w:r>
        <w:r>
          <w:fldChar w:fldCharType="end"/>
        </w:r>
      </w:p>
    </w:sdtContent>
  </w:sdt>
  <w:p w14:paraId="52299A1D">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2318888"/>
      <w:docPartObj>
        <w:docPartGallery w:val="autotext"/>
      </w:docPartObj>
    </w:sdtPr>
    <w:sdtContent>
      <w:p w14:paraId="1148E420">
        <w:pPr>
          <w:pStyle w:val="13"/>
          <w:jc w:val="center"/>
        </w:pPr>
        <w:r>
          <w:fldChar w:fldCharType="begin"/>
        </w:r>
        <w:r>
          <w:instrText xml:space="preserve">PAGE   \* MERGEFORMAT</w:instrText>
        </w:r>
        <w:r>
          <w:fldChar w:fldCharType="separate"/>
        </w:r>
        <w:r>
          <w:rPr>
            <w:lang w:val="zh-CN"/>
          </w:rPr>
          <w:t>2</w:t>
        </w:r>
        <w:r>
          <w:fldChar w:fldCharType="end"/>
        </w:r>
      </w:p>
    </w:sdtContent>
  </w:sdt>
  <w:p w14:paraId="613673EE">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74E5B0E">
      <w:pPr>
        <w:pStyle w:val="1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E11E9"/>
    <w:multiLevelType w:val="singleLevel"/>
    <w:tmpl w:val="303E11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oNotShadeFormData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763"/>
    <w:rsid w:val="000121D8"/>
    <w:rsid w:val="0001398B"/>
    <w:rsid w:val="00022001"/>
    <w:rsid w:val="00032EE3"/>
    <w:rsid w:val="000526B5"/>
    <w:rsid w:val="00053BA3"/>
    <w:rsid w:val="000604D5"/>
    <w:rsid w:val="00065876"/>
    <w:rsid w:val="00067B53"/>
    <w:rsid w:val="00071BDD"/>
    <w:rsid w:val="00097544"/>
    <w:rsid w:val="000A2F15"/>
    <w:rsid w:val="000D7346"/>
    <w:rsid w:val="000D7F9D"/>
    <w:rsid w:val="000E4F15"/>
    <w:rsid w:val="00104E74"/>
    <w:rsid w:val="001140FC"/>
    <w:rsid w:val="001157CA"/>
    <w:rsid w:val="00122CA9"/>
    <w:rsid w:val="00124B46"/>
    <w:rsid w:val="00131F89"/>
    <w:rsid w:val="00132C12"/>
    <w:rsid w:val="00132C8B"/>
    <w:rsid w:val="0014316C"/>
    <w:rsid w:val="00145921"/>
    <w:rsid w:val="001506DB"/>
    <w:rsid w:val="00152183"/>
    <w:rsid w:val="00160DFC"/>
    <w:rsid w:val="00165B15"/>
    <w:rsid w:val="00172A27"/>
    <w:rsid w:val="00175CD7"/>
    <w:rsid w:val="0019117B"/>
    <w:rsid w:val="00192181"/>
    <w:rsid w:val="001948ED"/>
    <w:rsid w:val="001C16C9"/>
    <w:rsid w:val="001E0345"/>
    <w:rsid w:val="001F20DD"/>
    <w:rsid w:val="001F6663"/>
    <w:rsid w:val="001F672C"/>
    <w:rsid w:val="00216D0D"/>
    <w:rsid w:val="00216D53"/>
    <w:rsid w:val="002260E6"/>
    <w:rsid w:val="00226BE3"/>
    <w:rsid w:val="00235946"/>
    <w:rsid w:val="00236BC8"/>
    <w:rsid w:val="0024031B"/>
    <w:rsid w:val="002405B0"/>
    <w:rsid w:val="00240C00"/>
    <w:rsid w:val="0024161B"/>
    <w:rsid w:val="00242B55"/>
    <w:rsid w:val="002572E5"/>
    <w:rsid w:val="00264547"/>
    <w:rsid w:val="002715B4"/>
    <w:rsid w:val="002802FB"/>
    <w:rsid w:val="00287970"/>
    <w:rsid w:val="002C3646"/>
    <w:rsid w:val="002C79BC"/>
    <w:rsid w:val="002D079A"/>
    <w:rsid w:val="002D5215"/>
    <w:rsid w:val="002E17FB"/>
    <w:rsid w:val="002E6B64"/>
    <w:rsid w:val="0030635A"/>
    <w:rsid w:val="0031281E"/>
    <w:rsid w:val="00327C5F"/>
    <w:rsid w:val="00331E4D"/>
    <w:rsid w:val="00332619"/>
    <w:rsid w:val="00334396"/>
    <w:rsid w:val="00363E77"/>
    <w:rsid w:val="00366FC1"/>
    <w:rsid w:val="00373AF0"/>
    <w:rsid w:val="003A31FA"/>
    <w:rsid w:val="003A4D49"/>
    <w:rsid w:val="003B27F7"/>
    <w:rsid w:val="003B72D9"/>
    <w:rsid w:val="003C3127"/>
    <w:rsid w:val="003D660B"/>
    <w:rsid w:val="003E67F9"/>
    <w:rsid w:val="003F2C57"/>
    <w:rsid w:val="00406AA7"/>
    <w:rsid w:val="0041030D"/>
    <w:rsid w:val="00412724"/>
    <w:rsid w:val="004129DB"/>
    <w:rsid w:val="00422ADC"/>
    <w:rsid w:val="0042514B"/>
    <w:rsid w:val="00427FE2"/>
    <w:rsid w:val="004361B0"/>
    <w:rsid w:val="00450D83"/>
    <w:rsid w:val="00451B4A"/>
    <w:rsid w:val="00455016"/>
    <w:rsid w:val="004557F2"/>
    <w:rsid w:val="00463860"/>
    <w:rsid w:val="00474D21"/>
    <w:rsid w:val="004A6B16"/>
    <w:rsid w:val="004A6E38"/>
    <w:rsid w:val="004D034D"/>
    <w:rsid w:val="004D1A5B"/>
    <w:rsid w:val="004E3498"/>
    <w:rsid w:val="004E4AA9"/>
    <w:rsid w:val="004F2214"/>
    <w:rsid w:val="004F6E47"/>
    <w:rsid w:val="00511C3F"/>
    <w:rsid w:val="00523E84"/>
    <w:rsid w:val="00536C32"/>
    <w:rsid w:val="00540F60"/>
    <w:rsid w:val="005A0A1F"/>
    <w:rsid w:val="005C2F5D"/>
    <w:rsid w:val="005C53AC"/>
    <w:rsid w:val="005D191E"/>
    <w:rsid w:val="005D2281"/>
    <w:rsid w:val="00600808"/>
    <w:rsid w:val="006111D5"/>
    <w:rsid w:val="006143BD"/>
    <w:rsid w:val="00617020"/>
    <w:rsid w:val="0062303A"/>
    <w:rsid w:val="00623DC1"/>
    <w:rsid w:val="006269E7"/>
    <w:rsid w:val="00631376"/>
    <w:rsid w:val="0063377E"/>
    <w:rsid w:val="006349DE"/>
    <w:rsid w:val="00641E45"/>
    <w:rsid w:val="00650EC3"/>
    <w:rsid w:val="00654E35"/>
    <w:rsid w:val="00656F1C"/>
    <w:rsid w:val="00660029"/>
    <w:rsid w:val="006605EE"/>
    <w:rsid w:val="0068081E"/>
    <w:rsid w:val="0068168E"/>
    <w:rsid w:val="00683960"/>
    <w:rsid w:val="00683B46"/>
    <w:rsid w:val="006B24EB"/>
    <w:rsid w:val="006B3631"/>
    <w:rsid w:val="006C2B39"/>
    <w:rsid w:val="006F23DC"/>
    <w:rsid w:val="006F6A43"/>
    <w:rsid w:val="006F709C"/>
    <w:rsid w:val="00705BB2"/>
    <w:rsid w:val="00705D08"/>
    <w:rsid w:val="007067EE"/>
    <w:rsid w:val="00707D12"/>
    <w:rsid w:val="00724804"/>
    <w:rsid w:val="00744E6C"/>
    <w:rsid w:val="00762442"/>
    <w:rsid w:val="00767AD1"/>
    <w:rsid w:val="007700F7"/>
    <w:rsid w:val="00770BE3"/>
    <w:rsid w:val="007760C8"/>
    <w:rsid w:val="00777204"/>
    <w:rsid w:val="00785FAA"/>
    <w:rsid w:val="007872FE"/>
    <w:rsid w:val="0079595F"/>
    <w:rsid w:val="007A347F"/>
    <w:rsid w:val="007C423C"/>
    <w:rsid w:val="007D551D"/>
    <w:rsid w:val="007D653B"/>
    <w:rsid w:val="007E68B7"/>
    <w:rsid w:val="00801C8C"/>
    <w:rsid w:val="00802B50"/>
    <w:rsid w:val="00811938"/>
    <w:rsid w:val="00813D2E"/>
    <w:rsid w:val="008222B3"/>
    <w:rsid w:val="0082491E"/>
    <w:rsid w:val="00840910"/>
    <w:rsid w:val="00851BC0"/>
    <w:rsid w:val="00863033"/>
    <w:rsid w:val="008741CB"/>
    <w:rsid w:val="0087518B"/>
    <w:rsid w:val="00881BBD"/>
    <w:rsid w:val="00885E0D"/>
    <w:rsid w:val="008A151C"/>
    <w:rsid w:val="008B31E0"/>
    <w:rsid w:val="008C3410"/>
    <w:rsid w:val="008C6D8C"/>
    <w:rsid w:val="008D2193"/>
    <w:rsid w:val="008D6A21"/>
    <w:rsid w:val="008E3A5A"/>
    <w:rsid w:val="008F799C"/>
    <w:rsid w:val="00907943"/>
    <w:rsid w:val="0091567A"/>
    <w:rsid w:val="00924D22"/>
    <w:rsid w:val="009274EE"/>
    <w:rsid w:val="00933858"/>
    <w:rsid w:val="009440DC"/>
    <w:rsid w:val="009575A1"/>
    <w:rsid w:val="00962F68"/>
    <w:rsid w:val="009A380D"/>
    <w:rsid w:val="009B33FD"/>
    <w:rsid w:val="009C377B"/>
    <w:rsid w:val="009E0840"/>
    <w:rsid w:val="009F62A7"/>
    <w:rsid w:val="00A00F89"/>
    <w:rsid w:val="00A0139C"/>
    <w:rsid w:val="00A03E76"/>
    <w:rsid w:val="00A04D65"/>
    <w:rsid w:val="00A1063D"/>
    <w:rsid w:val="00A11ADB"/>
    <w:rsid w:val="00A33CD1"/>
    <w:rsid w:val="00A3413F"/>
    <w:rsid w:val="00A361F5"/>
    <w:rsid w:val="00A4121F"/>
    <w:rsid w:val="00A468C2"/>
    <w:rsid w:val="00A46B48"/>
    <w:rsid w:val="00A502D2"/>
    <w:rsid w:val="00A74078"/>
    <w:rsid w:val="00A76A3E"/>
    <w:rsid w:val="00A77603"/>
    <w:rsid w:val="00A916A6"/>
    <w:rsid w:val="00A941CE"/>
    <w:rsid w:val="00AA1F21"/>
    <w:rsid w:val="00AA412C"/>
    <w:rsid w:val="00AB1FF7"/>
    <w:rsid w:val="00AE44BB"/>
    <w:rsid w:val="00B01606"/>
    <w:rsid w:val="00B26992"/>
    <w:rsid w:val="00B40B3F"/>
    <w:rsid w:val="00B50D49"/>
    <w:rsid w:val="00B520B8"/>
    <w:rsid w:val="00B54B42"/>
    <w:rsid w:val="00B62970"/>
    <w:rsid w:val="00B855C5"/>
    <w:rsid w:val="00B86C68"/>
    <w:rsid w:val="00B93A57"/>
    <w:rsid w:val="00B95A8E"/>
    <w:rsid w:val="00BA78B2"/>
    <w:rsid w:val="00BD174A"/>
    <w:rsid w:val="00C0157A"/>
    <w:rsid w:val="00C01ADE"/>
    <w:rsid w:val="00C225C1"/>
    <w:rsid w:val="00C27760"/>
    <w:rsid w:val="00C31DBD"/>
    <w:rsid w:val="00C32138"/>
    <w:rsid w:val="00C4142D"/>
    <w:rsid w:val="00C50A76"/>
    <w:rsid w:val="00C5145B"/>
    <w:rsid w:val="00C548B0"/>
    <w:rsid w:val="00C55BE7"/>
    <w:rsid w:val="00C5647E"/>
    <w:rsid w:val="00C60692"/>
    <w:rsid w:val="00C609D9"/>
    <w:rsid w:val="00C66CE9"/>
    <w:rsid w:val="00C74360"/>
    <w:rsid w:val="00C84805"/>
    <w:rsid w:val="00CB0275"/>
    <w:rsid w:val="00CB13A5"/>
    <w:rsid w:val="00CB435C"/>
    <w:rsid w:val="00CC0584"/>
    <w:rsid w:val="00CC5C9E"/>
    <w:rsid w:val="00CD37D3"/>
    <w:rsid w:val="00CF556D"/>
    <w:rsid w:val="00D16B63"/>
    <w:rsid w:val="00D21995"/>
    <w:rsid w:val="00D23D85"/>
    <w:rsid w:val="00D475F5"/>
    <w:rsid w:val="00D659FA"/>
    <w:rsid w:val="00D770DA"/>
    <w:rsid w:val="00D823E1"/>
    <w:rsid w:val="00D90153"/>
    <w:rsid w:val="00D957B2"/>
    <w:rsid w:val="00DA1E9D"/>
    <w:rsid w:val="00DA48D4"/>
    <w:rsid w:val="00DD72CC"/>
    <w:rsid w:val="00DE23B0"/>
    <w:rsid w:val="00E0377B"/>
    <w:rsid w:val="00E06FB8"/>
    <w:rsid w:val="00E151D8"/>
    <w:rsid w:val="00E1579C"/>
    <w:rsid w:val="00E27D82"/>
    <w:rsid w:val="00E33E4D"/>
    <w:rsid w:val="00E3533F"/>
    <w:rsid w:val="00E44411"/>
    <w:rsid w:val="00E50AE5"/>
    <w:rsid w:val="00E5759D"/>
    <w:rsid w:val="00E63F93"/>
    <w:rsid w:val="00E64789"/>
    <w:rsid w:val="00E73E11"/>
    <w:rsid w:val="00E7551A"/>
    <w:rsid w:val="00E77E74"/>
    <w:rsid w:val="00E85F23"/>
    <w:rsid w:val="00E8674E"/>
    <w:rsid w:val="00E9276B"/>
    <w:rsid w:val="00E93E87"/>
    <w:rsid w:val="00EA7378"/>
    <w:rsid w:val="00EB0FCB"/>
    <w:rsid w:val="00EB33AF"/>
    <w:rsid w:val="00EC0323"/>
    <w:rsid w:val="00EC65EA"/>
    <w:rsid w:val="00EC7D52"/>
    <w:rsid w:val="00EE1AFC"/>
    <w:rsid w:val="00EE3AB6"/>
    <w:rsid w:val="00EF708D"/>
    <w:rsid w:val="00F07AC0"/>
    <w:rsid w:val="00F07EEC"/>
    <w:rsid w:val="00F15225"/>
    <w:rsid w:val="00F17B36"/>
    <w:rsid w:val="00F24530"/>
    <w:rsid w:val="00F26C73"/>
    <w:rsid w:val="00F32615"/>
    <w:rsid w:val="00F34F74"/>
    <w:rsid w:val="00F37F82"/>
    <w:rsid w:val="00F422E4"/>
    <w:rsid w:val="00F60B48"/>
    <w:rsid w:val="00F77499"/>
    <w:rsid w:val="00F87337"/>
    <w:rsid w:val="00F876FE"/>
    <w:rsid w:val="00F97D19"/>
    <w:rsid w:val="00FB0D14"/>
    <w:rsid w:val="00FB1FA1"/>
    <w:rsid w:val="00FB2E9A"/>
    <w:rsid w:val="00FC2E06"/>
    <w:rsid w:val="00FC6437"/>
    <w:rsid w:val="00FD523A"/>
    <w:rsid w:val="00FF38CF"/>
    <w:rsid w:val="00FF4497"/>
    <w:rsid w:val="01306D48"/>
    <w:rsid w:val="01710F4F"/>
    <w:rsid w:val="01E94248"/>
    <w:rsid w:val="01EF0869"/>
    <w:rsid w:val="024B2F5A"/>
    <w:rsid w:val="0296F4E3"/>
    <w:rsid w:val="02AE051B"/>
    <w:rsid w:val="02CA57EF"/>
    <w:rsid w:val="02CF5DA7"/>
    <w:rsid w:val="02D21428"/>
    <w:rsid w:val="030B4944"/>
    <w:rsid w:val="03101B18"/>
    <w:rsid w:val="03605B02"/>
    <w:rsid w:val="037A46C4"/>
    <w:rsid w:val="037F2937"/>
    <w:rsid w:val="03C42388"/>
    <w:rsid w:val="03DD24C3"/>
    <w:rsid w:val="0424642A"/>
    <w:rsid w:val="0427338A"/>
    <w:rsid w:val="04D507DF"/>
    <w:rsid w:val="04DA31C4"/>
    <w:rsid w:val="04F676F3"/>
    <w:rsid w:val="050F0D15"/>
    <w:rsid w:val="053A2049"/>
    <w:rsid w:val="05486C2A"/>
    <w:rsid w:val="05772934"/>
    <w:rsid w:val="05862DB4"/>
    <w:rsid w:val="0601125E"/>
    <w:rsid w:val="06226B68"/>
    <w:rsid w:val="06237A14"/>
    <w:rsid w:val="0632FCBB"/>
    <w:rsid w:val="06537C90"/>
    <w:rsid w:val="066C5494"/>
    <w:rsid w:val="06A307D3"/>
    <w:rsid w:val="06E15158"/>
    <w:rsid w:val="07921C86"/>
    <w:rsid w:val="079C743F"/>
    <w:rsid w:val="08174921"/>
    <w:rsid w:val="083D9510"/>
    <w:rsid w:val="0855767B"/>
    <w:rsid w:val="08693188"/>
    <w:rsid w:val="08AA4157"/>
    <w:rsid w:val="095A6DB4"/>
    <w:rsid w:val="09765F8B"/>
    <w:rsid w:val="0983A963"/>
    <w:rsid w:val="09E3C856"/>
    <w:rsid w:val="09EFA067"/>
    <w:rsid w:val="0A1148E0"/>
    <w:rsid w:val="0A182008"/>
    <w:rsid w:val="0A2C7939"/>
    <w:rsid w:val="0A6C186B"/>
    <w:rsid w:val="0A766B74"/>
    <w:rsid w:val="0B030AE3"/>
    <w:rsid w:val="0B516513"/>
    <w:rsid w:val="0B5836E5"/>
    <w:rsid w:val="0B9F1A8B"/>
    <w:rsid w:val="0BDCA6C7"/>
    <w:rsid w:val="0C06162D"/>
    <w:rsid w:val="0C291F65"/>
    <w:rsid w:val="0C570A9C"/>
    <w:rsid w:val="0C75476A"/>
    <w:rsid w:val="0CDA4138"/>
    <w:rsid w:val="0CF27664"/>
    <w:rsid w:val="0D257743"/>
    <w:rsid w:val="0D26B008"/>
    <w:rsid w:val="0D32395F"/>
    <w:rsid w:val="0D4A2F65"/>
    <w:rsid w:val="0D5E469B"/>
    <w:rsid w:val="0D5F46B9"/>
    <w:rsid w:val="0D651EBA"/>
    <w:rsid w:val="0D6D1536"/>
    <w:rsid w:val="0D781653"/>
    <w:rsid w:val="0E124E38"/>
    <w:rsid w:val="0E4432BF"/>
    <w:rsid w:val="0E557356"/>
    <w:rsid w:val="0E5D43B8"/>
    <w:rsid w:val="0E8B162B"/>
    <w:rsid w:val="0E9C66AC"/>
    <w:rsid w:val="0EB31C2A"/>
    <w:rsid w:val="0F006F02"/>
    <w:rsid w:val="0F9B11D5"/>
    <w:rsid w:val="0FADE07C"/>
    <w:rsid w:val="0FBF1FA5"/>
    <w:rsid w:val="0FEC6251"/>
    <w:rsid w:val="101E6DED"/>
    <w:rsid w:val="10277B9C"/>
    <w:rsid w:val="105E329C"/>
    <w:rsid w:val="106933E1"/>
    <w:rsid w:val="107F26BE"/>
    <w:rsid w:val="10E61B29"/>
    <w:rsid w:val="10F30A3A"/>
    <w:rsid w:val="1100318E"/>
    <w:rsid w:val="11523E29"/>
    <w:rsid w:val="1180357D"/>
    <w:rsid w:val="11B103AB"/>
    <w:rsid w:val="11B55C2A"/>
    <w:rsid w:val="11ED6513"/>
    <w:rsid w:val="11F259E6"/>
    <w:rsid w:val="12512521"/>
    <w:rsid w:val="12553041"/>
    <w:rsid w:val="127776B0"/>
    <w:rsid w:val="12CF0156"/>
    <w:rsid w:val="12ED1E9A"/>
    <w:rsid w:val="132D7227"/>
    <w:rsid w:val="1378132D"/>
    <w:rsid w:val="13A518E8"/>
    <w:rsid w:val="13C41D1A"/>
    <w:rsid w:val="13E75DA6"/>
    <w:rsid w:val="13EA1F85"/>
    <w:rsid w:val="140D602D"/>
    <w:rsid w:val="14877618"/>
    <w:rsid w:val="148B0009"/>
    <w:rsid w:val="14C111AC"/>
    <w:rsid w:val="14CB44CC"/>
    <w:rsid w:val="14D64B2D"/>
    <w:rsid w:val="14F1597F"/>
    <w:rsid w:val="14F247D4"/>
    <w:rsid w:val="1501B63B"/>
    <w:rsid w:val="150E37DC"/>
    <w:rsid w:val="157D61A8"/>
    <w:rsid w:val="1581DCBC"/>
    <w:rsid w:val="15A074FD"/>
    <w:rsid w:val="16037014"/>
    <w:rsid w:val="164F069F"/>
    <w:rsid w:val="165633F1"/>
    <w:rsid w:val="17474529"/>
    <w:rsid w:val="174920D3"/>
    <w:rsid w:val="175E0B5F"/>
    <w:rsid w:val="1773197E"/>
    <w:rsid w:val="178E3451"/>
    <w:rsid w:val="17A476DE"/>
    <w:rsid w:val="17AF08A8"/>
    <w:rsid w:val="17BF748C"/>
    <w:rsid w:val="17E53BB3"/>
    <w:rsid w:val="17E6629B"/>
    <w:rsid w:val="17EB651C"/>
    <w:rsid w:val="18253AB0"/>
    <w:rsid w:val="184962F7"/>
    <w:rsid w:val="1884536A"/>
    <w:rsid w:val="18AB63FB"/>
    <w:rsid w:val="18CB1D6B"/>
    <w:rsid w:val="193A7965"/>
    <w:rsid w:val="19780842"/>
    <w:rsid w:val="19C1437C"/>
    <w:rsid w:val="19EB564C"/>
    <w:rsid w:val="19EFF2BE"/>
    <w:rsid w:val="1A1B6EC3"/>
    <w:rsid w:val="1A2E55C8"/>
    <w:rsid w:val="1A32758E"/>
    <w:rsid w:val="1AA42DBD"/>
    <w:rsid w:val="1AE56BE7"/>
    <w:rsid w:val="1AF12A5F"/>
    <w:rsid w:val="1B1B199E"/>
    <w:rsid w:val="1B7A3C2E"/>
    <w:rsid w:val="1B8E75A5"/>
    <w:rsid w:val="1BA6CAAC"/>
    <w:rsid w:val="1BBBF45A"/>
    <w:rsid w:val="1C254C19"/>
    <w:rsid w:val="1C347A3C"/>
    <w:rsid w:val="1C57070D"/>
    <w:rsid w:val="1C6A4C76"/>
    <w:rsid w:val="1C6B1D67"/>
    <w:rsid w:val="1C833B17"/>
    <w:rsid w:val="1C8F9A5E"/>
    <w:rsid w:val="1C9A7E6C"/>
    <w:rsid w:val="1CC129EF"/>
    <w:rsid w:val="1CC8488F"/>
    <w:rsid w:val="1CE78656"/>
    <w:rsid w:val="1CFC69F7"/>
    <w:rsid w:val="1D052732"/>
    <w:rsid w:val="1D3C2A95"/>
    <w:rsid w:val="1D4D3272"/>
    <w:rsid w:val="1D7D5254"/>
    <w:rsid w:val="1D82377D"/>
    <w:rsid w:val="1DAA35F5"/>
    <w:rsid w:val="1DC037E6"/>
    <w:rsid w:val="1E1D4417"/>
    <w:rsid w:val="1E625AF3"/>
    <w:rsid w:val="1E7567FD"/>
    <w:rsid w:val="1E8CA171"/>
    <w:rsid w:val="1E968B2D"/>
    <w:rsid w:val="1EBA6D82"/>
    <w:rsid w:val="1EBB1794"/>
    <w:rsid w:val="1F063886"/>
    <w:rsid w:val="1F1076FA"/>
    <w:rsid w:val="1F51141E"/>
    <w:rsid w:val="1F605261"/>
    <w:rsid w:val="1F7A589F"/>
    <w:rsid w:val="1FB430EA"/>
    <w:rsid w:val="1FEF7900"/>
    <w:rsid w:val="203E2BF0"/>
    <w:rsid w:val="20490DD6"/>
    <w:rsid w:val="20C089D8"/>
    <w:rsid w:val="20D7325C"/>
    <w:rsid w:val="215268AB"/>
    <w:rsid w:val="21834376"/>
    <w:rsid w:val="21CF41FC"/>
    <w:rsid w:val="222431C9"/>
    <w:rsid w:val="225B24A9"/>
    <w:rsid w:val="226C4757"/>
    <w:rsid w:val="22B9F401"/>
    <w:rsid w:val="22BE6DCB"/>
    <w:rsid w:val="22C74F35"/>
    <w:rsid w:val="22D132E0"/>
    <w:rsid w:val="2381361E"/>
    <w:rsid w:val="23825431"/>
    <w:rsid w:val="239A613D"/>
    <w:rsid w:val="23B04509"/>
    <w:rsid w:val="23CA04C6"/>
    <w:rsid w:val="24032B46"/>
    <w:rsid w:val="240C2030"/>
    <w:rsid w:val="246026F4"/>
    <w:rsid w:val="24640854"/>
    <w:rsid w:val="246E1BF4"/>
    <w:rsid w:val="249447E1"/>
    <w:rsid w:val="249F6FEB"/>
    <w:rsid w:val="250C216D"/>
    <w:rsid w:val="251C772D"/>
    <w:rsid w:val="25554CBD"/>
    <w:rsid w:val="25F934A6"/>
    <w:rsid w:val="265BA6B5"/>
    <w:rsid w:val="266B1BAE"/>
    <w:rsid w:val="269C189D"/>
    <w:rsid w:val="27085A7B"/>
    <w:rsid w:val="27A57650"/>
    <w:rsid w:val="27AC5EF6"/>
    <w:rsid w:val="27D516EA"/>
    <w:rsid w:val="2801AA8E"/>
    <w:rsid w:val="28684D59"/>
    <w:rsid w:val="287A54CB"/>
    <w:rsid w:val="28A92834"/>
    <w:rsid w:val="28F62244"/>
    <w:rsid w:val="29AC671F"/>
    <w:rsid w:val="2A06090A"/>
    <w:rsid w:val="2A10A8EE"/>
    <w:rsid w:val="2A243749"/>
    <w:rsid w:val="2A593A09"/>
    <w:rsid w:val="2AAA55F3"/>
    <w:rsid w:val="2AAE4C26"/>
    <w:rsid w:val="2AAE5D65"/>
    <w:rsid w:val="2AB58BE1"/>
    <w:rsid w:val="2AD55761"/>
    <w:rsid w:val="2B47EDB8"/>
    <w:rsid w:val="2B6A4FA5"/>
    <w:rsid w:val="2BA76DC1"/>
    <w:rsid w:val="2BCF3D57"/>
    <w:rsid w:val="2C241F74"/>
    <w:rsid w:val="2C27428F"/>
    <w:rsid w:val="2C304982"/>
    <w:rsid w:val="2C424E76"/>
    <w:rsid w:val="2C5E8A33"/>
    <w:rsid w:val="2C7D7C80"/>
    <w:rsid w:val="2C8B5092"/>
    <w:rsid w:val="2C957D04"/>
    <w:rsid w:val="2CA638C0"/>
    <w:rsid w:val="2CC1DC2D"/>
    <w:rsid w:val="2CCE497E"/>
    <w:rsid w:val="2D501804"/>
    <w:rsid w:val="2DAC513F"/>
    <w:rsid w:val="2DC66016"/>
    <w:rsid w:val="2DF30960"/>
    <w:rsid w:val="2E3F65C5"/>
    <w:rsid w:val="2EBA536A"/>
    <w:rsid w:val="2EC0187F"/>
    <w:rsid w:val="2ECF1CD1"/>
    <w:rsid w:val="2F2C256B"/>
    <w:rsid w:val="2F7618C6"/>
    <w:rsid w:val="2F9A1FB9"/>
    <w:rsid w:val="2FA92235"/>
    <w:rsid w:val="2FFBE1E6"/>
    <w:rsid w:val="30102D84"/>
    <w:rsid w:val="30255ED6"/>
    <w:rsid w:val="3068365B"/>
    <w:rsid w:val="30F44B40"/>
    <w:rsid w:val="3118459C"/>
    <w:rsid w:val="31466F7A"/>
    <w:rsid w:val="315E7920"/>
    <w:rsid w:val="31856B3D"/>
    <w:rsid w:val="31A367AC"/>
    <w:rsid w:val="320A449F"/>
    <w:rsid w:val="32523B47"/>
    <w:rsid w:val="327E1929"/>
    <w:rsid w:val="32941185"/>
    <w:rsid w:val="329CB92F"/>
    <w:rsid w:val="32B06A88"/>
    <w:rsid w:val="32EB1D4C"/>
    <w:rsid w:val="32F81B4E"/>
    <w:rsid w:val="33643F14"/>
    <w:rsid w:val="336C5BDE"/>
    <w:rsid w:val="33BB6EE1"/>
    <w:rsid w:val="33C365F8"/>
    <w:rsid w:val="33C74413"/>
    <w:rsid w:val="33CBAD91"/>
    <w:rsid w:val="33E51440"/>
    <w:rsid w:val="3431FC12"/>
    <w:rsid w:val="344E508B"/>
    <w:rsid w:val="34717927"/>
    <w:rsid w:val="34DC5ECA"/>
    <w:rsid w:val="34DF76FF"/>
    <w:rsid w:val="34E94204"/>
    <w:rsid w:val="34F992DA"/>
    <w:rsid w:val="357050CE"/>
    <w:rsid w:val="357B65C4"/>
    <w:rsid w:val="358740DB"/>
    <w:rsid w:val="35D654B6"/>
    <w:rsid w:val="363E4E5D"/>
    <w:rsid w:val="364667C2"/>
    <w:rsid w:val="366A1F3A"/>
    <w:rsid w:val="366A4E23"/>
    <w:rsid w:val="36703F81"/>
    <w:rsid w:val="368748F8"/>
    <w:rsid w:val="36B535E0"/>
    <w:rsid w:val="36FC6B10"/>
    <w:rsid w:val="37121381"/>
    <w:rsid w:val="375F4AE7"/>
    <w:rsid w:val="377A4488"/>
    <w:rsid w:val="37A6314D"/>
    <w:rsid w:val="37BA673E"/>
    <w:rsid w:val="381F6E3A"/>
    <w:rsid w:val="38466BA5"/>
    <w:rsid w:val="38832385"/>
    <w:rsid w:val="38A860B8"/>
    <w:rsid w:val="38CC31DB"/>
    <w:rsid w:val="393E701D"/>
    <w:rsid w:val="39461C17"/>
    <w:rsid w:val="394716B2"/>
    <w:rsid w:val="39491C9D"/>
    <w:rsid w:val="394D7989"/>
    <w:rsid w:val="39573686"/>
    <w:rsid w:val="395E4A5A"/>
    <w:rsid w:val="39620C35"/>
    <w:rsid w:val="39C00BF3"/>
    <w:rsid w:val="39E61CF1"/>
    <w:rsid w:val="3A366ADE"/>
    <w:rsid w:val="3A576DC7"/>
    <w:rsid w:val="3A7F51D0"/>
    <w:rsid w:val="3B74918D"/>
    <w:rsid w:val="3BDEF677"/>
    <w:rsid w:val="3C1743E1"/>
    <w:rsid w:val="3C434BBC"/>
    <w:rsid w:val="3C9C1C2D"/>
    <w:rsid w:val="3C9C4546"/>
    <w:rsid w:val="3CC773DF"/>
    <w:rsid w:val="3CD70B8B"/>
    <w:rsid w:val="3CE94A9B"/>
    <w:rsid w:val="3CF76371"/>
    <w:rsid w:val="3D00425F"/>
    <w:rsid w:val="3DC102FD"/>
    <w:rsid w:val="3DE54268"/>
    <w:rsid w:val="3DE8477B"/>
    <w:rsid w:val="3DF84A14"/>
    <w:rsid w:val="3DFC630B"/>
    <w:rsid w:val="3ED766C5"/>
    <w:rsid w:val="3F257BBC"/>
    <w:rsid w:val="3F3BAFF1"/>
    <w:rsid w:val="3F9369F2"/>
    <w:rsid w:val="3FDE29C7"/>
    <w:rsid w:val="3FE595B3"/>
    <w:rsid w:val="3FFFBEB4"/>
    <w:rsid w:val="40123B05"/>
    <w:rsid w:val="406E3F94"/>
    <w:rsid w:val="40766E01"/>
    <w:rsid w:val="408BFA1E"/>
    <w:rsid w:val="409F1D07"/>
    <w:rsid w:val="40B10A64"/>
    <w:rsid w:val="41037C20"/>
    <w:rsid w:val="4120BB10"/>
    <w:rsid w:val="413F01C9"/>
    <w:rsid w:val="41460E9E"/>
    <w:rsid w:val="415E58FC"/>
    <w:rsid w:val="416E3570"/>
    <w:rsid w:val="41B65287"/>
    <w:rsid w:val="41C23863"/>
    <w:rsid w:val="41E75A40"/>
    <w:rsid w:val="41EB1DEE"/>
    <w:rsid w:val="420E93E6"/>
    <w:rsid w:val="423756C2"/>
    <w:rsid w:val="424332F5"/>
    <w:rsid w:val="426B6719"/>
    <w:rsid w:val="42AFDB76"/>
    <w:rsid w:val="42F62CF2"/>
    <w:rsid w:val="43391C98"/>
    <w:rsid w:val="43643932"/>
    <w:rsid w:val="43645536"/>
    <w:rsid w:val="43EC6888"/>
    <w:rsid w:val="440F25B2"/>
    <w:rsid w:val="44231A8E"/>
    <w:rsid w:val="4444A1E4"/>
    <w:rsid w:val="445F7A21"/>
    <w:rsid w:val="446850DF"/>
    <w:rsid w:val="44AD526E"/>
    <w:rsid w:val="44B4588D"/>
    <w:rsid w:val="44D70C16"/>
    <w:rsid w:val="450359BC"/>
    <w:rsid w:val="451E54CA"/>
    <w:rsid w:val="454B37BC"/>
    <w:rsid w:val="456C2CB7"/>
    <w:rsid w:val="46053E62"/>
    <w:rsid w:val="461B34AE"/>
    <w:rsid w:val="46277BEB"/>
    <w:rsid w:val="4640755E"/>
    <w:rsid w:val="464C7D0C"/>
    <w:rsid w:val="466E515C"/>
    <w:rsid w:val="47191665"/>
    <w:rsid w:val="47373C11"/>
    <w:rsid w:val="4747745B"/>
    <w:rsid w:val="477456BA"/>
    <w:rsid w:val="47AE578E"/>
    <w:rsid w:val="482731F7"/>
    <w:rsid w:val="4851544C"/>
    <w:rsid w:val="48A671DA"/>
    <w:rsid w:val="48C75073"/>
    <w:rsid w:val="490253B9"/>
    <w:rsid w:val="49156490"/>
    <w:rsid w:val="49573F52"/>
    <w:rsid w:val="496C7BE6"/>
    <w:rsid w:val="49CE0B1C"/>
    <w:rsid w:val="4A5A1ECD"/>
    <w:rsid w:val="4A7F26E9"/>
    <w:rsid w:val="4A83337B"/>
    <w:rsid w:val="4AA8F879"/>
    <w:rsid w:val="4AAA4D0D"/>
    <w:rsid w:val="4AC04ED4"/>
    <w:rsid w:val="4AC27FD9"/>
    <w:rsid w:val="4ADC463C"/>
    <w:rsid w:val="4AF0EB62"/>
    <w:rsid w:val="4B153059"/>
    <w:rsid w:val="4BA86CFD"/>
    <w:rsid w:val="4BB216FA"/>
    <w:rsid w:val="4C2835BA"/>
    <w:rsid w:val="4C4B8B82"/>
    <w:rsid w:val="4C8E7848"/>
    <w:rsid w:val="4C992109"/>
    <w:rsid w:val="4CF89390"/>
    <w:rsid w:val="4D1864FE"/>
    <w:rsid w:val="4D354EE3"/>
    <w:rsid w:val="4D3D62DC"/>
    <w:rsid w:val="4D7E49A1"/>
    <w:rsid w:val="4DA534E0"/>
    <w:rsid w:val="4DEB0C8D"/>
    <w:rsid w:val="4E03214E"/>
    <w:rsid w:val="4E187B4D"/>
    <w:rsid w:val="4EDE9291"/>
    <w:rsid w:val="4F0D20BB"/>
    <w:rsid w:val="4F1F5E85"/>
    <w:rsid w:val="4F36080A"/>
    <w:rsid w:val="4FB710B2"/>
    <w:rsid w:val="4FF36881"/>
    <w:rsid w:val="500281D4"/>
    <w:rsid w:val="5024AF0D"/>
    <w:rsid w:val="503615C0"/>
    <w:rsid w:val="503E79E2"/>
    <w:rsid w:val="504418E6"/>
    <w:rsid w:val="504E58CF"/>
    <w:rsid w:val="50970CE9"/>
    <w:rsid w:val="510F3115"/>
    <w:rsid w:val="516A02BF"/>
    <w:rsid w:val="519143F4"/>
    <w:rsid w:val="51AA2555"/>
    <w:rsid w:val="51DFF4A7"/>
    <w:rsid w:val="521A3D6C"/>
    <w:rsid w:val="521AF1D2"/>
    <w:rsid w:val="52270CD1"/>
    <w:rsid w:val="525E4D33"/>
    <w:rsid w:val="526E67D1"/>
    <w:rsid w:val="541D3835"/>
    <w:rsid w:val="542864EB"/>
    <w:rsid w:val="5437FF1F"/>
    <w:rsid w:val="547EE4C2"/>
    <w:rsid w:val="54B7FCAA"/>
    <w:rsid w:val="557649C6"/>
    <w:rsid w:val="558A3267"/>
    <w:rsid w:val="55C13C36"/>
    <w:rsid w:val="55D0235A"/>
    <w:rsid w:val="56A71AF3"/>
    <w:rsid w:val="576E5565"/>
    <w:rsid w:val="57A764CD"/>
    <w:rsid w:val="57EEFC3B"/>
    <w:rsid w:val="58702683"/>
    <w:rsid w:val="58AB49B5"/>
    <w:rsid w:val="58AC2A61"/>
    <w:rsid w:val="590A70AC"/>
    <w:rsid w:val="59B43DB5"/>
    <w:rsid w:val="5A207C6D"/>
    <w:rsid w:val="5A5C7AEF"/>
    <w:rsid w:val="5A790EBA"/>
    <w:rsid w:val="5AB75747"/>
    <w:rsid w:val="5AED2C96"/>
    <w:rsid w:val="5B0B60BE"/>
    <w:rsid w:val="5B184102"/>
    <w:rsid w:val="5B1D1246"/>
    <w:rsid w:val="5B224165"/>
    <w:rsid w:val="5B8F144D"/>
    <w:rsid w:val="5BBF1BA3"/>
    <w:rsid w:val="5C0E6F7E"/>
    <w:rsid w:val="5CC21E68"/>
    <w:rsid w:val="5CCD2699"/>
    <w:rsid w:val="5CD44424"/>
    <w:rsid w:val="5CF62482"/>
    <w:rsid w:val="5CF97E90"/>
    <w:rsid w:val="5D4B4AF8"/>
    <w:rsid w:val="5D565FC0"/>
    <w:rsid w:val="5D8F4C3C"/>
    <w:rsid w:val="5DDA75F7"/>
    <w:rsid w:val="5E0128C9"/>
    <w:rsid w:val="5E243BE2"/>
    <w:rsid w:val="5E6410EE"/>
    <w:rsid w:val="5E6F3664"/>
    <w:rsid w:val="5E98ABB2"/>
    <w:rsid w:val="5EA06DA5"/>
    <w:rsid w:val="5F1390D6"/>
    <w:rsid w:val="5F39AAF6"/>
    <w:rsid w:val="5F40609F"/>
    <w:rsid w:val="5F4F4D87"/>
    <w:rsid w:val="5F697BD6"/>
    <w:rsid w:val="5F993304"/>
    <w:rsid w:val="5F9C4B0A"/>
    <w:rsid w:val="5FCD79BC"/>
    <w:rsid w:val="5FCD8307"/>
    <w:rsid w:val="5FE1722C"/>
    <w:rsid w:val="60841FD2"/>
    <w:rsid w:val="60DC2A4A"/>
    <w:rsid w:val="60F85897"/>
    <w:rsid w:val="610759A2"/>
    <w:rsid w:val="61243F5C"/>
    <w:rsid w:val="614935CC"/>
    <w:rsid w:val="61B10BF4"/>
    <w:rsid w:val="61C30891"/>
    <w:rsid w:val="62127E94"/>
    <w:rsid w:val="6281851A"/>
    <w:rsid w:val="628AF458"/>
    <w:rsid w:val="628C43BA"/>
    <w:rsid w:val="62B86D75"/>
    <w:rsid w:val="62D86CD4"/>
    <w:rsid w:val="63332A05"/>
    <w:rsid w:val="6343267B"/>
    <w:rsid w:val="636D02C2"/>
    <w:rsid w:val="63DA0458"/>
    <w:rsid w:val="63E83246"/>
    <w:rsid w:val="63ED339A"/>
    <w:rsid w:val="644C37EA"/>
    <w:rsid w:val="64522299"/>
    <w:rsid w:val="647060C6"/>
    <w:rsid w:val="64E676A4"/>
    <w:rsid w:val="652D6FDA"/>
    <w:rsid w:val="654C1CD4"/>
    <w:rsid w:val="6630EB30"/>
    <w:rsid w:val="664723EE"/>
    <w:rsid w:val="669806BA"/>
    <w:rsid w:val="66BF6EDE"/>
    <w:rsid w:val="66F208F6"/>
    <w:rsid w:val="670F43BA"/>
    <w:rsid w:val="672F5434"/>
    <w:rsid w:val="67D84E0F"/>
    <w:rsid w:val="67F100AE"/>
    <w:rsid w:val="681B0D0E"/>
    <w:rsid w:val="6829779D"/>
    <w:rsid w:val="684E18B7"/>
    <w:rsid w:val="685C2D4A"/>
    <w:rsid w:val="68891522"/>
    <w:rsid w:val="68921D24"/>
    <w:rsid w:val="68A41C28"/>
    <w:rsid w:val="68F3D279"/>
    <w:rsid w:val="695210F3"/>
    <w:rsid w:val="695F559C"/>
    <w:rsid w:val="69775ACA"/>
    <w:rsid w:val="69866354"/>
    <w:rsid w:val="699E02BF"/>
    <w:rsid w:val="69EE0FD9"/>
    <w:rsid w:val="6A034459"/>
    <w:rsid w:val="6A053ADB"/>
    <w:rsid w:val="6A6A6BDB"/>
    <w:rsid w:val="6AB255E4"/>
    <w:rsid w:val="6B032373"/>
    <w:rsid w:val="6B4F47D5"/>
    <w:rsid w:val="6B78D2C5"/>
    <w:rsid w:val="6B8F0116"/>
    <w:rsid w:val="6BBB34D5"/>
    <w:rsid w:val="6BDD0993"/>
    <w:rsid w:val="6BFB3A72"/>
    <w:rsid w:val="6C2814C5"/>
    <w:rsid w:val="6C896F5D"/>
    <w:rsid w:val="6CEE02B5"/>
    <w:rsid w:val="6D4B2E16"/>
    <w:rsid w:val="6D7C59C7"/>
    <w:rsid w:val="6DBA54F3"/>
    <w:rsid w:val="6DC64BD9"/>
    <w:rsid w:val="6DCF5D2F"/>
    <w:rsid w:val="6DF20452"/>
    <w:rsid w:val="6E022B9F"/>
    <w:rsid w:val="6E211977"/>
    <w:rsid w:val="6E5208EE"/>
    <w:rsid w:val="6EE40C1F"/>
    <w:rsid w:val="6EEE1BA6"/>
    <w:rsid w:val="6EFF59F9"/>
    <w:rsid w:val="6F4C44B7"/>
    <w:rsid w:val="6F5B4A93"/>
    <w:rsid w:val="6F6DE3C8"/>
    <w:rsid w:val="6F9C180A"/>
    <w:rsid w:val="6FDD09C0"/>
    <w:rsid w:val="70193815"/>
    <w:rsid w:val="701E5F09"/>
    <w:rsid w:val="703366B6"/>
    <w:rsid w:val="7051AFB2"/>
    <w:rsid w:val="7053562B"/>
    <w:rsid w:val="70564F3C"/>
    <w:rsid w:val="705C503B"/>
    <w:rsid w:val="70E5063D"/>
    <w:rsid w:val="70F33C1C"/>
    <w:rsid w:val="70F52B73"/>
    <w:rsid w:val="716B0158"/>
    <w:rsid w:val="718CDE0A"/>
    <w:rsid w:val="71A44A93"/>
    <w:rsid w:val="71B85A82"/>
    <w:rsid w:val="71D10818"/>
    <w:rsid w:val="72584EE9"/>
    <w:rsid w:val="72A43EE0"/>
    <w:rsid w:val="72B83D9B"/>
    <w:rsid w:val="72E0C3CC"/>
    <w:rsid w:val="736B5E92"/>
    <w:rsid w:val="73807BD1"/>
    <w:rsid w:val="73827AFE"/>
    <w:rsid w:val="73BF2003"/>
    <w:rsid w:val="74094124"/>
    <w:rsid w:val="7439623C"/>
    <w:rsid w:val="746F11E1"/>
    <w:rsid w:val="74B31856"/>
    <w:rsid w:val="74E6A606"/>
    <w:rsid w:val="74F44873"/>
    <w:rsid w:val="7542C6EB"/>
    <w:rsid w:val="7562E4AA"/>
    <w:rsid w:val="75C26024"/>
    <w:rsid w:val="75CA56D7"/>
    <w:rsid w:val="75E83C51"/>
    <w:rsid w:val="76055019"/>
    <w:rsid w:val="7620B9CA"/>
    <w:rsid w:val="765D3844"/>
    <w:rsid w:val="76600471"/>
    <w:rsid w:val="769B54D1"/>
    <w:rsid w:val="76CF0A0C"/>
    <w:rsid w:val="76D26DDF"/>
    <w:rsid w:val="77201FC1"/>
    <w:rsid w:val="775580A4"/>
    <w:rsid w:val="7756371F"/>
    <w:rsid w:val="777D3C19"/>
    <w:rsid w:val="778407EB"/>
    <w:rsid w:val="778955B9"/>
    <w:rsid w:val="77C5ADB6"/>
    <w:rsid w:val="77E213CC"/>
    <w:rsid w:val="77EFE6AB"/>
    <w:rsid w:val="77FC011B"/>
    <w:rsid w:val="78177B7D"/>
    <w:rsid w:val="78733AA3"/>
    <w:rsid w:val="78872C05"/>
    <w:rsid w:val="78A15A46"/>
    <w:rsid w:val="78AB11CA"/>
    <w:rsid w:val="78BB0DDC"/>
    <w:rsid w:val="78F954D5"/>
    <w:rsid w:val="79002AF5"/>
    <w:rsid w:val="791745BB"/>
    <w:rsid w:val="794644D1"/>
    <w:rsid w:val="7948787A"/>
    <w:rsid w:val="79670C0D"/>
    <w:rsid w:val="797B0D1F"/>
    <w:rsid w:val="79834C44"/>
    <w:rsid w:val="79BA69C4"/>
    <w:rsid w:val="79C004C7"/>
    <w:rsid w:val="79CC39F6"/>
    <w:rsid w:val="79D2500C"/>
    <w:rsid w:val="79FF98D1"/>
    <w:rsid w:val="7A2719A0"/>
    <w:rsid w:val="7A362F73"/>
    <w:rsid w:val="7A3C61DF"/>
    <w:rsid w:val="7BB43447"/>
    <w:rsid w:val="7BB504A9"/>
    <w:rsid w:val="7C4D03BF"/>
    <w:rsid w:val="7C4F65DF"/>
    <w:rsid w:val="7C6F64F7"/>
    <w:rsid w:val="7C9B4490"/>
    <w:rsid w:val="7C9F923C"/>
    <w:rsid w:val="7CA77232"/>
    <w:rsid w:val="7CC17C80"/>
    <w:rsid w:val="7D1F64B1"/>
    <w:rsid w:val="7D77252F"/>
    <w:rsid w:val="7D7D6373"/>
    <w:rsid w:val="7DE6A478"/>
    <w:rsid w:val="7E19165D"/>
    <w:rsid w:val="7E2C3640"/>
    <w:rsid w:val="7E7FC29C"/>
    <w:rsid w:val="7E882197"/>
    <w:rsid w:val="7E99061C"/>
    <w:rsid w:val="7EA7C483"/>
    <w:rsid w:val="7EA84611"/>
    <w:rsid w:val="7EB42825"/>
    <w:rsid w:val="7ECADA6F"/>
    <w:rsid w:val="7EFFD3CD"/>
    <w:rsid w:val="7F238E4C"/>
    <w:rsid w:val="7F9B86B7"/>
    <w:rsid w:val="7FA87AE9"/>
    <w:rsid w:val="7FAEBDF2"/>
    <w:rsid w:val="7FB15BB4"/>
    <w:rsid w:val="7FE22F25"/>
    <w:rsid w:val="7FEEDAF4"/>
    <w:rsid w:val="7FEF7F78"/>
    <w:rsid w:val="815330D5"/>
    <w:rsid w:val="82F4CBBF"/>
    <w:rsid w:val="851892DB"/>
    <w:rsid w:val="85A65D80"/>
    <w:rsid w:val="8688098F"/>
    <w:rsid w:val="868FFA47"/>
    <w:rsid w:val="8A257E7C"/>
    <w:rsid w:val="8A6319E3"/>
    <w:rsid w:val="8B79EC1F"/>
    <w:rsid w:val="8D92F37F"/>
    <w:rsid w:val="8E4A0F4A"/>
    <w:rsid w:val="8F2A3B81"/>
    <w:rsid w:val="8F3EDFF9"/>
    <w:rsid w:val="8FA50FFD"/>
    <w:rsid w:val="8FA56030"/>
    <w:rsid w:val="91F6B8F1"/>
    <w:rsid w:val="924CE190"/>
    <w:rsid w:val="960E0DFD"/>
    <w:rsid w:val="9616A199"/>
    <w:rsid w:val="963A595A"/>
    <w:rsid w:val="96624094"/>
    <w:rsid w:val="966C70DA"/>
    <w:rsid w:val="97056376"/>
    <w:rsid w:val="98EF7436"/>
    <w:rsid w:val="995B4085"/>
    <w:rsid w:val="9B63AF9A"/>
    <w:rsid w:val="9BCD44A0"/>
    <w:rsid w:val="9C02C751"/>
    <w:rsid w:val="9D4BB1AB"/>
    <w:rsid w:val="9E94E1CD"/>
    <w:rsid w:val="9F1F048B"/>
    <w:rsid w:val="9FC89708"/>
    <w:rsid w:val="9FE1EA38"/>
    <w:rsid w:val="A0723730"/>
    <w:rsid w:val="A0DE4144"/>
    <w:rsid w:val="A13A9956"/>
    <w:rsid w:val="A2A125E1"/>
    <w:rsid w:val="A2F8097C"/>
    <w:rsid w:val="A365FF7C"/>
    <w:rsid w:val="A3728C73"/>
    <w:rsid w:val="A4635A38"/>
    <w:rsid w:val="A6468BA4"/>
    <w:rsid w:val="A6668FF8"/>
    <w:rsid w:val="A690C45A"/>
    <w:rsid w:val="A6AD59B9"/>
    <w:rsid w:val="A7BB25F4"/>
    <w:rsid w:val="A7FF885D"/>
    <w:rsid w:val="A8F0AE33"/>
    <w:rsid w:val="AB306CEC"/>
    <w:rsid w:val="AC098D05"/>
    <w:rsid w:val="AD7A7F41"/>
    <w:rsid w:val="AF3C4113"/>
    <w:rsid w:val="B4910B04"/>
    <w:rsid w:val="B5A780E8"/>
    <w:rsid w:val="B6D1768B"/>
    <w:rsid w:val="B8A339A1"/>
    <w:rsid w:val="B9FBC380"/>
    <w:rsid w:val="BB11F94E"/>
    <w:rsid w:val="BBFF3DD7"/>
    <w:rsid w:val="BD7C5409"/>
    <w:rsid w:val="BDEA2229"/>
    <w:rsid w:val="BE09FA6A"/>
    <w:rsid w:val="BE7AD643"/>
    <w:rsid w:val="BF657FEE"/>
    <w:rsid w:val="BF7D8EE3"/>
    <w:rsid w:val="BFFF5B27"/>
    <w:rsid w:val="C0C4796E"/>
    <w:rsid w:val="C1A9ED32"/>
    <w:rsid w:val="C40B8803"/>
    <w:rsid w:val="C49674F0"/>
    <w:rsid w:val="C5E68C71"/>
    <w:rsid w:val="C6E1BB01"/>
    <w:rsid w:val="C6E6C72A"/>
    <w:rsid w:val="C79D3553"/>
    <w:rsid w:val="C873725D"/>
    <w:rsid w:val="CA02E84F"/>
    <w:rsid w:val="CCCB9818"/>
    <w:rsid w:val="CD797CAB"/>
    <w:rsid w:val="CE5F9BAA"/>
    <w:rsid w:val="CE9DFAB7"/>
    <w:rsid w:val="CF98DB34"/>
    <w:rsid w:val="CFCE7A6B"/>
    <w:rsid w:val="D1C85E2C"/>
    <w:rsid w:val="D4364B95"/>
    <w:rsid w:val="D4D210D4"/>
    <w:rsid w:val="D4F69DCD"/>
    <w:rsid w:val="D62DB1AE"/>
    <w:rsid w:val="D668DA27"/>
    <w:rsid w:val="D6FE9860"/>
    <w:rsid w:val="D8AB58EA"/>
    <w:rsid w:val="D96093C2"/>
    <w:rsid w:val="DB0104EC"/>
    <w:rsid w:val="DD43CEB1"/>
    <w:rsid w:val="DE2E61AF"/>
    <w:rsid w:val="DFBB48F5"/>
    <w:rsid w:val="DFCC197C"/>
    <w:rsid w:val="E26792E8"/>
    <w:rsid w:val="E2DF1A29"/>
    <w:rsid w:val="E41C2D27"/>
    <w:rsid w:val="E41F2FDE"/>
    <w:rsid w:val="E48987EF"/>
    <w:rsid w:val="E596B5F7"/>
    <w:rsid w:val="E5A9975C"/>
    <w:rsid w:val="E7F3719B"/>
    <w:rsid w:val="E814FEA1"/>
    <w:rsid w:val="E85A2E15"/>
    <w:rsid w:val="EBDD4D9D"/>
    <w:rsid w:val="ED01165D"/>
    <w:rsid w:val="EE300775"/>
    <w:rsid w:val="EEF7A18E"/>
    <w:rsid w:val="EF9DA58B"/>
    <w:rsid w:val="EFD768C6"/>
    <w:rsid w:val="F0F67368"/>
    <w:rsid w:val="F28A1D8C"/>
    <w:rsid w:val="F31363B9"/>
    <w:rsid w:val="F4F72441"/>
    <w:rsid w:val="F691757A"/>
    <w:rsid w:val="F6DA6FD2"/>
    <w:rsid w:val="F79408F4"/>
    <w:rsid w:val="F924ED9F"/>
    <w:rsid w:val="F9F74D2F"/>
    <w:rsid w:val="F9FCE0D1"/>
    <w:rsid w:val="FBA95783"/>
    <w:rsid w:val="FBE540FA"/>
    <w:rsid w:val="FBEFE258"/>
    <w:rsid w:val="FC868816"/>
    <w:rsid w:val="FCE54D1C"/>
    <w:rsid w:val="FF17CDE1"/>
    <w:rsid w:val="FF3E9DEE"/>
    <w:rsid w:val="FF97EC0B"/>
    <w:rsid w:val="FFEFD1E2"/>
    <w:rsid w:val="FFFBA6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3"/>
    <w:basedOn w:val="1"/>
    <w:next w:val="1"/>
    <w:link w:val="50"/>
    <w:semiHidden/>
    <w:unhideWhenUsed/>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420" w:leftChars="200"/>
      <w:textAlignment w:val="baseline"/>
    </w:pPr>
    <w:rPr>
      <w:rFonts w:ascii="Times New Roman" w:hAnsi="Times New Roman"/>
    </w:rPr>
  </w:style>
  <w:style w:type="paragraph" w:styleId="5">
    <w:name w:val="Normal Indent"/>
    <w:basedOn w:val="1"/>
    <w:next w:val="1"/>
    <w:unhideWhenUsed/>
    <w:qFormat/>
    <w:uiPriority w:val="99"/>
    <w:pPr>
      <w:adjustRightInd w:val="0"/>
      <w:spacing w:line="360" w:lineRule="auto"/>
      <w:ind w:firstLine="420"/>
      <w:textAlignment w:val="baseline"/>
    </w:pPr>
    <w:rPr>
      <w:rFonts w:eastAsia="仿宋_GB2312"/>
      <w:kern w:val="0"/>
      <w:sz w:val="32"/>
    </w:rPr>
  </w:style>
  <w:style w:type="paragraph" w:styleId="6">
    <w:name w:val="annotation text"/>
    <w:link w:val="51"/>
    <w:qFormat/>
    <w:uiPriority w:val="0"/>
    <w:pPr>
      <w:widowControl w:val="0"/>
    </w:pPr>
    <w:rPr>
      <w:rFonts w:ascii="Calibri" w:hAnsi="Calibri" w:eastAsia="宋体" w:cs="Times New Roman"/>
      <w:kern w:val="2"/>
      <w:sz w:val="21"/>
      <w:szCs w:val="22"/>
      <w:lang w:val="en-US" w:eastAsia="zh-CN" w:bidi="ar-SA"/>
    </w:rPr>
  </w:style>
  <w:style w:type="paragraph" w:styleId="7">
    <w:name w:val="Body Text"/>
    <w:next w:val="8"/>
    <w:link w:val="56"/>
    <w:unhideWhenUsed/>
    <w:qFormat/>
    <w:uiPriority w:val="99"/>
    <w:pPr>
      <w:widowControl w:val="0"/>
      <w:spacing w:after="120"/>
      <w:jc w:val="both"/>
    </w:pPr>
    <w:rPr>
      <w:rFonts w:ascii="Calibri" w:hAnsi="Calibri" w:eastAsia="宋体" w:cs="Times New Roman"/>
      <w:kern w:val="2"/>
      <w:sz w:val="21"/>
      <w:szCs w:val="22"/>
      <w:lang w:val="en-US" w:eastAsia="zh-CN" w:bidi="ar-SA"/>
    </w:rPr>
  </w:style>
  <w:style w:type="paragraph" w:styleId="8">
    <w:name w:val="toc 5"/>
    <w:basedOn w:val="1"/>
    <w:next w:val="1"/>
    <w:qFormat/>
    <w:uiPriority w:val="0"/>
    <w:pPr>
      <w:ind w:left="1680" w:leftChars="800"/>
    </w:pPr>
  </w:style>
  <w:style w:type="paragraph" w:styleId="9">
    <w:name w:val="Body Text Indent"/>
    <w:basedOn w:val="1"/>
    <w:qFormat/>
    <w:uiPriority w:val="0"/>
    <w:pPr>
      <w:spacing w:after="120"/>
      <w:ind w:left="420" w:leftChars="200"/>
    </w:pPr>
    <w:rPr>
      <w:rFonts w:ascii="Times New Roman" w:hAnsi="Times New Roman"/>
    </w:rPr>
  </w:style>
  <w:style w:type="paragraph" w:styleId="10">
    <w:name w:val="Body Text Indent 2"/>
    <w:basedOn w:val="1"/>
    <w:next w:val="11"/>
    <w:qFormat/>
    <w:uiPriority w:val="0"/>
    <w:pPr>
      <w:adjustRightInd w:val="0"/>
      <w:snapToGrid w:val="0"/>
      <w:spacing w:line="560" w:lineRule="atLeast"/>
      <w:ind w:firstLine="768" w:firstLineChars="240"/>
    </w:pPr>
    <w:rPr>
      <w:rFonts w:ascii="Times New Roman" w:hAnsi="Times New Roman" w:eastAsia="仿宋_GB2312"/>
      <w:sz w:val="32"/>
      <w:szCs w:val="32"/>
    </w:rPr>
  </w:style>
  <w:style w:type="paragraph" w:styleId="11">
    <w:name w:val="Body Text First Indent 2"/>
    <w:basedOn w:val="9"/>
    <w:qFormat/>
    <w:uiPriority w:val="0"/>
    <w:pPr>
      <w:ind w:firstLine="420" w:firstLineChars="200"/>
    </w:pPr>
  </w:style>
  <w:style w:type="paragraph" w:styleId="12">
    <w:name w:val="Balloon Text"/>
    <w:basedOn w:val="1"/>
    <w:link w:val="42"/>
    <w:qFormat/>
    <w:uiPriority w:val="0"/>
    <w:rPr>
      <w:sz w:val="18"/>
      <w:szCs w:val="18"/>
    </w:rPr>
  </w:style>
  <w:style w:type="paragraph" w:styleId="13">
    <w:name w:val="footer"/>
    <w:basedOn w:val="1"/>
    <w:link w:val="54"/>
    <w:qFormat/>
    <w:uiPriority w:val="99"/>
    <w:pPr>
      <w:tabs>
        <w:tab w:val="center" w:pos="4153"/>
        <w:tab w:val="right" w:pos="8306"/>
      </w:tabs>
      <w:snapToGrid w:val="0"/>
      <w:jc w:val="left"/>
    </w:pPr>
    <w:rPr>
      <w:rFonts w:ascii="Times New Roman" w:hAnsi="Times New Roman"/>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5">
    <w:name w:val="toc 1"/>
    <w:basedOn w:val="1"/>
    <w:next w:val="1"/>
    <w:qFormat/>
    <w:uiPriority w:val="0"/>
    <w:rPr>
      <w:rFonts w:ascii="Times New Roman" w:hAnsi="Times New Roman"/>
    </w:rPr>
  </w:style>
  <w:style w:type="paragraph" w:styleId="16">
    <w:name w:val="footnote text"/>
    <w:basedOn w:val="1"/>
    <w:qFormat/>
    <w:uiPriority w:val="0"/>
    <w:pPr>
      <w:snapToGrid w:val="0"/>
      <w:jc w:val="left"/>
    </w:pPr>
    <w:rPr>
      <w:sz w:val="18"/>
    </w:rPr>
  </w:style>
  <w:style w:type="paragraph" w:styleId="17">
    <w:name w:val="toc 2"/>
    <w:basedOn w:val="1"/>
    <w:next w:val="1"/>
    <w:qFormat/>
    <w:uiPriority w:val="0"/>
    <w:pPr>
      <w:ind w:left="420" w:leftChars="200"/>
    </w:pPr>
    <w:rPr>
      <w:rFonts w:ascii="Times New Roman" w:hAnsi="Times New Roman"/>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annotation subject"/>
    <w:basedOn w:val="6"/>
    <w:next w:val="6"/>
    <w:link w:val="52"/>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FollowedHyperlink"/>
    <w:basedOn w:val="23"/>
    <w:qFormat/>
    <w:uiPriority w:val="0"/>
    <w:rPr>
      <w:rFonts w:ascii="Times New Roman" w:hAnsi="Times New Roman" w:eastAsia="宋体" w:cs="Times New Roman"/>
      <w:color w:val="000000"/>
      <w:u w:val="none"/>
    </w:rPr>
  </w:style>
  <w:style w:type="character" w:styleId="26">
    <w:name w:val="Emphasis"/>
    <w:basedOn w:val="23"/>
    <w:qFormat/>
    <w:uiPriority w:val="0"/>
    <w:rPr>
      <w:rFonts w:ascii="Times New Roman" w:hAnsi="Times New Roman" w:eastAsia="宋体" w:cs="Times New Roman"/>
      <w:i/>
    </w:rPr>
  </w:style>
  <w:style w:type="character" w:styleId="27">
    <w:name w:val="HTML Acronym"/>
    <w:basedOn w:val="23"/>
    <w:qFormat/>
    <w:uiPriority w:val="0"/>
  </w:style>
  <w:style w:type="character" w:styleId="28">
    <w:name w:val="Hyperlink"/>
    <w:basedOn w:val="23"/>
    <w:qFormat/>
    <w:uiPriority w:val="0"/>
    <w:rPr>
      <w:rFonts w:ascii="Times New Roman" w:hAnsi="Times New Roman" w:eastAsia="宋体" w:cs="Times New Roman"/>
      <w:color w:val="000000"/>
      <w:u w:val="none"/>
    </w:rPr>
  </w:style>
  <w:style w:type="character" w:styleId="29">
    <w:name w:val="HTML Code"/>
    <w:basedOn w:val="23"/>
    <w:qFormat/>
    <w:uiPriority w:val="0"/>
    <w:rPr>
      <w:rFonts w:ascii="Courier New" w:hAnsi="Courier New"/>
      <w:sz w:val="20"/>
    </w:rPr>
  </w:style>
  <w:style w:type="character" w:styleId="30">
    <w:name w:val="annotation reference"/>
    <w:basedOn w:val="23"/>
    <w:qFormat/>
    <w:uiPriority w:val="0"/>
    <w:rPr>
      <w:sz w:val="21"/>
      <w:szCs w:val="21"/>
    </w:rPr>
  </w:style>
  <w:style w:type="character" w:styleId="31">
    <w:name w:val="HTML Cite"/>
    <w:basedOn w:val="23"/>
    <w:qFormat/>
    <w:uiPriority w:val="0"/>
    <w:rPr>
      <w:color w:val="008000"/>
    </w:rPr>
  </w:style>
  <w:style w:type="character" w:styleId="32">
    <w:name w:val="footnote reference"/>
    <w:basedOn w:val="23"/>
    <w:qFormat/>
    <w:uiPriority w:val="0"/>
    <w:rPr>
      <w:vertAlign w:val="superscript"/>
    </w:rPr>
  </w:style>
  <w:style w:type="character" w:customStyle="1" w:styleId="33">
    <w:name w:val="news-time2"/>
    <w:basedOn w:val="23"/>
    <w:qFormat/>
    <w:uiPriority w:val="0"/>
    <w:rPr>
      <w:rFonts w:ascii="Arial" w:hAnsi="Arial" w:cs="Arial"/>
      <w:color w:val="FFFFFF"/>
      <w:sz w:val="18"/>
      <w:szCs w:val="18"/>
      <w:shd w:val="clear" w:color="auto" w:fill="B3B3B3"/>
    </w:rPr>
  </w:style>
  <w:style w:type="character" w:customStyle="1" w:styleId="34">
    <w:name w:val="jtico_tieba"/>
    <w:basedOn w:val="23"/>
    <w:qFormat/>
    <w:uiPriority w:val="0"/>
    <w:rPr>
      <w:shd w:val="clear" w:color="auto" w:fill="0C4DA0"/>
    </w:rPr>
  </w:style>
  <w:style w:type="character" w:customStyle="1" w:styleId="35">
    <w:name w:val="first-child1"/>
    <w:basedOn w:val="23"/>
    <w:qFormat/>
    <w:uiPriority w:val="0"/>
    <w:rPr>
      <w:color w:val="E50012"/>
      <w:sz w:val="36"/>
      <w:szCs w:val="36"/>
    </w:rPr>
  </w:style>
  <w:style w:type="character" w:customStyle="1" w:styleId="36">
    <w:name w:val="jtico_weixin"/>
    <w:basedOn w:val="23"/>
    <w:qFormat/>
    <w:uiPriority w:val="0"/>
    <w:rPr>
      <w:shd w:val="clear" w:color="auto" w:fill="198910"/>
    </w:rPr>
  </w:style>
  <w:style w:type="character" w:customStyle="1" w:styleId="37">
    <w:name w:val="first-child"/>
    <w:basedOn w:val="23"/>
    <w:qFormat/>
    <w:uiPriority w:val="0"/>
    <w:rPr>
      <w:color w:val="E50012"/>
      <w:sz w:val="36"/>
      <w:szCs w:val="36"/>
    </w:rPr>
  </w:style>
  <w:style w:type="character" w:customStyle="1" w:styleId="38">
    <w:name w:val="jtico_qzone"/>
    <w:basedOn w:val="23"/>
    <w:qFormat/>
    <w:uiPriority w:val="0"/>
    <w:rPr>
      <w:shd w:val="clear" w:color="auto" w:fill="FFC028"/>
    </w:rPr>
  </w:style>
  <w:style w:type="character" w:customStyle="1" w:styleId="39">
    <w:name w:val="jtico_tsina2"/>
    <w:basedOn w:val="23"/>
    <w:qFormat/>
    <w:uiPriority w:val="0"/>
    <w:rPr>
      <w:shd w:val="clear" w:color="auto" w:fill="CB1625"/>
    </w:rPr>
  </w:style>
  <w:style w:type="character" w:customStyle="1" w:styleId="40">
    <w:name w:val="jtico_cqq"/>
    <w:basedOn w:val="23"/>
    <w:qFormat/>
    <w:uiPriority w:val="0"/>
    <w:rPr>
      <w:shd w:val="clear" w:color="auto" w:fill="1D8AC9"/>
    </w:rPr>
  </w:style>
  <w:style w:type="character" w:customStyle="1" w:styleId="41">
    <w:name w:val="jtico_tsina"/>
    <w:basedOn w:val="23"/>
    <w:qFormat/>
    <w:uiPriority w:val="0"/>
    <w:rPr>
      <w:shd w:val="clear" w:color="auto" w:fill="CB1625"/>
    </w:rPr>
  </w:style>
  <w:style w:type="character" w:customStyle="1" w:styleId="42">
    <w:name w:val="批注框文本 字符"/>
    <w:basedOn w:val="23"/>
    <w:link w:val="12"/>
    <w:qFormat/>
    <w:uiPriority w:val="0"/>
    <w:rPr>
      <w:rFonts w:ascii="Calibri" w:hAnsi="Calibri"/>
      <w:kern w:val="2"/>
      <w:sz w:val="18"/>
      <w:szCs w:val="18"/>
    </w:rPr>
  </w:style>
  <w:style w:type="character" w:customStyle="1" w:styleId="43">
    <w:name w:val="hover25"/>
    <w:basedOn w:val="23"/>
    <w:qFormat/>
    <w:uiPriority w:val="0"/>
  </w:style>
  <w:style w:type="character" w:customStyle="1" w:styleId="44">
    <w:name w:val="hover26"/>
    <w:basedOn w:val="23"/>
    <w:qFormat/>
    <w:uiPriority w:val="0"/>
    <w:rPr>
      <w:color w:val="315EFB"/>
    </w:rPr>
  </w:style>
  <w:style w:type="character" w:customStyle="1" w:styleId="45">
    <w:name w:val="c-icon28"/>
    <w:basedOn w:val="23"/>
    <w:qFormat/>
    <w:uiPriority w:val="0"/>
  </w:style>
  <w:style w:type="character" w:customStyle="1" w:styleId="46">
    <w:name w:val="tit"/>
    <w:basedOn w:val="23"/>
    <w:qFormat/>
    <w:uiPriority w:val="0"/>
    <w:rPr>
      <w:color w:val="151515"/>
      <w:sz w:val="18"/>
      <w:szCs w:val="18"/>
    </w:rPr>
  </w:style>
  <w:style w:type="character" w:customStyle="1" w:styleId="47">
    <w:name w:val="green"/>
    <w:basedOn w:val="23"/>
    <w:qFormat/>
    <w:uiPriority w:val="0"/>
    <w:rPr>
      <w:color w:val="D92C0A"/>
    </w:rPr>
  </w:style>
  <w:style w:type="character" w:customStyle="1" w:styleId="48">
    <w:name w:val="tpname"/>
    <w:basedOn w:val="23"/>
    <w:qFormat/>
    <w:uiPriority w:val="0"/>
    <w:rPr>
      <w:color w:val="FFFFFF"/>
      <w:sz w:val="18"/>
      <w:szCs w:val="18"/>
      <w:shd w:val="clear" w:color="auto" w:fill="616564"/>
    </w:rPr>
  </w:style>
  <w:style w:type="character" w:customStyle="1" w:styleId="49">
    <w:name w:val="tpname1"/>
    <w:basedOn w:val="23"/>
    <w:qFormat/>
    <w:uiPriority w:val="0"/>
    <w:rPr>
      <w:shd w:val="clear" w:color="auto" w:fill="44B1F2"/>
    </w:rPr>
  </w:style>
  <w:style w:type="character" w:customStyle="1" w:styleId="50">
    <w:name w:val="标题 3 字符"/>
    <w:basedOn w:val="23"/>
    <w:link w:val="4"/>
    <w:semiHidden/>
    <w:qFormat/>
    <w:uiPriority w:val="0"/>
    <w:rPr>
      <w:rFonts w:ascii="Calibri" w:hAnsi="Calibri"/>
      <w:b/>
      <w:bCs/>
      <w:kern w:val="2"/>
      <w:sz w:val="32"/>
      <w:szCs w:val="32"/>
    </w:rPr>
  </w:style>
  <w:style w:type="character" w:customStyle="1" w:styleId="51">
    <w:name w:val="批注文字 字符"/>
    <w:basedOn w:val="23"/>
    <w:link w:val="6"/>
    <w:qFormat/>
    <w:uiPriority w:val="0"/>
    <w:rPr>
      <w:rFonts w:ascii="Calibri" w:hAnsi="Calibri"/>
      <w:kern w:val="2"/>
      <w:sz w:val="21"/>
      <w:szCs w:val="22"/>
    </w:rPr>
  </w:style>
  <w:style w:type="character" w:customStyle="1" w:styleId="52">
    <w:name w:val="批注主题 字符"/>
    <w:basedOn w:val="51"/>
    <w:link w:val="20"/>
    <w:qFormat/>
    <w:uiPriority w:val="0"/>
    <w:rPr>
      <w:rFonts w:ascii="Calibri" w:hAnsi="Calibri"/>
      <w:kern w:val="2"/>
      <w:sz w:val="21"/>
      <w:szCs w:val="22"/>
    </w:rPr>
  </w:style>
  <w:style w:type="paragraph" w:customStyle="1" w:styleId="53">
    <w:name w:val="Char"/>
    <w:basedOn w:val="1"/>
    <w:qFormat/>
    <w:uiPriority w:val="0"/>
    <w:rPr>
      <w:rFonts w:ascii="Times New Roman" w:hAnsi="Times New Roman"/>
      <w:szCs w:val="20"/>
    </w:rPr>
  </w:style>
  <w:style w:type="character" w:customStyle="1" w:styleId="54">
    <w:name w:val="页脚 字符"/>
    <w:basedOn w:val="23"/>
    <w:link w:val="13"/>
    <w:qFormat/>
    <w:uiPriority w:val="99"/>
    <w:rPr>
      <w:kern w:val="2"/>
      <w:sz w:val="18"/>
      <w:szCs w:val="22"/>
    </w:rPr>
  </w:style>
  <w:style w:type="paragraph" w:customStyle="1" w:styleId="55">
    <w:name w:val="Revision"/>
    <w:hidden/>
    <w:semiHidden/>
    <w:qFormat/>
    <w:uiPriority w:val="99"/>
    <w:rPr>
      <w:rFonts w:ascii="Calibri" w:hAnsi="Calibri" w:eastAsia="宋体" w:cs="Times New Roman"/>
      <w:kern w:val="2"/>
      <w:sz w:val="21"/>
      <w:szCs w:val="22"/>
      <w:lang w:val="en-US" w:eastAsia="zh-CN" w:bidi="ar-SA"/>
    </w:rPr>
  </w:style>
  <w:style w:type="character" w:customStyle="1" w:styleId="56">
    <w:name w:val="正文文本 字符"/>
    <w:basedOn w:val="23"/>
    <w:link w:val="7"/>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2570</Words>
  <Characters>14649</Characters>
  <Lines>122</Lines>
  <Paragraphs>34</Paragraphs>
  <TotalTime>171</TotalTime>
  <ScaleCrop>false</ScaleCrop>
  <LinksUpToDate>false</LinksUpToDate>
  <CharactersWithSpaces>17185</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2022-04-23T10:59:00Z</dcterms:created>
  <dc:creator>wangpei</dc:creator>
  <cp:lastModifiedBy>laitingting</cp:lastModifiedBy>
  <cp:lastPrinted>2022-03-11T18:32:00Z</cp:lastPrinted>
  <dcterms:modified xsi:type="dcterms:W3CDTF">2026-06-05T16:23:55Z</dcterms:modified>
  <dc:title>珠海市建筑节能与绿色建筑发展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showSavePromptFlag">
    <vt:lpwstr>true</vt:lpwstr>
  </property>
  <property fmtid="{D5CDD505-2E9C-101B-9397-08002B2CF9AE}" pid="4" name="ribbonExt">
    <vt:lpwstr>{"WPSExtOfficeTab":{"OnGetEnabled":false,"OnGetVisible":false}}</vt:lpwstr>
  </property>
  <property fmtid="{D5CDD505-2E9C-101B-9397-08002B2CF9AE}" pid="5" name="ICV">
    <vt:lpwstr>0344766485CF9F429B87226A7464413B_42</vt:lpwstr>
  </property>
</Properties>
</file>