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cs="仿宋_GB2312"/>
          <w:szCs w:val="40"/>
        </w:rPr>
      </w:pPr>
    </w:p>
    <w:p>
      <w:pPr>
        <w:spacing w:line="560" w:lineRule="exact"/>
        <w:jc w:val="center"/>
        <w:rPr>
          <w:rFonts w:eastAsia="方正小标宋简体" w:cs="方正小标宋简体"/>
          <w:sz w:val="44"/>
          <w:szCs w:val="44"/>
        </w:rPr>
      </w:pPr>
      <w:r>
        <w:rPr>
          <w:rFonts w:hint="eastAsia" w:eastAsia="方正小标宋简体" w:cs="方正小标宋简体"/>
          <w:sz w:val="36"/>
          <w:szCs w:val="36"/>
        </w:rPr>
        <w:t>贵金属及其饰品产品质量监督抽查实施细则</w:t>
      </w:r>
    </w:p>
    <w:p>
      <w:pPr>
        <w:spacing w:line="560" w:lineRule="exact"/>
        <w:jc w:val="center"/>
        <w:rPr>
          <w:rFonts w:eastAsia="楷体_GB2312" w:cs="楷体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560" w:firstLineChars="200"/>
        <w:jc w:val="left"/>
        <w:rPr>
          <w:rFonts w:eastAsia="黑体" w:cs="黑体"/>
          <w:sz w:val="28"/>
          <w:szCs w:val="36"/>
        </w:rPr>
      </w:pPr>
      <w:r>
        <w:rPr>
          <w:rFonts w:hint="eastAsia" w:eastAsia="黑体" w:cs="黑体"/>
          <w:sz w:val="28"/>
          <w:szCs w:val="36"/>
          <w:lang w:eastAsia="zh-CN"/>
        </w:rPr>
        <w:t>一、</w:t>
      </w:r>
      <w:r>
        <w:rPr>
          <w:rFonts w:hint="eastAsia" w:eastAsia="黑体" w:cs="黑体"/>
          <w:sz w:val="28"/>
          <w:szCs w:val="36"/>
        </w:rPr>
        <w:t>抽样方法</w:t>
      </w:r>
    </w:p>
    <w:p>
      <w:pPr>
        <w:spacing w:line="560" w:lineRule="exact"/>
        <w:ind w:firstLine="560" w:firstLineChars="200"/>
        <w:jc w:val="left"/>
        <w:rPr>
          <w:rFonts w:cs="仿宋_GB2312"/>
          <w:sz w:val="28"/>
          <w:szCs w:val="36"/>
        </w:rPr>
      </w:pPr>
      <w:r>
        <w:rPr>
          <w:rFonts w:hint="eastAsia" w:cs="仿宋_GB2312"/>
          <w:sz w:val="28"/>
          <w:szCs w:val="36"/>
        </w:rPr>
        <w:t>以随机抽样的方式在被抽样生产者、销售者的待销产品中抽取。</w:t>
      </w:r>
    </w:p>
    <w:p>
      <w:pPr>
        <w:spacing w:line="560" w:lineRule="exact"/>
        <w:ind w:firstLine="560" w:firstLineChars="200"/>
        <w:jc w:val="left"/>
        <w:rPr>
          <w:rFonts w:cs="仿宋_GB2312"/>
          <w:sz w:val="28"/>
          <w:szCs w:val="36"/>
        </w:rPr>
      </w:pPr>
      <w:r>
        <w:rPr>
          <w:rFonts w:hint="eastAsia" w:cs="仿宋_GB2312"/>
          <w:sz w:val="28"/>
          <w:szCs w:val="36"/>
        </w:rPr>
        <w:t>随机数一般可使用随机数表等方法产生。</w:t>
      </w:r>
    </w:p>
    <w:p>
      <w:pPr>
        <w:spacing w:line="560" w:lineRule="exact"/>
        <w:ind w:firstLine="560" w:firstLineChars="200"/>
        <w:jc w:val="left"/>
        <w:rPr>
          <w:rFonts w:cs="仿宋_GB2312"/>
          <w:sz w:val="28"/>
          <w:szCs w:val="36"/>
        </w:rPr>
      </w:pPr>
      <w:r>
        <w:rPr>
          <w:rFonts w:hint="eastAsia" w:cs="仿宋_GB2312"/>
          <w:sz w:val="28"/>
          <w:szCs w:val="36"/>
        </w:rPr>
        <w:t>每批次按照下表的样品数量，随机抽取同一生产者按照同一标准生产的同一商标、同一规格型号的样品作为检验样品，不抽备用样品。</w:t>
      </w:r>
    </w:p>
    <w:p>
      <w:pPr>
        <w:spacing w:line="560" w:lineRule="exact"/>
        <w:jc w:val="center"/>
        <w:rPr>
          <w:kern w:val="0"/>
          <w:sz w:val="28"/>
          <w:szCs w:val="28"/>
        </w:rPr>
      </w:pPr>
      <w:r>
        <w:rPr>
          <w:rFonts w:hint="eastAsia" w:cs="仿宋_GB2312"/>
          <w:sz w:val="28"/>
          <w:szCs w:val="36"/>
        </w:rPr>
        <w:t>表</w:t>
      </w:r>
      <w:r>
        <w:rPr>
          <w:rFonts w:cs="仿宋_GB2312"/>
          <w:sz w:val="28"/>
          <w:szCs w:val="36"/>
        </w:rPr>
        <w:t xml:space="preserve">1 </w:t>
      </w:r>
      <w:r>
        <w:rPr>
          <w:rFonts w:hint="eastAsia" w:cs="仿宋_GB2312"/>
          <w:sz w:val="28"/>
          <w:szCs w:val="36"/>
        </w:rPr>
        <w:t>每批次样品数量要求</w:t>
      </w:r>
    </w:p>
    <w:tbl>
      <w:tblPr>
        <w:tblStyle w:val="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6"/>
        <w:gridCol w:w="3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97"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4"/>
                <w:szCs w:val="24"/>
                <w:lang w:bidi="ar"/>
              </w:rPr>
            </w:pPr>
            <w:r>
              <w:rPr>
                <w:rFonts w:hint="eastAsia" w:asciiTheme="majorEastAsia" w:hAnsiTheme="majorEastAsia" w:eastAsiaTheme="majorEastAsia" w:cstheme="majorEastAsia"/>
                <w:b/>
                <w:bCs/>
                <w:sz w:val="24"/>
                <w:szCs w:val="24"/>
                <w:lang w:bidi="ar"/>
              </w:rPr>
              <w:t>产品种类</w:t>
            </w:r>
          </w:p>
        </w:tc>
        <w:tc>
          <w:tcPr>
            <w:tcW w:w="2302"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4"/>
                <w:szCs w:val="24"/>
                <w:lang w:bidi="ar"/>
              </w:rPr>
            </w:pPr>
            <w:r>
              <w:rPr>
                <w:rFonts w:hint="eastAsia" w:asciiTheme="majorEastAsia" w:hAnsiTheme="majorEastAsia" w:eastAsiaTheme="majorEastAsia" w:cstheme="majorEastAsia"/>
                <w:b/>
                <w:bCs/>
                <w:sz w:val="24"/>
                <w:szCs w:val="24"/>
                <w:lang w:bidi="ar"/>
              </w:rPr>
              <w:t>检验样品数量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97"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金、银、铂首饰</w:t>
            </w:r>
          </w:p>
        </w:tc>
        <w:tc>
          <w:tcPr>
            <w:tcW w:w="2302"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抽取重量不小于3.5克的样品</w:t>
            </w:r>
          </w:p>
        </w:tc>
      </w:tr>
    </w:tbl>
    <w:p>
      <w:pPr>
        <w:spacing w:line="560" w:lineRule="exact"/>
        <w:ind w:firstLine="560" w:firstLineChars="200"/>
        <w:rPr>
          <w:rFonts w:eastAsia="黑体" w:cs="黑体"/>
          <w:sz w:val="28"/>
          <w:szCs w:val="36"/>
        </w:rPr>
      </w:pPr>
      <w:r>
        <w:rPr>
          <w:rFonts w:hint="eastAsia" w:eastAsia="黑体" w:cs="黑体"/>
          <w:sz w:val="28"/>
          <w:szCs w:val="36"/>
          <w:lang w:eastAsia="zh-CN"/>
        </w:rPr>
        <w:t>二、</w:t>
      </w:r>
      <w:r>
        <w:rPr>
          <w:rFonts w:hint="eastAsia" w:eastAsia="黑体" w:cs="黑体"/>
          <w:sz w:val="28"/>
          <w:szCs w:val="36"/>
        </w:rPr>
        <w:t>检验依据</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4208"/>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4"/>
                <w:szCs w:val="24"/>
                <w:lang w:bidi="ar"/>
              </w:rPr>
            </w:pPr>
            <w:r>
              <w:rPr>
                <w:rFonts w:hint="eastAsia" w:asciiTheme="majorEastAsia" w:hAnsiTheme="majorEastAsia" w:eastAsiaTheme="majorEastAsia" w:cstheme="majorEastAsia"/>
                <w:b/>
                <w:bCs/>
                <w:sz w:val="24"/>
                <w:szCs w:val="24"/>
                <w:lang w:bidi="ar"/>
              </w:rPr>
              <w:t>序号</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4"/>
                <w:szCs w:val="24"/>
                <w:lang w:bidi="ar"/>
              </w:rPr>
            </w:pPr>
            <w:r>
              <w:rPr>
                <w:rFonts w:hint="eastAsia" w:asciiTheme="majorEastAsia" w:hAnsiTheme="majorEastAsia" w:eastAsiaTheme="majorEastAsia" w:cstheme="majorEastAsia"/>
                <w:b/>
                <w:bCs/>
                <w:sz w:val="24"/>
                <w:szCs w:val="24"/>
                <w:lang w:bidi="ar"/>
              </w:rPr>
              <w:t>检验项目</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4"/>
                <w:szCs w:val="24"/>
                <w:lang w:bidi="ar"/>
              </w:rPr>
            </w:pPr>
            <w:r>
              <w:rPr>
                <w:rFonts w:hint="eastAsia" w:asciiTheme="majorEastAsia" w:hAnsiTheme="majorEastAsia" w:eastAsiaTheme="majorEastAsia" w:cstheme="majorEastAsia"/>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贵金属含量</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（纯度）</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GB/T 18043—2013</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GB/T 17832—2021</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GB/T 19720—2024</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GB/T40114—2021</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GB/T 9288—2019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标签（贵金属材料中文名称）</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 11887—2012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命名规则</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 11887—2012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印记</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 11887—2012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有害元素</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（砷、汞、铅、镉）</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 28020—2011</w:t>
            </w:r>
          </w:p>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GB 28021—2011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w:t>
            </w:r>
          </w:p>
        </w:tc>
        <w:tc>
          <w:tcPr>
            <w:tcW w:w="2470"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贵金属质量允差</w:t>
            </w:r>
          </w:p>
        </w:tc>
        <w:tc>
          <w:tcPr>
            <w:tcW w:w="1924" w:type="pct"/>
            <w:tcBorders>
              <w:top w:val="single" w:color="auto" w:sz="4" w:space="0"/>
              <w:left w:val="nil"/>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QB/T 1690—2021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备注：</w:t>
            </w:r>
          </w:p>
          <w:p>
            <w:pPr>
              <w:spacing w:line="560" w:lineRule="exac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1.判定贵金属材料纯度（含量）时，以产品印记标注为准。</w:t>
            </w:r>
          </w:p>
          <w:p>
            <w:pPr>
              <w:spacing w:line="560" w:lineRule="exac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2.贵金属质量允差项目仅适用于以质量作为结算依据的产品。</w:t>
            </w:r>
          </w:p>
          <w:p>
            <w:pPr>
              <w:spacing w:line="560" w:lineRule="exac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3.贵金属含量（纯度）项目，当测量结果范围上限小于标称值低限或测量结果范围包含标称值低限时，应依据GB 11887中规定的仲裁方法（有损）进行复测，检验结论以复测结论为准。</w:t>
            </w:r>
          </w:p>
          <w:p>
            <w:pPr>
              <w:spacing w:line="560" w:lineRule="exact"/>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4.有害元素项目，当使用GB/T 28020—2011 方法测试有检出时，应使用GB/T 28021—2011方法进行复测，检验结论以复测结论为准。</w:t>
            </w:r>
          </w:p>
        </w:tc>
      </w:tr>
    </w:tbl>
    <w:p>
      <w:pPr>
        <w:spacing w:line="560" w:lineRule="exact"/>
        <w:ind w:firstLine="560" w:firstLineChars="200"/>
        <w:jc w:val="left"/>
        <w:rPr>
          <w:rFonts w:cs="仿宋_GB2312"/>
          <w:sz w:val="28"/>
          <w:szCs w:val="36"/>
        </w:rPr>
      </w:pPr>
      <w:r>
        <w:rPr>
          <w:rFonts w:hint="eastAsia" w:cs="仿宋_GB2312"/>
          <w:sz w:val="28"/>
          <w:szCs w:val="36"/>
        </w:rPr>
        <w:t>执行企业标准、团体标准、地方标准的产品，检验项目参照上述内容执行。</w:t>
      </w:r>
    </w:p>
    <w:p>
      <w:pPr>
        <w:spacing w:line="560" w:lineRule="exact"/>
        <w:ind w:firstLine="560" w:firstLineChars="200"/>
        <w:jc w:val="left"/>
        <w:rPr>
          <w:rFonts w:eastAsia="黑体" w:cs="黑体"/>
          <w:sz w:val="28"/>
          <w:szCs w:val="36"/>
        </w:rPr>
      </w:pPr>
      <w:r>
        <w:rPr>
          <w:rFonts w:hint="eastAsia" w:eastAsia="黑体" w:cs="黑体"/>
          <w:sz w:val="28"/>
          <w:szCs w:val="36"/>
          <w:lang w:eastAsia="zh-CN"/>
        </w:rPr>
        <w:t>三、</w:t>
      </w:r>
      <w:r>
        <w:rPr>
          <w:rFonts w:hint="eastAsia" w:eastAsia="黑体" w:cs="黑体"/>
          <w:sz w:val="28"/>
          <w:szCs w:val="36"/>
        </w:rPr>
        <w:t>判定规则</w:t>
      </w:r>
    </w:p>
    <w:p>
      <w:pPr>
        <w:spacing w:line="560" w:lineRule="exact"/>
        <w:ind w:firstLine="560" w:firstLineChars="200"/>
        <w:jc w:val="left"/>
        <w:rPr>
          <w:rFonts w:eastAsia="楷体_GB2312" w:cs="楷体_GB2312"/>
          <w:sz w:val="28"/>
          <w:szCs w:val="36"/>
        </w:rPr>
      </w:pPr>
      <w:r>
        <w:rPr>
          <w:rFonts w:hint="eastAsia" w:eastAsia="楷体_GB2312" w:cs="楷体_GB2312"/>
          <w:sz w:val="28"/>
          <w:szCs w:val="36"/>
          <w:lang w:eastAsia="zh-CN"/>
        </w:rPr>
        <w:t>（一）</w:t>
      </w:r>
      <w:r>
        <w:rPr>
          <w:rFonts w:hint="eastAsia" w:eastAsia="楷体_GB2312" w:cs="楷体_GB2312"/>
          <w:sz w:val="28"/>
          <w:szCs w:val="36"/>
        </w:rPr>
        <w:t>依据标准</w:t>
      </w:r>
    </w:p>
    <w:p>
      <w:pPr>
        <w:spacing w:line="560" w:lineRule="exact"/>
        <w:ind w:firstLine="560" w:firstLineChars="200"/>
        <w:jc w:val="left"/>
        <w:rPr>
          <w:rFonts w:cs="仿宋_GB2312"/>
          <w:sz w:val="28"/>
          <w:szCs w:val="36"/>
        </w:rPr>
      </w:pPr>
      <w:r>
        <w:rPr>
          <w:rFonts w:cs="仿宋_GB2312"/>
          <w:sz w:val="28"/>
          <w:szCs w:val="36"/>
        </w:rPr>
        <w:t>GB 11887</w:t>
      </w:r>
      <w:r>
        <w:rPr>
          <w:rFonts w:hint="eastAsia" w:cs="仿宋_GB2312"/>
          <w:sz w:val="28"/>
          <w:szCs w:val="36"/>
        </w:rPr>
        <w:t>—</w:t>
      </w:r>
      <w:r>
        <w:rPr>
          <w:rFonts w:cs="仿宋_GB2312"/>
          <w:sz w:val="28"/>
          <w:szCs w:val="36"/>
        </w:rPr>
        <w:t xml:space="preserve">2012 </w:t>
      </w:r>
      <w:r>
        <w:rPr>
          <w:rFonts w:hint="eastAsia" w:cs="仿宋_GB2312"/>
          <w:sz w:val="28"/>
          <w:szCs w:val="36"/>
        </w:rPr>
        <w:t>首饰 贵金属纯度的规定及命名方法（含第</w:t>
      </w:r>
      <w:r>
        <w:rPr>
          <w:rFonts w:cs="仿宋_GB2312"/>
          <w:sz w:val="28"/>
          <w:szCs w:val="36"/>
        </w:rPr>
        <w:t>1</w:t>
      </w:r>
      <w:r>
        <w:rPr>
          <w:rFonts w:hint="eastAsia" w:cs="仿宋_GB2312"/>
          <w:sz w:val="28"/>
          <w:szCs w:val="36"/>
        </w:rPr>
        <w:t>号修改单）</w:t>
      </w:r>
    </w:p>
    <w:p>
      <w:pPr>
        <w:spacing w:line="560" w:lineRule="exact"/>
        <w:ind w:firstLine="560" w:firstLineChars="200"/>
        <w:jc w:val="left"/>
        <w:rPr>
          <w:rFonts w:cs="仿宋_GB2312"/>
          <w:sz w:val="28"/>
          <w:szCs w:val="36"/>
        </w:rPr>
      </w:pPr>
      <w:r>
        <w:rPr>
          <w:rFonts w:cs="仿宋_GB2312"/>
          <w:sz w:val="28"/>
          <w:szCs w:val="36"/>
        </w:rPr>
        <w:t>GB 28480</w:t>
      </w:r>
      <w:r>
        <w:rPr>
          <w:rFonts w:hint="eastAsia" w:cs="仿宋_GB2312"/>
          <w:sz w:val="28"/>
          <w:szCs w:val="36"/>
        </w:rPr>
        <w:t>—</w:t>
      </w:r>
      <w:r>
        <w:rPr>
          <w:rFonts w:cs="仿宋_GB2312"/>
          <w:sz w:val="28"/>
          <w:szCs w:val="36"/>
        </w:rPr>
        <w:t xml:space="preserve">2012 </w:t>
      </w:r>
      <w:r>
        <w:rPr>
          <w:rFonts w:hint="eastAsia" w:cs="仿宋_GB2312"/>
          <w:sz w:val="28"/>
          <w:szCs w:val="36"/>
        </w:rPr>
        <w:t>饰品</w:t>
      </w:r>
      <w:r>
        <w:rPr>
          <w:rFonts w:cs="仿宋_GB2312"/>
          <w:sz w:val="28"/>
          <w:szCs w:val="36"/>
        </w:rPr>
        <w:t xml:space="preserve"> </w:t>
      </w:r>
      <w:r>
        <w:rPr>
          <w:rFonts w:hint="eastAsia" w:cs="仿宋_GB2312"/>
          <w:sz w:val="28"/>
          <w:szCs w:val="36"/>
        </w:rPr>
        <w:t>有害元素限量的规定</w:t>
      </w:r>
    </w:p>
    <w:p>
      <w:pPr>
        <w:spacing w:line="560" w:lineRule="exact"/>
        <w:ind w:firstLine="560" w:firstLineChars="200"/>
        <w:jc w:val="left"/>
        <w:rPr>
          <w:rFonts w:cs="仿宋_GB2312"/>
          <w:sz w:val="28"/>
          <w:szCs w:val="36"/>
        </w:rPr>
      </w:pPr>
      <w:r>
        <w:rPr>
          <w:rFonts w:hint="eastAsia" w:cs="仿宋_GB2312"/>
          <w:sz w:val="28"/>
          <w:szCs w:val="36"/>
        </w:rPr>
        <w:t>现行有效的企业标准、团体标准、地方标准及产品明示质量要求</w:t>
      </w:r>
    </w:p>
    <w:p>
      <w:pPr>
        <w:spacing w:line="560" w:lineRule="exact"/>
        <w:ind w:firstLine="560" w:firstLineChars="200"/>
        <w:jc w:val="left"/>
        <w:rPr>
          <w:rFonts w:eastAsia="楷体_GB2312" w:cs="楷体_GB2312"/>
          <w:sz w:val="28"/>
          <w:szCs w:val="36"/>
        </w:rPr>
      </w:pPr>
      <w:r>
        <w:rPr>
          <w:rFonts w:hint="eastAsia" w:eastAsia="楷体_GB2312" w:cs="楷体_GB2312"/>
          <w:sz w:val="28"/>
          <w:szCs w:val="36"/>
          <w:lang w:eastAsia="zh-CN"/>
        </w:rPr>
        <w:t>（二）</w:t>
      </w:r>
      <w:r>
        <w:rPr>
          <w:rFonts w:hint="eastAsia" w:eastAsia="楷体_GB2312" w:cs="楷体_GB2312"/>
          <w:sz w:val="28"/>
          <w:szCs w:val="36"/>
        </w:rPr>
        <w:t>判定原则</w:t>
      </w:r>
    </w:p>
    <w:p>
      <w:pPr>
        <w:spacing w:line="560" w:lineRule="exact"/>
        <w:ind w:firstLine="560" w:firstLineChars="200"/>
        <w:jc w:val="left"/>
        <w:rPr>
          <w:rFonts w:cs="仿宋_GB2312"/>
          <w:sz w:val="28"/>
          <w:szCs w:val="36"/>
        </w:rPr>
      </w:pPr>
      <w:r>
        <w:rPr>
          <w:rFonts w:hint="eastAsia" w:cs="仿宋_GB2312"/>
          <w:sz w:val="28"/>
          <w:szCs w:val="36"/>
        </w:rPr>
        <w:t>经检验，检验项目全部合格，判定为被抽查产品所检项目未发现不合格；检验项目中任一项或一项以上不合格，判定为被抽查产品不合格。</w:t>
      </w:r>
    </w:p>
    <w:p>
      <w:pPr>
        <w:spacing w:line="560" w:lineRule="exact"/>
        <w:ind w:firstLine="560" w:firstLineChars="200"/>
        <w:jc w:val="left"/>
        <w:rPr>
          <w:rFonts w:cs="仿宋_GB2312"/>
          <w:sz w:val="28"/>
          <w:szCs w:val="36"/>
        </w:rPr>
      </w:pPr>
      <w:r>
        <w:rPr>
          <w:rFonts w:hint="eastAsia" w:cs="仿宋_GB2312"/>
          <w:sz w:val="28"/>
          <w:szCs w:val="36"/>
        </w:rPr>
        <w:t>若被检产品明示的质量要求高于本细则中检验项目依据的标准要求时，应按被检产品明示的质量要求判定。</w:t>
      </w:r>
    </w:p>
    <w:p>
      <w:pPr>
        <w:spacing w:line="560" w:lineRule="exact"/>
        <w:ind w:firstLine="560" w:firstLineChars="200"/>
        <w:jc w:val="left"/>
        <w:rPr>
          <w:rFonts w:cs="仿宋_GB2312"/>
          <w:sz w:val="28"/>
          <w:szCs w:val="36"/>
        </w:rPr>
      </w:pPr>
      <w:r>
        <w:rPr>
          <w:rFonts w:hint="eastAsia" w:cs="仿宋_GB2312"/>
          <w:sz w:val="28"/>
          <w:szCs w:val="36"/>
        </w:rPr>
        <w:t>若被检产品明示的质量要求低于本细则中检验项目依据的强制性标准要求时，应按照强制性标准要求判定。</w:t>
      </w:r>
    </w:p>
    <w:p>
      <w:pPr>
        <w:spacing w:line="560" w:lineRule="exact"/>
        <w:ind w:firstLine="560" w:firstLineChars="200"/>
        <w:jc w:val="left"/>
        <w:rPr>
          <w:rFonts w:cs="仿宋_GB2312"/>
          <w:sz w:val="28"/>
          <w:szCs w:val="36"/>
        </w:rPr>
      </w:pPr>
      <w:r>
        <w:rPr>
          <w:rFonts w:hint="eastAsia" w:cs="仿宋_GB2312"/>
          <w:sz w:val="28"/>
          <w:szCs w:val="36"/>
        </w:rPr>
        <w:t>若被检产品明示的质量要求低于或包含本细则中检验项目依据的推荐性标准要求时，应以被检产品明示的质量要求判定。</w:t>
      </w:r>
    </w:p>
    <w:p>
      <w:pPr>
        <w:spacing w:line="560" w:lineRule="exact"/>
        <w:ind w:firstLine="560" w:firstLineChars="200"/>
        <w:jc w:val="left"/>
        <w:rPr>
          <w:rFonts w:cs="仿宋_GB2312"/>
          <w:sz w:val="28"/>
          <w:szCs w:val="36"/>
        </w:rPr>
      </w:pPr>
      <w:r>
        <w:rPr>
          <w:rFonts w:hint="eastAsia" w:cs="仿宋_GB2312"/>
          <w:sz w:val="28"/>
          <w:szCs w:val="36"/>
        </w:rPr>
        <w:t>若被检产品明示的质量要求缺少本细则中检验项目依据的强制性标准要求时，应按照强制性标准要求判定。</w:t>
      </w:r>
    </w:p>
    <w:p>
      <w:pPr>
        <w:spacing w:line="560" w:lineRule="exact"/>
        <w:ind w:firstLine="560" w:firstLineChars="200"/>
        <w:jc w:val="left"/>
        <w:rPr>
          <w:rFonts w:cs="仿宋_GB2312"/>
          <w:sz w:val="28"/>
          <w:szCs w:val="36"/>
        </w:rPr>
      </w:pPr>
      <w:r>
        <w:rPr>
          <w:rFonts w:hint="eastAsia" w:cs="仿宋_GB2312"/>
          <w:sz w:val="28"/>
          <w:szCs w:val="36"/>
        </w:rPr>
        <w:t>若被检产品明示的质量要求缺少本细则中检验项目依据的推荐性标准要求时，该项目不参与判定。</w:t>
      </w:r>
    </w:p>
    <w:p>
      <w:pPr>
        <w:spacing w:line="560" w:lineRule="exact"/>
        <w:jc w:val="left"/>
        <w:rPr>
          <w:sz w:val="28"/>
          <w:szCs w:val="22"/>
        </w:rPr>
      </w:pPr>
    </w:p>
    <w:p>
      <w:pPr>
        <w:spacing w:line="560" w:lineRule="exact"/>
        <w:jc w:val="left"/>
        <w:rPr>
          <w:sz w:val="28"/>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72B"/>
    <w:rsid w:val="006B2B30"/>
    <w:rsid w:val="006F372B"/>
    <w:rsid w:val="7BF79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170</Words>
  <Characters>969</Characters>
  <Lines>8</Lines>
  <Paragraphs>2</Paragraphs>
  <TotalTime>1</TotalTime>
  <ScaleCrop>false</ScaleCrop>
  <LinksUpToDate>false</LinksUpToDate>
  <CharactersWithSpaces>1137</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2026-05-12T10:56:00Z</dcterms:created>
  <dc:creator>梁志强</dc:creator>
  <cp:lastModifiedBy>admin1</cp:lastModifiedBy>
  <dcterms:modified xsi:type="dcterms:W3CDTF">2026-05-18T14:28:03Z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ED7B66DB0EA9D7E273B10A6A45C11E08</vt:lpwstr>
  </property>
</Properties>
</file>