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仿宋" w:eastAsia="方正小标宋简体" w:cs="方正仿宋简体"/>
          <w:color w:val="000000"/>
          <w:sz w:val="36"/>
          <w:szCs w:val="36"/>
        </w:rPr>
      </w:pPr>
      <w:r>
        <w:rPr>
          <w:rFonts w:hint="eastAsia" w:ascii="方正小标宋简体" w:hAnsi="仿宋" w:eastAsia="方正小标宋简体" w:cs="方正仿宋简体"/>
          <w:color w:val="000000"/>
          <w:sz w:val="36"/>
          <w:szCs w:val="36"/>
        </w:rPr>
        <w:t>电力储能用锂离子电池产品质量监督抽查实施细则</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（2026版）</w:t>
      </w:r>
    </w:p>
    <w:p>
      <w:pPr>
        <w:spacing w:line="480" w:lineRule="exact"/>
        <w:ind w:firstLine="560" w:firstLineChars="200"/>
        <w:jc w:val="left"/>
        <w:rPr>
          <w:rFonts w:ascii="黑体" w:hAnsi="黑体" w:eastAsia="黑体" w:cs="黑体"/>
          <w:color w:val="000000"/>
          <w:sz w:val="28"/>
          <w:szCs w:val="28"/>
        </w:rPr>
      </w:pPr>
    </w:p>
    <w:p>
      <w:pPr>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一、抽样方法</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随机数一般可</w:t>
      </w:r>
      <w:bookmarkStart w:id="3" w:name="_GoBack"/>
      <w:bookmarkEnd w:id="3"/>
      <w:r>
        <w:rPr>
          <w:rFonts w:hint="eastAsia" w:ascii="仿宋" w:hAnsi="仿宋" w:eastAsia="仿宋" w:cs="仿宋"/>
          <w:color w:val="000000"/>
          <w:sz w:val="28"/>
          <w:szCs w:val="28"/>
        </w:rPr>
        <w:t>使用随机数表等方法产生。</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每款产品抽取2组样本，第1组用于检验，第2组用于备样。</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每组样本需抽取样品数量如下表所示：</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
        <w:gridCol w:w="5721"/>
        <w:gridCol w:w="1558"/>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60" w:type="pct"/>
            <w:vAlign w:val="center"/>
          </w:tcPr>
          <w:p>
            <w:pPr>
              <w:spacing w:line="340" w:lineRule="exact"/>
              <w:jc w:val="center"/>
              <w:rPr>
                <w:rFonts w:ascii="仿宋" w:hAnsi="仿宋" w:eastAsia="仿宋"/>
                <w:color w:val="000000"/>
                <w:sz w:val="24"/>
              </w:rPr>
            </w:pPr>
            <w:r>
              <w:rPr>
                <w:rFonts w:ascii="仿宋" w:hAnsi="仿宋" w:eastAsia="仿宋"/>
                <w:color w:val="000000"/>
                <w:sz w:val="24"/>
              </w:rPr>
              <w:t>序</w:t>
            </w:r>
          </w:p>
          <w:p>
            <w:pPr>
              <w:spacing w:line="340" w:lineRule="exact"/>
              <w:jc w:val="center"/>
              <w:rPr>
                <w:rFonts w:ascii="仿宋" w:hAnsi="仿宋" w:eastAsia="仿宋"/>
                <w:color w:val="000000"/>
                <w:sz w:val="24"/>
              </w:rPr>
            </w:pPr>
            <w:r>
              <w:rPr>
                <w:rFonts w:ascii="仿宋" w:hAnsi="仿宋" w:eastAsia="仿宋"/>
                <w:color w:val="000000"/>
                <w:sz w:val="24"/>
              </w:rPr>
              <w:t>号</w:t>
            </w:r>
          </w:p>
        </w:tc>
        <w:tc>
          <w:tcPr>
            <w:tcW w:w="3081" w:type="pct"/>
            <w:vAlign w:val="center"/>
          </w:tcPr>
          <w:p>
            <w:pPr>
              <w:spacing w:line="340" w:lineRule="exact"/>
              <w:jc w:val="center"/>
              <w:rPr>
                <w:rFonts w:ascii="仿宋" w:hAnsi="仿宋" w:eastAsia="仿宋"/>
                <w:color w:val="000000"/>
                <w:sz w:val="24"/>
              </w:rPr>
            </w:pPr>
            <w:r>
              <w:rPr>
                <w:rFonts w:ascii="仿宋" w:hAnsi="仿宋" w:eastAsia="仿宋"/>
                <w:color w:val="000000"/>
                <w:sz w:val="24"/>
              </w:rPr>
              <w:t>产品名称</w:t>
            </w:r>
          </w:p>
        </w:tc>
        <w:tc>
          <w:tcPr>
            <w:tcW w:w="839" w:type="pct"/>
            <w:vAlign w:val="center"/>
          </w:tcPr>
          <w:p>
            <w:pPr>
              <w:spacing w:line="340" w:lineRule="exact"/>
              <w:jc w:val="center"/>
              <w:rPr>
                <w:rFonts w:ascii="仿宋" w:hAnsi="仿宋" w:eastAsia="仿宋"/>
                <w:color w:val="000000"/>
                <w:sz w:val="24"/>
              </w:rPr>
            </w:pPr>
            <w:r>
              <w:rPr>
                <w:rFonts w:ascii="仿宋" w:hAnsi="仿宋" w:eastAsia="仿宋"/>
                <w:color w:val="000000"/>
                <w:sz w:val="24"/>
              </w:rPr>
              <w:t>第1组数量（</w:t>
            </w:r>
            <w:r>
              <w:rPr>
                <w:rFonts w:hint="eastAsia" w:ascii="仿宋" w:hAnsi="仿宋" w:eastAsia="仿宋"/>
                <w:color w:val="000000"/>
                <w:sz w:val="24"/>
              </w:rPr>
              <w:t>个</w:t>
            </w:r>
            <w:r>
              <w:rPr>
                <w:rFonts w:ascii="仿宋" w:hAnsi="仿宋" w:eastAsia="仿宋"/>
                <w:color w:val="000000"/>
                <w:sz w:val="24"/>
              </w:rPr>
              <w:t>）</w:t>
            </w:r>
          </w:p>
        </w:tc>
        <w:tc>
          <w:tcPr>
            <w:tcW w:w="820" w:type="pct"/>
            <w:vAlign w:val="center"/>
          </w:tcPr>
          <w:p>
            <w:pPr>
              <w:spacing w:line="340" w:lineRule="exact"/>
              <w:jc w:val="center"/>
              <w:rPr>
                <w:rFonts w:ascii="仿宋" w:hAnsi="仿宋" w:eastAsia="仿宋"/>
                <w:color w:val="000000"/>
                <w:sz w:val="24"/>
              </w:rPr>
            </w:pPr>
            <w:r>
              <w:rPr>
                <w:rFonts w:ascii="仿宋" w:hAnsi="仿宋" w:eastAsia="仿宋"/>
                <w:color w:val="000000"/>
                <w:sz w:val="24"/>
              </w:rPr>
              <w:t>第2组数量（</w:t>
            </w:r>
            <w:r>
              <w:rPr>
                <w:rFonts w:hint="eastAsia" w:ascii="仿宋" w:hAnsi="仿宋" w:eastAsia="仿宋"/>
                <w:color w:val="000000"/>
                <w:sz w:val="24"/>
              </w:rPr>
              <w:t>个</w:t>
            </w:r>
            <w:r>
              <w:rPr>
                <w:rFonts w:ascii="仿宋" w:hAnsi="仿宋" w:eastAsia="仿宋"/>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0" w:hRule="atLeast"/>
          <w:jc w:val="center"/>
        </w:trPr>
        <w:tc>
          <w:tcPr>
            <w:tcW w:w="260" w:type="pct"/>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1</w:t>
            </w:r>
          </w:p>
        </w:tc>
        <w:tc>
          <w:tcPr>
            <w:tcW w:w="3081" w:type="pct"/>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电力储能用锂离子电池单体</w:t>
            </w:r>
          </w:p>
        </w:tc>
        <w:tc>
          <w:tcPr>
            <w:tcW w:w="839" w:type="pct"/>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12</w:t>
            </w:r>
          </w:p>
        </w:tc>
        <w:tc>
          <w:tcPr>
            <w:tcW w:w="820" w:type="pct"/>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60" w:type="pct"/>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2</w:t>
            </w:r>
          </w:p>
        </w:tc>
        <w:tc>
          <w:tcPr>
            <w:tcW w:w="3081" w:type="pct"/>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电力储能用锂离子电池模组</w:t>
            </w:r>
          </w:p>
        </w:tc>
        <w:tc>
          <w:tcPr>
            <w:tcW w:w="839" w:type="pct"/>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4</w:t>
            </w:r>
          </w:p>
        </w:tc>
        <w:tc>
          <w:tcPr>
            <w:tcW w:w="820" w:type="pct"/>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2</w:t>
            </w:r>
          </w:p>
        </w:tc>
      </w:tr>
    </w:tbl>
    <w:p>
      <w:pPr>
        <w:snapToGrid w:val="0"/>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二、检验依据</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124"/>
        <w:gridCol w:w="4460"/>
        <w:gridCol w:w="119"/>
        <w:gridCol w:w="3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5000" w:type="pct"/>
            <w:gridSpan w:val="5"/>
            <w:vAlign w:val="center"/>
          </w:tcPr>
          <w:p>
            <w:pPr>
              <w:spacing w:line="340" w:lineRule="exact"/>
              <w:jc w:val="center"/>
              <w:rPr>
                <w:rFonts w:ascii="黑体" w:hAnsi="黑体" w:eastAsia="黑体" w:cs="黑体"/>
                <w:b/>
                <w:color w:val="000000"/>
                <w:sz w:val="21"/>
                <w:szCs w:val="21"/>
              </w:rPr>
            </w:pPr>
            <w:bookmarkStart w:id="0" w:name="OLE_LINK21" w:colFirst="0" w:colLast="2"/>
            <w:r>
              <w:rPr>
                <w:rFonts w:hint="eastAsia" w:ascii="仿宋" w:hAnsi="仿宋" w:eastAsia="仿宋"/>
                <w:b/>
                <w:color w:val="000000"/>
                <w:sz w:val="24"/>
              </w:rPr>
              <w:t>电力储能用锂离子电池单体</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ascii="黑体" w:hAnsi="黑体" w:eastAsia="黑体" w:cs="黑体"/>
                <w:color w:val="000000"/>
                <w:sz w:val="21"/>
                <w:szCs w:val="21"/>
              </w:rPr>
            </w:pPr>
            <w:bookmarkStart w:id="1" w:name="OLE_LINK33" w:colFirst="0" w:colLast="2"/>
            <w:r>
              <w:rPr>
                <w:rFonts w:hint="eastAsia" w:ascii="黑体" w:hAnsi="黑体" w:eastAsia="黑体" w:cs="黑体"/>
                <w:color w:val="000000"/>
                <w:sz w:val="21"/>
                <w:szCs w:val="21"/>
              </w:rPr>
              <w:t>序号</w:t>
            </w:r>
          </w:p>
        </w:tc>
        <w:tc>
          <w:tcPr>
            <w:tcW w:w="2465" w:type="pct"/>
            <w:gridSpan w:val="2"/>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检验项目</w:t>
            </w:r>
          </w:p>
        </w:tc>
        <w:tc>
          <w:tcPr>
            <w:tcW w:w="1621"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检验方法</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1</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ascii="仿宋" w:hAnsi="仿宋" w:eastAsia="仿宋"/>
                <w:color w:val="000000"/>
                <w:sz w:val="24"/>
              </w:rPr>
              <w:t>25</w:t>
            </w:r>
            <w:r>
              <w:rPr>
                <w:rFonts w:hint="eastAsia" w:ascii="仿宋" w:hAnsi="仿宋" w:eastAsia="仿宋"/>
                <w:color w:val="000000"/>
                <w:sz w:val="24"/>
              </w:rPr>
              <w:t>℃初始充放电性能</w:t>
            </w:r>
          </w:p>
        </w:tc>
        <w:tc>
          <w:tcPr>
            <w:tcW w:w="162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2</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倍率充放电性能</w:t>
            </w:r>
          </w:p>
        </w:tc>
        <w:tc>
          <w:tcPr>
            <w:tcW w:w="162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3</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高温适应性</w:t>
            </w:r>
          </w:p>
        </w:tc>
        <w:tc>
          <w:tcPr>
            <w:tcW w:w="162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4</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低温适应性</w:t>
            </w:r>
          </w:p>
        </w:tc>
        <w:tc>
          <w:tcPr>
            <w:tcW w:w="162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5</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过充电性能</w:t>
            </w:r>
          </w:p>
        </w:tc>
        <w:tc>
          <w:tcPr>
            <w:tcW w:w="162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6</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过放电性能</w:t>
            </w:r>
          </w:p>
        </w:tc>
        <w:tc>
          <w:tcPr>
            <w:tcW w:w="162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7</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过载性能</w:t>
            </w:r>
          </w:p>
        </w:tc>
        <w:tc>
          <w:tcPr>
            <w:tcW w:w="162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8</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短路性能</w:t>
            </w:r>
          </w:p>
        </w:tc>
        <w:tc>
          <w:tcPr>
            <w:tcW w:w="162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4" w:type="pct"/>
            <w:gridSpan w:val="2"/>
            <w:vAlign w:val="center"/>
          </w:tcPr>
          <w:p>
            <w:pPr>
              <w:spacing w:line="340" w:lineRule="exact"/>
              <w:jc w:val="center"/>
              <w:rPr>
                <w:rFonts w:eastAsia="宋体"/>
                <w:color w:val="000000"/>
                <w:sz w:val="21"/>
                <w:szCs w:val="21"/>
              </w:rPr>
            </w:pPr>
            <w:r>
              <w:rPr>
                <w:rFonts w:hint="eastAsia" w:eastAsia="宋体"/>
                <w:color w:val="000000"/>
                <w:sz w:val="21"/>
                <w:szCs w:val="21"/>
              </w:rPr>
              <w:t>9</w:t>
            </w:r>
          </w:p>
        </w:tc>
        <w:tc>
          <w:tcPr>
            <w:tcW w:w="246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初始热失控性能</w:t>
            </w:r>
          </w:p>
        </w:tc>
        <w:tc>
          <w:tcPr>
            <w:tcW w:w="1621" w:type="pc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2" w:hRule="atLeast"/>
          <w:jc w:val="center"/>
        </w:trPr>
        <w:tc>
          <w:tcPr>
            <w:tcW w:w="5000" w:type="pct"/>
            <w:gridSpan w:val="5"/>
            <w:tcBorders>
              <w:right w:val="single" w:color="auto" w:sz="4" w:space="0"/>
            </w:tcBorders>
            <w:vAlign w:val="center"/>
          </w:tcPr>
          <w:p>
            <w:pPr>
              <w:spacing w:line="340" w:lineRule="exact"/>
              <w:jc w:val="center"/>
              <w:rPr>
                <w:rFonts w:ascii="黑体" w:hAnsi="黑体" w:eastAsia="黑体" w:cs="黑体"/>
                <w:b/>
                <w:color w:val="000000"/>
                <w:sz w:val="21"/>
                <w:szCs w:val="21"/>
              </w:rPr>
            </w:pPr>
            <w:r>
              <w:rPr>
                <w:rFonts w:hint="eastAsia" w:ascii="仿宋" w:hAnsi="仿宋" w:eastAsia="仿宋"/>
                <w:b/>
                <w:color w:val="000000"/>
                <w:sz w:val="24"/>
              </w:rPr>
              <w:t>电力储能用锂离子电池模组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序号</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检验项目</w:t>
            </w:r>
          </w:p>
        </w:tc>
        <w:tc>
          <w:tcPr>
            <w:tcW w:w="168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bookmarkStart w:id="2" w:name="OLE_LINK35" w:colFirst="2" w:colLast="2"/>
            <w:r>
              <w:rPr>
                <w:rFonts w:hint="eastAsia" w:eastAsia="宋体"/>
                <w:color w:val="000000"/>
                <w:sz w:val="21"/>
                <w:szCs w:val="21"/>
              </w:rPr>
              <w:t>1</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ascii="仿宋" w:hAnsi="仿宋" w:eastAsia="仿宋"/>
                <w:color w:val="000000"/>
                <w:sz w:val="24"/>
              </w:rPr>
              <w:t>25</w:t>
            </w:r>
            <w:r>
              <w:rPr>
                <w:rFonts w:hint="eastAsia" w:ascii="仿宋" w:hAnsi="仿宋" w:eastAsia="仿宋"/>
                <w:color w:val="000000"/>
                <w:sz w:val="24"/>
              </w:rPr>
              <w:t>℃初始充放电性能</w:t>
            </w:r>
          </w:p>
        </w:tc>
        <w:tc>
          <w:tcPr>
            <w:tcW w:w="168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2</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倍率充放电性能</w:t>
            </w:r>
          </w:p>
        </w:tc>
        <w:tc>
          <w:tcPr>
            <w:tcW w:w="168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3</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高温适应性</w:t>
            </w:r>
          </w:p>
        </w:tc>
        <w:tc>
          <w:tcPr>
            <w:tcW w:w="168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4</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低温适应性</w:t>
            </w:r>
          </w:p>
        </w:tc>
        <w:tc>
          <w:tcPr>
            <w:tcW w:w="168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5</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绝缘性能</w:t>
            </w:r>
          </w:p>
        </w:tc>
        <w:tc>
          <w:tcPr>
            <w:tcW w:w="168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6</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耐压性能</w:t>
            </w:r>
          </w:p>
        </w:tc>
        <w:tc>
          <w:tcPr>
            <w:tcW w:w="168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7</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过充电性能</w:t>
            </w:r>
          </w:p>
        </w:tc>
        <w:tc>
          <w:tcPr>
            <w:tcW w:w="168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8</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过放电性能</w:t>
            </w:r>
          </w:p>
        </w:tc>
        <w:tc>
          <w:tcPr>
            <w:tcW w:w="168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9</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过载性能</w:t>
            </w:r>
          </w:p>
        </w:tc>
        <w:tc>
          <w:tcPr>
            <w:tcW w:w="168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47" w:type="pct"/>
            <w:vAlign w:val="center"/>
          </w:tcPr>
          <w:p>
            <w:pPr>
              <w:spacing w:line="340" w:lineRule="exact"/>
              <w:jc w:val="center"/>
              <w:rPr>
                <w:rFonts w:eastAsia="宋体"/>
                <w:color w:val="000000"/>
                <w:sz w:val="21"/>
                <w:szCs w:val="21"/>
              </w:rPr>
            </w:pPr>
            <w:r>
              <w:rPr>
                <w:rFonts w:hint="eastAsia" w:eastAsia="宋体"/>
                <w:color w:val="000000"/>
                <w:sz w:val="21"/>
                <w:szCs w:val="21"/>
              </w:rPr>
              <w:t>10</w:t>
            </w:r>
          </w:p>
        </w:tc>
        <w:tc>
          <w:tcPr>
            <w:tcW w:w="2468"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 w:hAnsi="仿宋" w:eastAsia="仿宋"/>
                <w:color w:val="000000"/>
                <w:sz w:val="24"/>
              </w:rPr>
            </w:pPr>
            <w:r>
              <w:rPr>
                <w:rFonts w:hint="eastAsia" w:ascii="仿宋" w:hAnsi="仿宋" w:eastAsia="仿宋"/>
                <w:color w:val="000000"/>
                <w:sz w:val="24"/>
              </w:rPr>
              <w:t>短路性能</w:t>
            </w:r>
          </w:p>
        </w:tc>
        <w:tc>
          <w:tcPr>
            <w:tcW w:w="1685" w:type="pct"/>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宋体"/>
                <w:color w:val="000000"/>
                <w:sz w:val="21"/>
                <w:szCs w:val="21"/>
              </w:rPr>
            </w:pPr>
            <w:r>
              <w:rPr>
                <w:rFonts w:hint="eastAsia" w:eastAsia="宋体"/>
                <w:color w:val="000000"/>
                <w:sz w:val="21"/>
                <w:szCs w:val="21"/>
              </w:rPr>
              <w:t>GB/T 36276-2023</w:t>
            </w:r>
          </w:p>
        </w:tc>
      </w:tr>
    </w:tbl>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snapToGrid w:val="0"/>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三、判定规则</w:t>
      </w:r>
    </w:p>
    <w:p>
      <w:pPr>
        <w:spacing w:line="480" w:lineRule="exact"/>
        <w:ind w:firstLine="562" w:firstLineChars="200"/>
        <w:jc w:val="left"/>
        <w:rPr>
          <w:rFonts w:ascii="楷体_GB2312" w:hAnsi="楷体_GB2312" w:eastAsia="楷体_GB2312" w:cs="楷体_GB2312"/>
          <w:b/>
          <w:color w:val="000000"/>
          <w:sz w:val="28"/>
          <w:szCs w:val="28"/>
        </w:rPr>
      </w:pPr>
      <w:r>
        <w:rPr>
          <w:rFonts w:hint="eastAsia" w:ascii="楷体_GB2312" w:hAnsi="楷体_GB2312" w:eastAsia="楷体_GB2312" w:cs="楷体_GB2312"/>
          <w:b/>
          <w:color w:val="000000"/>
          <w:sz w:val="28"/>
          <w:szCs w:val="28"/>
        </w:rPr>
        <w:t>（一）依据标准</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GB/T 36276-2023《电力储能用锂离子电池》</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spacing w:line="480" w:lineRule="exact"/>
        <w:ind w:firstLine="562" w:firstLineChars="200"/>
        <w:jc w:val="left"/>
        <w:rPr>
          <w:rFonts w:ascii="楷体_GB2312" w:hAnsi="楷体_GB2312" w:eastAsia="楷体_GB2312" w:cs="楷体_GB2312"/>
          <w:b/>
          <w:color w:val="000000"/>
          <w:sz w:val="28"/>
          <w:szCs w:val="28"/>
        </w:rPr>
      </w:pPr>
      <w:r>
        <w:rPr>
          <w:rFonts w:hint="eastAsia" w:ascii="楷体_GB2312" w:hAnsi="楷体_GB2312" w:eastAsia="楷体_GB2312" w:cs="楷体_GB2312"/>
          <w:b/>
          <w:color w:val="000000"/>
          <w:sz w:val="28"/>
          <w:szCs w:val="28"/>
        </w:rPr>
        <w:t>（二）判定原则</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spacing w:line="480" w:lineRule="exact"/>
        <w:ind w:firstLine="560" w:firstLineChars="200"/>
        <w:jc w:val="left"/>
      </w:pPr>
      <w:r>
        <w:rPr>
          <w:rFonts w:hint="eastAsia" w:ascii="仿宋" w:hAnsi="仿宋" w:eastAsia="仿宋" w:cs="仿宋"/>
          <w:color w:val="000000"/>
          <w:sz w:val="28"/>
          <w:szCs w:val="28"/>
        </w:rPr>
        <w:t>若被检产品明示的质量要求缺少本细则中检验项目依据的推荐性标准要求时，该项目不参与判定。</w:t>
      </w: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仿宋简体">
    <w:altName w:val="方正仿宋_GBK"/>
    <w:panose1 w:val="00000000000000000000"/>
    <w:charset w:val="00"/>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01AB68"/>
    <w:multiLevelType w:val="multilevel"/>
    <w:tmpl w:val="4B01AB68"/>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pStyle w:val="15"/>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89D"/>
    <w:rsid w:val="00203563"/>
    <w:rsid w:val="00203A71"/>
    <w:rsid w:val="003D353E"/>
    <w:rsid w:val="00420158"/>
    <w:rsid w:val="005C489D"/>
    <w:rsid w:val="005E7C4B"/>
    <w:rsid w:val="006355B9"/>
    <w:rsid w:val="00654721"/>
    <w:rsid w:val="00752AD2"/>
    <w:rsid w:val="007A6CE1"/>
    <w:rsid w:val="00937A59"/>
    <w:rsid w:val="00A32EEF"/>
    <w:rsid w:val="00AA2EEE"/>
    <w:rsid w:val="00B8039A"/>
    <w:rsid w:val="00BA1FB5"/>
    <w:rsid w:val="00C50DAE"/>
    <w:rsid w:val="00ED300F"/>
    <w:rsid w:val="00FF1397"/>
    <w:rsid w:val="7F5F9057"/>
    <w:rsid w:val="7FB9CB27"/>
    <w:rsid w:val="CAEBCED2"/>
    <w:rsid w:val="E5FF79C0"/>
    <w:rsid w:val="FD9F973A"/>
    <w:rsid w:val="FDF7A86D"/>
    <w:rsid w:val="FF6F5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4"/>
    <w:semiHidden/>
    <w:unhideWhenUsed/>
    <w:qFormat/>
    <w:uiPriority w:val="99"/>
    <w:rPr>
      <w:rFonts w:ascii="宋体" w:hAnsi="Courier New" w:eastAsia="宋体" w:cs="Courier New"/>
      <w:sz w:val="21"/>
      <w:szCs w:val="21"/>
    </w:rPr>
  </w:style>
  <w:style w:type="paragraph" w:styleId="3">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toc 2"/>
    <w:basedOn w:val="1"/>
    <w:next w:val="1"/>
    <w:unhideWhenUsed/>
    <w:qFormat/>
    <w:uiPriority w:val="39"/>
    <w:pPr>
      <w:ind w:left="420" w:leftChars="200"/>
    </w:pPr>
    <w:rPr>
      <w:rFonts w:eastAsia="宋体"/>
      <w:sz w:val="21"/>
    </w:rPr>
  </w:style>
  <w:style w:type="paragraph" w:styleId="6">
    <w:name w:val="Normal (Web)"/>
    <w:unhideWhenUsed/>
    <w:qFormat/>
    <w:uiPriority w:val="99"/>
    <w:pPr>
      <w:widowControl w:val="0"/>
      <w:spacing w:before="100" w:beforeAutospacing="1" w:after="100" w:afterAutospacing="1"/>
      <w:jc w:val="both"/>
    </w:pPr>
    <w:rPr>
      <w:rFonts w:ascii="Calibri" w:hAnsi="Calibri" w:eastAsia="宋体" w:cs="Times New Roman"/>
      <w:kern w:val="2"/>
      <w:sz w:val="24"/>
      <w:szCs w:val="24"/>
      <w:lang w:val="en-US" w:eastAsia="zh-CN" w:bidi="ar-SA"/>
    </w:rPr>
  </w:style>
  <w:style w:type="table" w:styleId="8">
    <w:name w:val="Table Grid"/>
    <w:unhideWhenUsed/>
    <w:qFormat/>
    <w:uiPriority w:val="9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0">
    <w:name w:val="page number"/>
    <w:basedOn w:val="9"/>
    <w:qFormat/>
    <w:uiPriority w:val="0"/>
  </w:style>
  <w:style w:type="character" w:customStyle="1" w:styleId="11">
    <w:name w:val="页眉 Char"/>
    <w:basedOn w:val="9"/>
    <w:link w:val="4"/>
    <w:qFormat/>
    <w:uiPriority w:val="99"/>
    <w:rPr>
      <w:sz w:val="18"/>
      <w:szCs w:val="18"/>
    </w:rPr>
  </w:style>
  <w:style w:type="character" w:customStyle="1" w:styleId="12">
    <w:name w:val="页脚 Char"/>
    <w:basedOn w:val="9"/>
    <w:link w:val="3"/>
    <w:qFormat/>
    <w:uiPriority w:val="99"/>
    <w:rPr>
      <w:sz w:val="18"/>
      <w:szCs w:val="18"/>
    </w:rPr>
  </w:style>
  <w:style w:type="paragraph" w:customStyle="1" w:styleId="13">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character" w:customStyle="1" w:styleId="14">
    <w:name w:val="纯文本 Char"/>
    <w:basedOn w:val="9"/>
    <w:link w:val="2"/>
    <w:semiHidden/>
    <w:qFormat/>
    <w:uiPriority w:val="99"/>
    <w:rPr>
      <w:rFonts w:ascii="宋体" w:hAnsi="Courier New" w:eastAsia="宋体" w:cs="Courier New"/>
      <w:szCs w:val="21"/>
    </w:rPr>
  </w:style>
  <w:style w:type="paragraph" w:customStyle="1" w:styleId="15">
    <w:name w:val="一级条标题"/>
    <w:next w:val="1"/>
    <w:qFormat/>
    <w:uiPriority w:val="0"/>
    <w:pPr>
      <w:numPr>
        <w:ilvl w:val="2"/>
        <w:numId w:val="1"/>
      </w:numPr>
      <w:tabs>
        <w:tab w:val="left" w:pos="1260"/>
      </w:tabs>
      <w:ind w:left="1260" w:hanging="420"/>
      <w:jc w:val="both"/>
      <w:outlineLvl w:val="2"/>
    </w:pPr>
    <w:rPr>
      <w:rFonts w:hint="eastAsia" w:ascii="黑体" w:hAnsi="Times New Roman" w:eastAsia="黑体" w:cs="Times New Roman"/>
      <w:sz w:val="21"/>
      <w:lang w:val="en-US" w:eastAsia="zh-CN" w:bidi="ar-SA"/>
    </w:rPr>
  </w:style>
  <w:style w:type="paragraph" w:styleId="16">
    <w:name w:val="List Paragraph"/>
    <w:qFormat/>
    <w:uiPriority w:val="99"/>
    <w:pPr>
      <w:widowControl w:val="0"/>
      <w:ind w:firstLine="420" w:firstLineChars="200"/>
      <w:jc w:val="both"/>
    </w:pPr>
    <w:rPr>
      <w:rFonts w:ascii="Calibri" w:hAnsi="Calibri" w:eastAsia="宋体" w:cs="Times New Roman"/>
      <w:kern w:val="2"/>
      <w:sz w:val="21"/>
      <w:szCs w:val="22"/>
      <w:lang w:val="en-US" w:eastAsia="zh-CN" w:bidi="ar-SA"/>
    </w:rPr>
  </w:style>
  <w:style w:type="paragraph" w:customStyle="1" w:styleId="17">
    <w:name w:val="Char"/>
    <w:basedOn w:val="1"/>
    <w:qFormat/>
    <w:uiPriority w:val="0"/>
    <w:pPr>
      <w:spacing w:line="240" w:lineRule="exact"/>
    </w:pPr>
    <w:rPr>
      <w:rFonts w:eastAsia="宋体"/>
      <w:sz w:val="2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Pages>
  <Words>183</Words>
  <Characters>1049</Characters>
  <Lines>8</Lines>
  <Paragraphs>2</Paragraphs>
  <TotalTime>17</TotalTime>
  <ScaleCrop>false</ScaleCrop>
  <LinksUpToDate>false</LinksUpToDate>
  <CharactersWithSpaces>1230</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2024-05-17T16:43:00Z</dcterms:created>
  <dc:creator>政府版用户</dc:creator>
  <cp:lastModifiedBy>admin1</cp:lastModifiedBy>
  <dcterms:modified xsi:type="dcterms:W3CDTF">2026-05-18T14:09:32Z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30C509018A28F3F4ADEE746609428D24</vt:lpwstr>
  </property>
</Properties>
</file>