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pacing w:line="579" w:lineRule="exact"/>
        <w:ind w:firstLine="720"/>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珠海市市场监督管理局电动自行车</w:t>
      </w:r>
    </w:p>
    <w:p>
      <w:pPr>
        <w:keepNext w:val="0"/>
        <w:keepLines w:val="0"/>
        <w:pageBreakBefore w:val="0"/>
        <w:widowControl w:val="0"/>
        <w:kinsoku/>
        <w:wordWrap/>
        <w:overflowPunct/>
        <w:topLinePunct w:val="0"/>
        <w:autoSpaceDE/>
        <w:autoSpaceDN/>
        <w:bidi w:val="0"/>
        <w:adjustRightInd/>
        <w:spacing w:line="579" w:lineRule="exact"/>
        <w:ind w:firstLine="720"/>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产品质量快速检测实施规范</w:t>
      </w:r>
    </w:p>
    <w:p>
      <w:pPr>
        <w:keepNext w:val="0"/>
        <w:keepLines w:val="0"/>
        <w:pageBreakBefore w:val="0"/>
        <w:widowControl w:val="0"/>
        <w:kinsoku/>
        <w:wordWrap/>
        <w:overflowPunct/>
        <w:topLinePunct w:val="0"/>
        <w:autoSpaceDE/>
        <w:autoSpaceDN/>
        <w:bidi w:val="0"/>
        <w:adjustRightInd/>
        <w:spacing w:line="579" w:lineRule="exact"/>
        <w:jc w:val="center"/>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val="0"/>
        <w:spacing w:line="579"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一、适用范围</w:t>
      </w:r>
    </w:p>
    <w:p>
      <w:pPr>
        <w:pStyle w:val="7"/>
        <w:keepNext w:val="0"/>
        <w:keepLines w:val="0"/>
        <w:pageBreakBefore w:val="0"/>
        <w:widowControl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本规范适用于珠海市生产及流通领域电动自行车产品质量快速检测。</w:t>
      </w:r>
    </w:p>
    <w:p>
      <w:pPr>
        <w:keepNext w:val="0"/>
        <w:keepLines w:val="0"/>
        <w:pageBreakBefore w:val="0"/>
        <w:widowControl w:val="0"/>
        <w:kinsoku/>
        <w:wordWrap/>
        <w:overflowPunct/>
        <w:topLinePunct w:val="0"/>
        <w:autoSpaceDE/>
        <w:autoSpaceDN/>
        <w:bidi w:val="0"/>
        <w:adjustRightInd/>
        <w:snapToGrid w:val="0"/>
        <w:spacing w:line="579"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二、抽样方法</w:t>
      </w:r>
    </w:p>
    <w:p>
      <w:pPr>
        <w:keepNext w:val="0"/>
        <w:keepLines w:val="0"/>
        <w:pageBreakBefore w:val="0"/>
        <w:widowControl w:val="0"/>
        <w:numPr>
          <w:ilvl w:val="0"/>
          <w:numId w:val="0"/>
        </w:numPr>
        <w:kinsoku/>
        <w:wordWrap/>
        <w:overflowPunct/>
        <w:topLinePunct w:val="0"/>
        <w:autoSpaceDE/>
        <w:autoSpaceDN/>
        <w:bidi w:val="0"/>
        <w:adjustRightInd/>
        <w:snapToGrid/>
        <w:spacing w:after="0" w:line="579" w:lineRule="exact"/>
        <w:ind w:left="420" w:leftChars="0" w:right="0" w:rightChars="0"/>
        <w:jc w:val="both"/>
        <w:textAlignment w:val="auto"/>
        <w:outlineLvl w:val="1"/>
        <w:rPr>
          <w:rFonts w:hint="eastAsia" w:ascii="楷体_GB2312" w:hAnsi="黑体" w:eastAsia="楷体_GB2312" w:cs="黑体"/>
          <w:b w:val="0"/>
          <w:bCs w:val="0"/>
          <w:sz w:val="32"/>
          <w:szCs w:val="32"/>
          <w14:ligatures w14:val="none"/>
        </w:rPr>
      </w:pPr>
      <w:r>
        <w:rPr>
          <w:rFonts w:hint="eastAsia" w:ascii="楷体_GB2312" w:hAnsi="黑体" w:eastAsia="楷体_GB2312" w:cs="黑体"/>
          <w:b w:val="0"/>
          <w:bCs w:val="0"/>
          <w:sz w:val="32"/>
          <w:szCs w:val="32"/>
          <w:lang w:eastAsia="zh-CN"/>
          <w14:ligatures w14:val="none"/>
        </w:rPr>
        <w:t>（一）</w:t>
      </w:r>
      <w:r>
        <w:rPr>
          <w:rFonts w:hint="eastAsia" w:ascii="楷体_GB2312" w:hAnsi="黑体" w:eastAsia="楷体_GB2312" w:cs="黑体"/>
          <w:b w:val="0"/>
          <w:bCs w:val="0"/>
          <w:sz w:val="32"/>
          <w:szCs w:val="32"/>
          <w14:ligatures w14:val="none"/>
        </w:rPr>
        <w:t>取样方式</w:t>
      </w:r>
    </w:p>
    <w:p>
      <w:pPr>
        <w:keepNext w:val="0"/>
        <w:keepLines w:val="0"/>
        <w:pageBreakBefore w:val="0"/>
        <w:widowControl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在生产领域取样时，在被取样生产者的待销产品中随机抽取。在流通领域实体店取样时，在被取样销售者的待销产品中随机抽取。</w:t>
      </w:r>
    </w:p>
    <w:p>
      <w:pPr>
        <w:keepNext w:val="0"/>
        <w:keepLines w:val="0"/>
        <w:pageBreakBefore w:val="0"/>
        <w:widowControl w:val="0"/>
        <w:numPr>
          <w:ilvl w:val="0"/>
          <w:numId w:val="0"/>
        </w:numPr>
        <w:kinsoku/>
        <w:wordWrap/>
        <w:overflowPunct/>
        <w:topLinePunct w:val="0"/>
        <w:autoSpaceDE/>
        <w:autoSpaceDN/>
        <w:bidi w:val="0"/>
        <w:adjustRightInd/>
        <w:snapToGrid/>
        <w:spacing w:after="0" w:line="579" w:lineRule="exact"/>
        <w:ind w:left="420" w:leftChars="0" w:right="0" w:rightChars="0"/>
        <w:jc w:val="both"/>
        <w:textAlignment w:val="auto"/>
        <w:outlineLvl w:val="1"/>
        <w:rPr>
          <w:rFonts w:hint="eastAsia" w:ascii="楷体_GB2312" w:hAnsi="黑体" w:eastAsia="楷体_GB2312" w:cs="黑体"/>
          <w:b w:val="0"/>
          <w:bCs w:val="0"/>
          <w:sz w:val="32"/>
          <w:szCs w:val="32"/>
          <w14:ligatures w14:val="none"/>
        </w:rPr>
      </w:pPr>
      <w:r>
        <w:rPr>
          <w:rFonts w:hint="eastAsia" w:ascii="楷体_GB2312" w:hAnsi="黑体" w:eastAsia="楷体_GB2312" w:cs="黑体"/>
          <w:b w:val="0"/>
          <w:bCs w:val="0"/>
          <w:sz w:val="32"/>
          <w:szCs w:val="32"/>
          <w:lang w:eastAsia="zh-CN"/>
          <w14:ligatures w14:val="none"/>
        </w:rPr>
        <w:t>（二）</w:t>
      </w:r>
      <w:r>
        <w:rPr>
          <w:rFonts w:hint="eastAsia" w:ascii="楷体_GB2312" w:hAnsi="黑体" w:eastAsia="楷体_GB2312" w:cs="黑体"/>
          <w:b w:val="0"/>
          <w:bCs w:val="0"/>
          <w:sz w:val="32"/>
          <w:szCs w:val="32"/>
          <w14:ligatures w14:val="none"/>
        </w:rPr>
        <w:t>抽样数量</w:t>
      </w:r>
    </w:p>
    <w:p>
      <w:pPr>
        <w:keepNext w:val="0"/>
        <w:keepLines w:val="0"/>
        <w:pageBreakBefore w:val="0"/>
        <w:widowControl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每款产品抽取1组样本，每组样品量为1台。</w:t>
      </w:r>
    </w:p>
    <w:p>
      <w:pPr>
        <w:keepNext w:val="0"/>
        <w:keepLines w:val="0"/>
        <w:pageBreakBefore w:val="0"/>
        <w:widowControl w:val="0"/>
        <w:numPr>
          <w:ilvl w:val="0"/>
          <w:numId w:val="0"/>
        </w:numPr>
        <w:kinsoku/>
        <w:wordWrap/>
        <w:overflowPunct/>
        <w:topLinePunct w:val="0"/>
        <w:autoSpaceDE/>
        <w:autoSpaceDN/>
        <w:bidi w:val="0"/>
        <w:adjustRightInd/>
        <w:snapToGrid/>
        <w:spacing w:after="0" w:line="579" w:lineRule="exact"/>
        <w:ind w:left="420" w:leftChars="0" w:right="0" w:rightChars="0"/>
        <w:jc w:val="both"/>
        <w:textAlignment w:val="auto"/>
        <w:outlineLvl w:val="1"/>
        <w:rPr>
          <w:rFonts w:hint="eastAsia" w:ascii="楷体_GB2312" w:hAnsi="黑体" w:eastAsia="楷体_GB2312" w:cs="黑体"/>
          <w:b w:val="0"/>
          <w:bCs w:val="0"/>
          <w:sz w:val="32"/>
          <w:szCs w:val="32"/>
          <w14:ligatures w14:val="none"/>
        </w:rPr>
      </w:pPr>
      <w:r>
        <w:rPr>
          <w:rFonts w:hint="eastAsia" w:ascii="楷体_GB2312" w:hAnsi="黑体" w:eastAsia="楷体_GB2312" w:cs="黑体"/>
          <w:b w:val="0"/>
          <w:bCs w:val="0"/>
          <w:sz w:val="32"/>
          <w:szCs w:val="32"/>
          <w:lang w:eastAsia="zh-CN"/>
          <w14:ligatures w14:val="none"/>
        </w:rPr>
        <w:t>（三）</w:t>
      </w:r>
      <w:r>
        <w:rPr>
          <w:rFonts w:hint="eastAsia" w:ascii="楷体_GB2312" w:hAnsi="黑体" w:eastAsia="楷体_GB2312" w:cs="黑体"/>
          <w:b w:val="0"/>
          <w:bCs w:val="0"/>
          <w:sz w:val="32"/>
          <w:szCs w:val="32"/>
          <w14:ligatures w14:val="none"/>
        </w:rPr>
        <w:t>购样情况</w:t>
      </w:r>
    </w:p>
    <w:p>
      <w:pPr>
        <w:keepNext w:val="0"/>
        <w:keepLines w:val="0"/>
        <w:pageBreakBefore w:val="0"/>
        <w:widowControl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检测不涉及破坏性项目，原则上无需购买样品;涉及可能破坏/破坏性项目的，检测结束后，如果样品破坏，应向商家购买样品，如果样品没有破坏，无需向商家购买样品。样品经拆卸后可复位且不影响二次销售的，不属于样品破坏范畴。</w:t>
      </w:r>
    </w:p>
    <w:p>
      <w:pPr>
        <w:keepNext w:val="0"/>
        <w:keepLines w:val="0"/>
        <w:pageBreakBefore w:val="0"/>
        <w:widowControl w:val="0"/>
        <w:kinsoku/>
        <w:wordWrap/>
        <w:overflowPunct/>
        <w:topLinePunct w:val="0"/>
        <w:autoSpaceDE/>
        <w:autoSpaceDN/>
        <w:bidi w:val="0"/>
        <w:adjustRightInd/>
        <w:snapToGrid w:val="0"/>
        <w:spacing w:line="579"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三、检测项目、方法及判定</w:t>
      </w:r>
    </w:p>
    <w:p>
      <w:pPr>
        <w:keepNext w:val="0"/>
        <w:keepLines w:val="0"/>
        <w:pageBreakBefore w:val="0"/>
        <w:widowControl w:val="0"/>
        <w:numPr>
          <w:ilvl w:val="0"/>
          <w:numId w:val="0"/>
        </w:numPr>
        <w:kinsoku/>
        <w:wordWrap/>
        <w:overflowPunct/>
        <w:topLinePunct w:val="0"/>
        <w:autoSpaceDE/>
        <w:autoSpaceDN/>
        <w:bidi w:val="0"/>
        <w:adjustRightInd/>
        <w:snapToGrid/>
        <w:spacing w:after="0" w:line="579" w:lineRule="exact"/>
        <w:ind w:left="420" w:leftChars="0" w:right="0" w:rightChars="0"/>
        <w:jc w:val="both"/>
        <w:textAlignment w:val="auto"/>
        <w:outlineLvl w:val="1"/>
        <w:rPr>
          <w:rFonts w:hint="eastAsia" w:ascii="楷体_GB2312" w:hAnsi="黑体" w:eastAsia="楷体_GB2312" w:cs="黑体"/>
          <w:b w:val="0"/>
          <w:bCs w:val="0"/>
          <w:sz w:val="32"/>
          <w:szCs w:val="32"/>
          <w14:ligatures w14:val="none"/>
        </w:rPr>
      </w:pPr>
      <w:r>
        <w:rPr>
          <w:rFonts w:hint="eastAsia" w:ascii="楷体_GB2312" w:hAnsi="黑体" w:eastAsia="楷体_GB2312" w:cs="黑体"/>
          <w:b w:val="0"/>
          <w:bCs w:val="0"/>
          <w:sz w:val="32"/>
          <w:szCs w:val="32"/>
          <w:lang w:eastAsia="zh-CN"/>
          <w14:ligatures w14:val="none"/>
        </w:rPr>
        <w:t>（一）</w:t>
      </w:r>
      <w:r>
        <w:rPr>
          <w:rFonts w:hint="eastAsia" w:ascii="楷体_GB2312" w:hAnsi="黑体" w:eastAsia="楷体_GB2312" w:cs="黑体"/>
          <w:b w:val="0"/>
          <w:bCs w:val="0"/>
          <w:sz w:val="32"/>
          <w:szCs w:val="32"/>
          <w14:ligatures w14:val="none"/>
        </w:rPr>
        <w:t>尺寸限值-鞍座长度</w:t>
      </w:r>
    </w:p>
    <w:p>
      <w:pPr>
        <w:keepNext w:val="0"/>
        <w:keepLines w:val="0"/>
        <w:pageBreakBefore w:val="0"/>
        <w:widowControl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检测方法：使用钢卷尺测量样车的整个鞍座长度，如有多个鞍座，应分别测试，累加得到总鞍座长度。</w:t>
      </w:r>
    </w:p>
    <w:p>
      <w:pPr>
        <w:keepNext w:val="0"/>
        <w:keepLines w:val="0"/>
        <w:pageBreakBefore w:val="0"/>
        <w:widowControl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判定依据：GB 17761-2024第6.1.5条款，鞍座长度应≤350mm。</w:t>
      </w:r>
    </w:p>
    <w:p>
      <w:pPr>
        <w:keepNext w:val="0"/>
        <w:keepLines w:val="0"/>
        <w:pageBreakBefore w:val="0"/>
        <w:widowControl w:val="0"/>
        <w:kinsoku/>
        <w:wordWrap/>
        <w:overflowPunct/>
        <w:topLinePunct w:val="0"/>
        <w:autoSpaceDE/>
        <w:autoSpaceDN/>
        <w:bidi w:val="0"/>
        <w:adjustRightInd/>
        <w:snapToGrid w:val="0"/>
        <w:spacing w:line="579" w:lineRule="exact"/>
        <w:ind w:firstLine="642"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不符合程度：严重</w:t>
      </w:r>
    </w:p>
    <w:p>
      <w:pPr>
        <w:keepNext w:val="0"/>
        <w:keepLines w:val="0"/>
        <w:pageBreakBefore w:val="0"/>
        <w:widowControl w:val="0"/>
        <w:numPr>
          <w:ilvl w:val="0"/>
          <w:numId w:val="0"/>
        </w:numPr>
        <w:kinsoku/>
        <w:wordWrap/>
        <w:overflowPunct/>
        <w:topLinePunct w:val="0"/>
        <w:autoSpaceDE/>
        <w:autoSpaceDN/>
        <w:bidi w:val="0"/>
        <w:adjustRightInd/>
        <w:snapToGrid/>
        <w:spacing w:after="0" w:line="579" w:lineRule="exact"/>
        <w:ind w:left="420" w:leftChars="0" w:right="0" w:rightChars="0"/>
        <w:jc w:val="both"/>
        <w:textAlignment w:val="auto"/>
        <w:outlineLvl w:val="1"/>
        <w:rPr>
          <w:rFonts w:hint="eastAsia" w:ascii="楷体_GB2312" w:hAnsi="黑体" w:eastAsia="楷体_GB2312" w:cs="黑体"/>
          <w:b w:val="0"/>
          <w:bCs w:val="0"/>
          <w:sz w:val="32"/>
          <w:szCs w:val="32"/>
          <w14:ligatures w14:val="none"/>
        </w:rPr>
      </w:pPr>
      <w:r>
        <w:rPr>
          <w:rFonts w:hint="eastAsia" w:ascii="楷体_GB2312" w:hAnsi="黑体" w:eastAsia="楷体_GB2312" w:cs="黑体"/>
          <w:b w:val="0"/>
          <w:bCs w:val="0"/>
          <w:sz w:val="32"/>
          <w:szCs w:val="32"/>
          <w:lang w:eastAsia="zh-CN"/>
          <w14:ligatures w14:val="none"/>
        </w:rPr>
        <w:t>（二）</w:t>
      </w:r>
      <w:r>
        <w:rPr>
          <w:rFonts w:hint="eastAsia" w:ascii="楷体_GB2312" w:hAnsi="黑体" w:eastAsia="楷体_GB2312" w:cs="黑体"/>
          <w:b w:val="0"/>
          <w:bCs w:val="0"/>
          <w:sz w:val="32"/>
          <w:szCs w:val="32"/>
          <w14:ligatures w14:val="none"/>
        </w:rPr>
        <w:t>尺寸限值-后衣架宽度</w:t>
      </w:r>
    </w:p>
    <w:p>
      <w:pPr>
        <w:keepNext w:val="0"/>
        <w:keepLines w:val="0"/>
        <w:pageBreakBefore w:val="0"/>
        <w:widowControl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检测方法：用钢卷尺或游标卡尺测量后轮上方的衣架平坦部分最大宽度（应测量后衣架或其上覆盖物中宽度较大部位）并记录。</w:t>
      </w:r>
    </w:p>
    <w:p>
      <w:pPr>
        <w:keepNext w:val="0"/>
        <w:keepLines w:val="0"/>
        <w:pageBreakBefore w:val="0"/>
        <w:widowControl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判定依据：GB 17761-2024第6.1.5条款，后衣架宽度应≤175mm。</w:t>
      </w:r>
    </w:p>
    <w:p>
      <w:pPr>
        <w:keepNext w:val="0"/>
        <w:keepLines w:val="0"/>
        <w:pageBreakBefore w:val="0"/>
        <w:widowControl w:val="0"/>
        <w:kinsoku/>
        <w:wordWrap/>
        <w:overflowPunct/>
        <w:topLinePunct w:val="0"/>
        <w:autoSpaceDE/>
        <w:autoSpaceDN/>
        <w:bidi w:val="0"/>
        <w:adjustRightInd/>
        <w:snapToGrid w:val="0"/>
        <w:spacing w:line="579" w:lineRule="exact"/>
        <w:ind w:firstLine="642"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不符合程度：严重</w:t>
      </w:r>
    </w:p>
    <w:p>
      <w:pPr>
        <w:keepNext w:val="0"/>
        <w:keepLines w:val="0"/>
        <w:pageBreakBefore w:val="0"/>
        <w:widowControl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注：折叠的衣架应按展开后最大宽度测量。</w:t>
      </w:r>
    </w:p>
    <w:p>
      <w:pPr>
        <w:keepNext w:val="0"/>
        <w:keepLines w:val="0"/>
        <w:pageBreakBefore w:val="0"/>
        <w:widowControl w:val="0"/>
        <w:numPr>
          <w:ilvl w:val="0"/>
          <w:numId w:val="0"/>
        </w:numPr>
        <w:kinsoku/>
        <w:wordWrap/>
        <w:overflowPunct/>
        <w:topLinePunct w:val="0"/>
        <w:autoSpaceDE/>
        <w:autoSpaceDN/>
        <w:bidi w:val="0"/>
        <w:adjustRightInd/>
        <w:snapToGrid/>
        <w:spacing w:after="0" w:line="579" w:lineRule="exact"/>
        <w:ind w:left="420" w:leftChars="0" w:right="0" w:rightChars="0"/>
        <w:jc w:val="both"/>
        <w:textAlignment w:val="auto"/>
        <w:outlineLvl w:val="1"/>
        <w:rPr>
          <w:rFonts w:hint="eastAsia" w:ascii="楷体_GB2312" w:hAnsi="黑体" w:eastAsia="楷体_GB2312" w:cs="黑体"/>
          <w:b w:val="0"/>
          <w:bCs w:val="0"/>
          <w:sz w:val="32"/>
          <w:szCs w:val="32"/>
          <w14:ligatures w14:val="none"/>
        </w:rPr>
      </w:pPr>
      <w:r>
        <w:rPr>
          <w:rFonts w:hint="eastAsia" w:ascii="楷体_GB2312" w:hAnsi="黑体" w:eastAsia="楷体_GB2312" w:cs="黑体"/>
          <w:b w:val="0"/>
          <w:bCs w:val="0"/>
          <w:sz w:val="32"/>
          <w:szCs w:val="32"/>
          <w:lang w:eastAsia="zh-CN"/>
          <w14:ligatures w14:val="none"/>
        </w:rPr>
        <w:t>（三）</w:t>
      </w:r>
      <w:r>
        <w:rPr>
          <w:rFonts w:hint="eastAsia" w:ascii="楷体_GB2312" w:hAnsi="黑体" w:eastAsia="楷体_GB2312" w:cs="黑体"/>
          <w:b w:val="0"/>
          <w:bCs w:val="0"/>
          <w:sz w:val="32"/>
          <w:szCs w:val="32"/>
          <w14:ligatures w14:val="none"/>
        </w:rPr>
        <w:t>尺寸限值-前后轮中心距</w:t>
      </w:r>
    </w:p>
    <w:p>
      <w:pPr>
        <w:keepNext w:val="0"/>
        <w:keepLines w:val="0"/>
        <w:pageBreakBefore w:val="0"/>
        <w:widowControl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检测方法：用钢卷尺测量样车的前后轮中心间距，并记录。</w:t>
      </w:r>
    </w:p>
    <w:p>
      <w:pPr>
        <w:keepNext w:val="0"/>
        <w:keepLines w:val="0"/>
        <w:pageBreakBefore w:val="0"/>
        <w:widowControl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判定依据：GB 17761-2024第6.1.5条款，前后轮中心距应≤1250mm</w:t>
      </w:r>
    </w:p>
    <w:p>
      <w:pPr>
        <w:keepNext w:val="0"/>
        <w:keepLines w:val="0"/>
        <w:pageBreakBefore w:val="0"/>
        <w:widowControl w:val="0"/>
        <w:kinsoku/>
        <w:wordWrap/>
        <w:overflowPunct/>
        <w:topLinePunct w:val="0"/>
        <w:autoSpaceDE/>
        <w:autoSpaceDN/>
        <w:bidi w:val="0"/>
        <w:adjustRightInd/>
        <w:snapToGrid w:val="0"/>
        <w:spacing w:line="579" w:lineRule="exact"/>
        <w:ind w:firstLine="642"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不符合程度：严重</w:t>
      </w:r>
    </w:p>
    <w:p>
      <w:pPr>
        <w:pStyle w:val="7"/>
        <w:keepNext w:val="0"/>
        <w:keepLines w:val="0"/>
        <w:pageBreakBefore w:val="0"/>
        <w:widowControl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注：该项目不适用仅具有电助力功能的电动自行车。</w:t>
      </w:r>
    </w:p>
    <w:p>
      <w:pPr>
        <w:keepNext w:val="0"/>
        <w:keepLines w:val="0"/>
        <w:pageBreakBefore w:val="0"/>
        <w:widowControl w:val="0"/>
        <w:numPr>
          <w:ilvl w:val="0"/>
          <w:numId w:val="0"/>
        </w:numPr>
        <w:kinsoku/>
        <w:wordWrap/>
        <w:overflowPunct/>
        <w:topLinePunct w:val="0"/>
        <w:autoSpaceDE/>
        <w:autoSpaceDN/>
        <w:bidi w:val="0"/>
        <w:adjustRightInd/>
        <w:snapToGrid/>
        <w:spacing w:after="0" w:line="579" w:lineRule="exact"/>
        <w:ind w:left="420" w:leftChars="0" w:right="0" w:rightChars="0"/>
        <w:jc w:val="both"/>
        <w:textAlignment w:val="auto"/>
        <w:outlineLvl w:val="1"/>
        <w:rPr>
          <w:rFonts w:hint="eastAsia" w:ascii="楷体_GB2312" w:hAnsi="黑体" w:eastAsia="楷体_GB2312" w:cs="黑体"/>
          <w:b w:val="0"/>
          <w:bCs w:val="0"/>
          <w:sz w:val="32"/>
          <w:szCs w:val="32"/>
          <w14:ligatures w14:val="none"/>
        </w:rPr>
      </w:pPr>
      <w:r>
        <w:rPr>
          <w:rFonts w:hint="eastAsia" w:ascii="楷体_GB2312" w:hAnsi="黑体" w:eastAsia="楷体_GB2312" w:cs="黑体"/>
          <w:b w:val="0"/>
          <w:bCs w:val="0"/>
          <w:sz w:val="32"/>
          <w:szCs w:val="32"/>
          <w:lang w:eastAsia="zh-CN"/>
          <w14:ligatures w14:val="none"/>
        </w:rPr>
        <w:t>（四）</w:t>
      </w:r>
      <w:r>
        <w:rPr>
          <w:rFonts w:hint="eastAsia" w:ascii="楷体_GB2312" w:hAnsi="黑体" w:eastAsia="楷体_GB2312" w:cs="黑体"/>
          <w:b w:val="0"/>
          <w:bCs w:val="0"/>
          <w:sz w:val="32"/>
          <w:szCs w:val="32"/>
          <w14:ligatures w14:val="none"/>
        </w:rPr>
        <w:t>整车质量</w:t>
      </w:r>
    </w:p>
    <w:p>
      <w:pPr>
        <w:keepNext w:val="0"/>
        <w:keepLines w:val="0"/>
        <w:pageBreakBefore w:val="0"/>
        <w:widowControl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检测方法：电子台秤测试前归零，将样车置于电子台秤上，稳定后记录其整车质量。如遇到样车未安装电池等配件，但初判有超标嫌疑，亦可对整车称重并如实记录，如质量已超过标准要求值，则判定该样车不合格，如质量未超过标准要求值，则仅记录实测结果，单项不判定。</w:t>
      </w:r>
    </w:p>
    <w:p>
      <w:pPr>
        <w:keepNext w:val="0"/>
        <w:keepLines w:val="0"/>
        <w:pageBreakBefore w:val="0"/>
        <w:widowControl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判定依据：GB 17761-2024第6.1.3条款，使用铅酸蓄电池的装配完整电动自行车整车质量应≤63kg，使用其他类型蓄电池的装配完整电动自行车整车质量应≤55kg</w:t>
      </w:r>
    </w:p>
    <w:p>
      <w:pPr>
        <w:keepNext w:val="0"/>
        <w:keepLines w:val="0"/>
        <w:pageBreakBefore w:val="0"/>
        <w:widowControl w:val="0"/>
        <w:kinsoku/>
        <w:wordWrap/>
        <w:overflowPunct/>
        <w:topLinePunct w:val="0"/>
        <w:autoSpaceDE/>
        <w:autoSpaceDN/>
        <w:bidi w:val="0"/>
        <w:adjustRightInd/>
        <w:spacing w:line="579" w:lineRule="exact"/>
        <w:ind w:firstLine="642"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不符合程度：严重</w:t>
      </w:r>
    </w:p>
    <w:p>
      <w:pPr>
        <w:keepNext w:val="0"/>
        <w:keepLines w:val="0"/>
        <w:pageBreakBefore w:val="0"/>
        <w:widowControl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注：零部件不含外置的充电器和头盔。</w:t>
      </w:r>
    </w:p>
    <w:p>
      <w:pPr>
        <w:keepNext w:val="0"/>
        <w:keepLines w:val="0"/>
        <w:pageBreakBefore w:val="0"/>
        <w:widowControl w:val="0"/>
        <w:numPr>
          <w:ilvl w:val="0"/>
          <w:numId w:val="0"/>
        </w:numPr>
        <w:kinsoku/>
        <w:wordWrap/>
        <w:overflowPunct/>
        <w:topLinePunct w:val="0"/>
        <w:autoSpaceDE/>
        <w:autoSpaceDN/>
        <w:bidi w:val="0"/>
        <w:adjustRightInd/>
        <w:snapToGrid/>
        <w:spacing w:after="0" w:line="579" w:lineRule="exact"/>
        <w:ind w:left="420" w:leftChars="0" w:right="0" w:rightChars="0"/>
        <w:jc w:val="both"/>
        <w:textAlignment w:val="auto"/>
        <w:outlineLvl w:val="1"/>
        <w:rPr>
          <w:rFonts w:hint="eastAsia" w:ascii="楷体_GB2312" w:hAnsi="黑体" w:eastAsia="楷体_GB2312" w:cs="黑体"/>
          <w:b w:val="0"/>
          <w:bCs w:val="0"/>
          <w:sz w:val="32"/>
          <w:szCs w:val="32"/>
          <w14:ligatures w14:val="none"/>
        </w:rPr>
      </w:pPr>
      <w:r>
        <w:rPr>
          <w:rFonts w:hint="eastAsia" w:ascii="楷体_GB2312" w:hAnsi="黑体" w:eastAsia="楷体_GB2312" w:cs="黑体"/>
          <w:b w:val="0"/>
          <w:bCs w:val="0"/>
          <w:sz w:val="32"/>
          <w:szCs w:val="32"/>
          <w:lang w:eastAsia="zh-CN"/>
          <w14:ligatures w14:val="none"/>
        </w:rPr>
        <w:t>（五）</w:t>
      </w:r>
      <w:r>
        <w:rPr>
          <w:rFonts w:hint="eastAsia" w:ascii="楷体_GB2312" w:hAnsi="黑体" w:eastAsia="楷体_GB2312" w:cs="黑体"/>
          <w:b w:val="0"/>
          <w:bCs w:val="0"/>
          <w:sz w:val="32"/>
          <w:szCs w:val="32"/>
          <w14:ligatures w14:val="none"/>
        </w:rPr>
        <w:t>最高车速</w:t>
      </w:r>
    </w:p>
    <w:p>
      <w:pPr>
        <w:keepNext w:val="0"/>
        <w:keepLines w:val="0"/>
        <w:pageBreakBefore w:val="0"/>
        <w:widowControl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检测方法：样车应配有蓄电池(原装电池、试车电池均可)或外接直流稳压电源。如有车速可选择档位，应使其档位处于最高车速状态。测量时，在车辆后轮无反光标识外表面处贴上反光纸。打开车辆电源，使后轮处于悬空的状态，用转速表对准反光纸，转动转把驱动样车达到最高转速，待转速稳定后测量此时车辆驱动轮的转速值，计为车辆的空载最高转速。目测获得轮胎表面上的规格信息，如14、16等，通过计算公式得出车辆空载时的最高车速。计算公式如下：</w:t>
      </w:r>
    </w:p>
    <w:p>
      <w:pPr>
        <w:keepNext w:val="0"/>
        <w:keepLines w:val="0"/>
        <w:pageBreakBefore w:val="0"/>
        <w:widowControl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最高车速(km/h)=最高转速(rpm/min)×60×轮胎规格×25.4×3.142÷1000000</w:t>
      </w:r>
    </w:p>
    <w:p>
      <w:pPr>
        <w:keepNext w:val="0"/>
        <w:keepLines w:val="0"/>
        <w:pageBreakBefore w:val="0"/>
        <w:widowControl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判定依据：参照GB 17761-2024第6.1.1条款，最高车速≤28km/h</w:t>
      </w:r>
    </w:p>
    <w:p>
      <w:pPr>
        <w:keepNext w:val="0"/>
        <w:keepLines w:val="0"/>
        <w:pageBreakBefore w:val="0"/>
        <w:widowControl w:val="0"/>
        <w:kinsoku/>
        <w:wordWrap/>
        <w:overflowPunct/>
        <w:topLinePunct w:val="0"/>
        <w:autoSpaceDE/>
        <w:autoSpaceDN/>
        <w:bidi w:val="0"/>
        <w:adjustRightInd/>
        <w:snapToGrid w:val="0"/>
        <w:spacing w:line="579" w:lineRule="exact"/>
        <w:ind w:firstLine="642"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不符合程度：严重</w:t>
      </w:r>
    </w:p>
    <w:p>
      <w:pPr>
        <w:keepNext w:val="0"/>
        <w:keepLines w:val="0"/>
        <w:pageBreakBefore w:val="0"/>
        <w:widowControl w:val="0"/>
        <w:numPr>
          <w:ilvl w:val="0"/>
          <w:numId w:val="0"/>
        </w:numPr>
        <w:kinsoku/>
        <w:wordWrap/>
        <w:overflowPunct/>
        <w:topLinePunct w:val="0"/>
        <w:autoSpaceDE/>
        <w:autoSpaceDN/>
        <w:bidi w:val="0"/>
        <w:adjustRightInd/>
        <w:snapToGrid/>
        <w:spacing w:after="0" w:line="579" w:lineRule="exact"/>
        <w:ind w:left="420" w:leftChars="0" w:right="0" w:rightChars="0"/>
        <w:jc w:val="both"/>
        <w:textAlignment w:val="auto"/>
        <w:outlineLvl w:val="1"/>
        <w:rPr>
          <w:rFonts w:hint="eastAsia" w:ascii="楷体_GB2312" w:hAnsi="黑体" w:eastAsia="楷体_GB2312" w:cs="黑体"/>
          <w:b w:val="0"/>
          <w:bCs w:val="0"/>
          <w:sz w:val="32"/>
          <w:szCs w:val="32"/>
          <w14:ligatures w14:val="none"/>
        </w:rPr>
      </w:pPr>
      <w:r>
        <w:rPr>
          <w:rFonts w:hint="eastAsia" w:ascii="楷体_GB2312" w:hAnsi="黑体" w:eastAsia="楷体_GB2312" w:cs="黑体"/>
          <w:b w:val="0"/>
          <w:bCs w:val="0"/>
          <w:sz w:val="32"/>
          <w:szCs w:val="32"/>
          <w:lang w:eastAsia="zh-CN"/>
          <w14:ligatures w14:val="none"/>
        </w:rPr>
        <w:t>（六）</w:t>
      </w:r>
      <w:r>
        <w:rPr>
          <w:rFonts w:hint="eastAsia" w:ascii="楷体_GB2312" w:hAnsi="黑体" w:eastAsia="楷体_GB2312" w:cs="黑体"/>
          <w:b w:val="0"/>
          <w:bCs w:val="0"/>
          <w:sz w:val="32"/>
          <w:szCs w:val="32"/>
          <w14:ligatures w14:val="none"/>
        </w:rPr>
        <w:t>短路保护</w:t>
      </w:r>
    </w:p>
    <w:p>
      <w:pPr>
        <w:keepNext w:val="0"/>
        <w:keepLines w:val="0"/>
        <w:pageBreakBefore w:val="0"/>
        <w:widowControl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检测方法：目测检查在试验样车充电线路中是否装有熔断器或断路器保护装置，电池输出端电路中是否接入熔断器或断路器保护装置。检查熔断器或断路器的规格、参数是否符合使用说明书或其他明示的规定。</w:t>
      </w:r>
    </w:p>
    <w:p>
      <w:pPr>
        <w:keepNext w:val="0"/>
        <w:keepLines w:val="0"/>
        <w:pageBreakBefore w:val="0"/>
        <w:widowControl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判定依据：GB 17761-2024第6.3.1.2条款，电动自行车的充电线路和电池输出端中应当分别装有熔断器或断路器保护装置，其规格、参数应当符合使用说明书或其他明示的规定。</w:t>
      </w:r>
    </w:p>
    <w:p>
      <w:pPr>
        <w:keepNext w:val="0"/>
        <w:keepLines w:val="0"/>
        <w:pageBreakBefore w:val="0"/>
        <w:widowControl w:val="0"/>
        <w:kinsoku/>
        <w:wordWrap/>
        <w:overflowPunct/>
        <w:topLinePunct w:val="0"/>
        <w:autoSpaceDE/>
        <w:autoSpaceDN/>
        <w:bidi w:val="0"/>
        <w:adjustRightInd/>
        <w:snapToGrid w:val="0"/>
        <w:spacing w:line="579" w:lineRule="exact"/>
        <w:ind w:firstLine="642"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不符合程度：严重</w:t>
      </w:r>
    </w:p>
    <w:p>
      <w:pPr>
        <w:keepNext w:val="0"/>
        <w:keepLines w:val="0"/>
        <w:pageBreakBefore w:val="0"/>
        <w:widowControl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注：该项目需拆开样车查看。如遇到需破坏样车才能测试的，不进行该项目测试。</w:t>
      </w:r>
    </w:p>
    <w:p>
      <w:pPr>
        <w:keepNext w:val="0"/>
        <w:keepLines w:val="0"/>
        <w:pageBreakBefore w:val="0"/>
        <w:widowControl w:val="0"/>
        <w:numPr>
          <w:ilvl w:val="0"/>
          <w:numId w:val="0"/>
        </w:numPr>
        <w:kinsoku/>
        <w:wordWrap/>
        <w:overflowPunct/>
        <w:topLinePunct w:val="0"/>
        <w:autoSpaceDE/>
        <w:autoSpaceDN/>
        <w:bidi w:val="0"/>
        <w:adjustRightInd/>
        <w:snapToGrid/>
        <w:spacing w:after="0" w:line="579" w:lineRule="exact"/>
        <w:ind w:left="420" w:leftChars="0" w:right="0" w:rightChars="0"/>
        <w:jc w:val="both"/>
        <w:textAlignment w:val="auto"/>
        <w:outlineLvl w:val="1"/>
        <w:rPr>
          <w:rFonts w:hint="eastAsia" w:ascii="楷体_GB2312" w:hAnsi="黑体" w:eastAsia="楷体_GB2312" w:cs="黑体"/>
          <w:b w:val="0"/>
          <w:bCs w:val="0"/>
          <w:sz w:val="32"/>
          <w:szCs w:val="32"/>
          <w14:ligatures w14:val="none"/>
        </w:rPr>
      </w:pPr>
      <w:r>
        <w:rPr>
          <w:rFonts w:hint="eastAsia" w:ascii="楷体_GB2312" w:hAnsi="黑体" w:eastAsia="楷体_GB2312" w:cs="黑体"/>
          <w:b w:val="0"/>
          <w:bCs w:val="0"/>
          <w:sz w:val="32"/>
          <w:szCs w:val="32"/>
          <w:lang w:eastAsia="zh-CN"/>
          <w14:ligatures w14:val="none"/>
        </w:rPr>
        <w:t>（七）</w:t>
      </w:r>
      <w:r>
        <w:rPr>
          <w:rFonts w:hint="eastAsia" w:ascii="楷体_GB2312" w:hAnsi="黑体" w:eastAsia="楷体_GB2312" w:cs="黑体"/>
          <w:b w:val="0"/>
          <w:bCs w:val="0"/>
          <w:sz w:val="32"/>
          <w:szCs w:val="32"/>
          <w14:ligatures w14:val="none"/>
        </w:rPr>
        <w:t>北斗模块</w:t>
      </w:r>
    </w:p>
    <w:p>
      <w:pPr>
        <w:keepNext w:val="0"/>
        <w:keepLines w:val="0"/>
        <w:pageBreakBefore w:val="0"/>
        <w:widowControl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检测方法：目测检查样车上是否安装有北斗定位模块。</w:t>
      </w:r>
    </w:p>
    <w:p>
      <w:pPr>
        <w:keepNext w:val="0"/>
        <w:keepLines w:val="0"/>
        <w:pageBreakBefore w:val="0"/>
        <w:widowControl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判定依据：GB 17761-2024第6.6.1条款，用于城市物流、商业租赁等经营性活动的电动自行车，应具有防拆卸北斗模块；其他类型的电动自行车，应安装有北斗模块。</w:t>
      </w:r>
    </w:p>
    <w:p>
      <w:pPr>
        <w:keepNext w:val="0"/>
        <w:keepLines w:val="0"/>
        <w:pageBreakBefore w:val="0"/>
        <w:widowControl w:val="0"/>
        <w:kinsoku/>
        <w:wordWrap/>
        <w:overflowPunct/>
        <w:topLinePunct w:val="0"/>
        <w:autoSpaceDE/>
        <w:autoSpaceDN/>
        <w:bidi w:val="0"/>
        <w:adjustRightInd/>
        <w:snapToGrid w:val="0"/>
        <w:spacing w:line="579" w:lineRule="exact"/>
        <w:ind w:firstLine="642"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不符合程度：一般</w:t>
      </w:r>
    </w:p>
    <w:p>
      <w:pPr>
        <w:keepNext w:val="0"/>
        <w:keepLines w:val="0"/>
        <w:pageBreakBefore w:val="0"/>
        <w:widowControl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注：该项目需拆开样车查看。如遇到需破坏样车才能测试的，不进行该项目测试。</w:t>
      </w:r>
    </w:p>
    <w:p>
      <w:pPr>
        <w:keepNext w:val="0"/>
        <w:keepLines w:val="0"/>
        <w:pageBreakBefore w:val="0"/>
        <w:widowControl w:val="0"/>
        <w:numPr>
          <w:ilvl w:val="0"/>
          <w:numId w:val="0"/>
        </w:numPr>
        <w:kinsoku/>
        <w:wordWrap/>
        <w:overflowPunct/>
        <w:topLinePunct w:val="0"/>
        <w:autoSpaceDE/>
        <w:autoSpaceDN/>
        <w:bidi w:val="0"/>
        <w:adjustRightInd/>
        <w:snapToGrid/>
        <w:spacing w:after="0" w:line="579" w:lineRule="exact"/>
        <w:ind w:left="420" w:leftChars="0" w:right="0" w:rightChars="0"/>
        <w:jc w:val="both"/>
        <w:textAlignment w:val="auto"/>
        <w:outlineLvl w:val="1"/>
        <w:rPr>
          <w:rFonts w:hint="eastAsia" w:ascii="楷体_GB2312" w:hAnsi="黑体" w:eastAsia="楷体_GB2312" w:cs="黑体"/>
          <w:b w:val="0"/>
          <w:bCs w:val="0"/>
          <w:sz w:val="32"/>
          <w:szCs w:val="32"/>
          <w14:ligatures w14:val="none"/>
        </w:rPr>
      </w:pPr>
      <w:r>
        <w:rPr>
          <w:rFonts w:hint="eastAsia" w:ascii="楷体_GB2312" w:hAnsi="黑体" w:eastAsia="楷体_GB2312" w:cs="黑体"/>
          <w:b w:val="0"/>
          <w:bCs w:val="0"/>
          <w:sz w:val="32"/>
          <w:szCs w:val="32"/>
          <w:lang w:eastAsia="zh-CN"/>
          <w14:ligatures w14:val="none"/>
        </w:rPr>
        <w:t>（八）</w:t>
      </w:r>
      <w:r>
        <w:rPr>
          <w:rFonts w:hint="eastAsia" w:ascii="楷体_GB2312" w:hAnsi="黑体" w:eastAsia="楷体_GB2312" w:cs="黑体"/>
          <w:b w:val="0"/>
          <w:bCs w:val="0"/>
          <w:sz w:val="32"/>
          <w:szCs w:val="32"/>
          <w14:ligatures w14:val="none"/>
        </w:rPr>
        <w:t>通信模块</w:t>
      </w:r>
    </w:p>
    <w:p>
      <w:pPr>
        <w:keepNext w:val="0"/>
        <w:keepLines w:val="0"/>
        <w:pageBreakBefore w:val="0"/>
        <w:widowControl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检测方法：目测或通过厂商提供的测试工具检查样车上是否安装有通信模块。</w:t>
      </w:r>
    </w:p>
    <w:p>
      <w:pPr>
        <w:keepNext w:val="0"/>
        <w:keepLines w:val="0"/>
        <w:pageBreakBefore w:val="0"/>
        <w:widowControl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判定依据：GB 17761-2024第6.7.1条款，电动自行车应具有4G或5G公网通信模块，或其他类似功能的通信模块。</w:t>
      </w:r>
    </w:p>
    <w:p>
      <w:pPr>
        <w:keepNext w:val="0"/>
        <w:keepLines w:val="0"/>
        <w:pageBreakBefore w:val="0"/>
        <w:widowControl w:val="0"/>
        <w:kinsoku/>
        <w:wordWrap/>
        <w:overflowPunct/>
        <w:topLinePunct w:val="0"/>
        <w:autoSpaceDE/>
        <w:autoSpaceDN/>
        <w:bidi w:val="0"/>
        <w:adjustRightInd/>
        <w:snapToGrid w:val="0"/>
        <w:spacing w:line="579" w:lineRule="exact"/>
        <w:ind w:firstLine="642"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不符合程度：严重</w:t>
      </w:r>
    </w:p>
    <w:p>
      <w:pPr>
        <w:keepNext w:val="0"/>
        <w:keepLines w:val="0"/>
        <w:pageBreakBefore w:val="0"/>
        <w:widowControl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Cs/>
          <w:sz w:val="32"/>
          <w:szCs w:val="32"/>
        </w:rPr>
        <w:t>注：该项目需拆开样车查看。如遇到需破坏样车才能测试的，不进行该项目测试。</w:t>
      </w:r>
    </w:p>
    <w:p>
      <w:pPr>
        <w:keepNext w:val="0"/>
        <w:keepLines w:val="0"/>
        <w:pageBreakBefore w:val="0"/>
        <w:widowControl w:val="0"/>
        <w:numPr>
          <w:ilvl w:val="0"/>
          <w:numId w:val="0"/>
        </w:numPr>
        <w:kinsoku/>
        <w:wordWrap/>
        <w:overflowPunct/>
        <w:topLinePunct w:val="0"/>
        <w:autoSpaceDE/>
        <w:autoSpaceDN/>
        <w:bidi w:val="0"/>
        <w:adjustRightInd/>
        <w:snapToGrid/>
        <w:spacing w:after="0" w:line="579" w:lineRule="exact"/>
        <w:ind w:left="420" w:leftChars="0" w:right="0" w:rightChars="0"/>
        <w:jc w:val="both"/>
        <w:textAlignment w:val="auto"/>
        <w:outlineLvl w:val="1"/>
        <w:rPr>
          <w:rFonts w:hint="eastAsia" w:ascii="楷体_GB2312" w:hAnsi="黑体" w:eastAsia="楷体_GB2312" w:cs="黑体"/>
          <w:b w:val="0"/>
          <w:bCs w:val="0"/>
          <w:sz w:val="32"/>
          <w:szCs w:val="32"/>
          <w14:ligatures w14:val="none"/>
        </w:rPr>
      </w:pPr>
      <w:r>
        <w:rPr>
          <w:rFonts w:hint="eastAsia" w:ascii="楷体_GB2312" w:hAnsi="黑体" w:eastAsia="楷体_GB2312" w:cs="黑体"/>
          <w:b w:val="0"/>
          <w:bCs w:val="0"/>
          <w:sz w:val="32"/>
          <w:szCs w:val="32"/>
          <w:lang w:eastAsia="zh-CN"/>
          <w14:ligatures w14:val="none"/>
        </w:rPr>
        <w:t>（九）</w:t>
      </w:r>
      <w:r>
        <w:rPr>
          <w:rFonts w:hint="eastAsia" w:ascii="楷体_GB2312" w:hAnsi="黑体" w:eastAsia="楷体_GB2312" w:cs="黑体"/>
          <w:b w:val="0"/>
          <w:bCs w:val="0"/>
          <w:sz w:val="32"/>
          <w:szCs w:val="32"/>
          <w14:ligatures w14:val="none"/>
        </w:rPr>
        <w:t>电池组防篡改</w:t>
      </w:r>
    </w:p>
    <w:p>
      <w:pPr>
        <w:keepNext w:val="0"/>
        <w:keepLines w:val="0"/>
        <w:pageBreakBefore w:val="0"/>
        <w:widowControl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检测方法：目测检查相关部位是否有接口或末端裸露的线路；目测检查相关部位是否有外设电池组托架。</w:t>
      </w:r>
    </w:p>
    <w:p>
      <w:pPr>
        <w:keepNext w:val="0"/>
        <w:keepLines w:val="0"/>
        <w:pageBreakBefore w:val="0"/>
        <w:widowControl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判定依据：GB 17761-2024第6.8.1.1 a)、b)条款。</w:t>
      </w:r>
    </w:p>
    <w:p>
      <w:pPr>
        <w:keepNext w:val="0"/>
        <w:keepLines w:val="0"/>
        <w:pageBreakBefore w:val="0"/>
        <w:widowControl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①电动自行车不应预留扩展车载电池的接口或线路。</w:t>
      </w:r>
    </w:p>
    <w:p>
      <w:pPr>
        <w:keepNext w:val="0"/>
        <w:keepLines w:val="0"/>
        <w:pageBreakBefore w:val="0"/>
        <w:widowControl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②电动自行车不应有外设电池组托架；</w:t>
      </w:r>
    </w:p>
    <w:p>
      <w:pPr>
        <w:keepNext w:val="0"/>
        <w:keepLines w:val="0"/>
        <w:pageBreakBefore w:val="0"/>
        <w:widowControl w:val="0"/>
        <w:kinsoku/>
        <w:wordWrap/>
        <w:overflowPunct/>
        <w:topLinePunct w:val="0"/>
        <w:autoSpaceDE/>
        <w:autoSpaceDN/>
        <w:bidi w:val="0"/>
        <w:adjustRightInd/>
        <w:snapToGrid w:val="0"/>
        <w:spacing w:line="579" w:lineRule="exact"/>
        <w:ind w:firstLine="642" w:firstLineChars="2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不符合程度：严重</w:t>
      </w:r>
    </w:p>
    <w:p>
      <w:pPr>
        <w:keepNext w:val="0"/>
        <w:keepLines w:val="0"/>
        <w:pageBreakBefore w:val="0"/>
        <w:widowControl w:val="0"/>
        <w:numPr>
          <w:ilvl w:val="0"/>
          <w:numId w:val="0"/>
        </w:numPr>
        <w:kinsoku/>
        <w:wordWrap/>
        <w:overflowPunct/>
        <w:topLinePunct w:val="0"/>
        <w:autoSpaceDE/>
        <w:autoSpaceDN/>
        <w:bidi w:val="0"/>
        <w:adjustRightInd/>
        <w:snapToGrid/>
        <w:spacing w:after="0" w:line="579" w:lineRule="exact"/>
        <w:ind w:left="420" w:leftChars="0" w:right="0" w:rightChars="0"/>
        <w:jc w:val="both"/>
        <w:textAlignment w:val="auto"/>
        <w:outlineLvl w:val="1"/>
        <w:rPr>
          <w:rFonts w:hint="eastAsia" w:ascii="楷体_GB2312" w:hAnsi="黑体" w:eastAsia="楷体_GB2312" w:cs="黑体"/>
          <w:b w:val="0"/>
          <w:bCs w:val="0"/>
          <w:sz w:val="32"/>
          <w:szCs w:val="32"/>
          <w14:ligatures w14:val="none"/>
        </w:rPr>
      </w:pPr>
      <w:r>
        <w:rPr>
          <w:rFonts w:hint="eastAsia" w:ascii="楷体_GB2312" w:hAnsi="黑体" w:eastAsia="楷体_GB2312" w:cs="黑体"/>
          <w:b w:val="0"/>
          <w:bCs w:val="0"/>
          <w:sz w:val="32"/>
          <w:szCs w:val="32"/>
          <w:lang w:eastAsia="zh-CN"/>
          <w14:ligatures w14:val="none"/>
        </w:rPr>
        <w:t>（十）</w:t>
      </w:r>
      <w:r>
        <w:rPr>
          <w:rFonts w:hint="eastAsia" w:ascii="楷体_GB2312" w:hAnsi="黑体" w:eastAsia="楷体_GB2312" w:cs="黑体"/>
          <w:b w:val="0"/>
          <w:bCs w:val="0"/>
          <w:sz w:val="32"/>
          <w:szCs w:val="32"/>
          <w14:ligatures w14:val="none"/>
        </w:rPr>
        <w:t>反射器-安装</w:t>
      </w:r>
    </w:p>
    <w:p>
      <w:pPr>
        <w:keepNext w:val="0"/>
        <w:keepLines w:val="0"/>
        <w:pageBreakBefore w:val="0"/>
        <w:widowControl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检测方法：目测检查样车上是否安装有后反射器、侧反射器，具有脚踏骑行功能的电动自行车还应有脚蹬反射器。后反射器应为红色、侧反射器应为黄色或白色(透明)、脚蹬反射器应为黄色。</w:t>
      </w:r>
    </w:p>
    <w:p>
      <w:pPr>
        <w:keepNext w:val="0"/>
        <w:keepLines w:val="0"/>
        <w:pageBreakBefore w:val="0"/>
        <w:widowControl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判定依据：GB 17761-2024第6.2.3.1条款</w:t>
      </w:r>
    </w:p>
    <w:p>
      <w:pPr>
        <w:keepNext w:val="0"/>
        <w:keepLines w:val="0"/>
        <w:pageBreakBefore w:val="0"/>
        <w:widowControl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①应配有红色后反射器；</w:t>
      </w:r>
    </w:p>
    <w:p>
      <w:pPr>
        <w:keepNext w:val="0"/>
        <w:keepLines w:val="0"/>
        <w:pageBreakBefore w:val="0"/>
        <w:widowControl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②应配有黄色或白色(透明)侧反射器；</w:t>
      </w:r>
    </w:p>
    <w:p>
      <w:pPr>
        <w:keepNext w:val="0"/>
        <w:keepLines w:val="0"/>
        <w:pageBreakBefore w:val="0"/>
        <w:widowControl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③具有脚踏骑行功能的，应配有黄色脚蹬反射器；</w:t>
      </w:r>
    </w:p>
    <w:p>
      <w:pPr>
        <w:keepNext w:val="0"/>
        <w:keepLines w:val="0"/>
        <w:pageBreakBefore w:val="0"/>
        <w:widowControl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不符合程度：一般</w:t>
      </w:r>
    </w:p>
    <w:p>
      <w:pPr>
        <w:keepNext w:val="0"/>
        <w:keepLines w:val="0"/>
        <w:pageBreakBefore w:val="0"/>
        <w:widowControl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cs="仿宋_GB2312"/>
          <w:sz w:val="32"/>
          <w:szCs w:val="32"/>
          <w:lang w:eastAsia="zh-CN"/>
        </w:rPr>
        <w:t>（十一）</w:t>
      </w:r>
      <w:r>
        <w:rPr>
          <w:rFonts w:hint="eastAsia" w:ascii="仿宋_GB2312" w:hAnsi="仿宋_GB2312" w:eastAsia="仿宋_GB2312" w:cs="仿宋_GB2312"/>
          <w:sz w:val="32"/>
          <w:szCs w:val="32"/>
        </w:rPr>
        <w:t>CCC有效性核验</w:t>
      </w:r>
    </w:p>
    <w:p>
      <w:pPr>
        <w:keepNext w:val="0"/>
        <w:keepLines w:val="0"/>
        <w:pageBreakBefore w:val="0"/>
        <w:widowControl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检测方法：目测检查样车上是否有CCC标志，2026年3月1日后新获证(即证书首次颁发日期)的产品还应在CCC标志的右侧标注追溯二维码，追溯二维码应与CCC标志相同高度，两者紧邻且不可分割，图案应清晰完整(式样如下)；目测检测样车所配合格证中明示的CCC证书是否有效。</w:t>
      </w:r>
    </w:p>
    <w:p>
      <w:pPr>
        <w:pStyle w:val="7"/>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drawing>
          <wp:inline distT="0" distB="0" distL="0" distR="0">
            <wp:extent cx="3988435" cy="3223895"/>
            <wp:effectExtent l="12700" t="12700" r="18415" b="209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4"/>
                    <a:srcRect/>
                    <a:stretch>
                      <a:fillRect/>
                    </a:stretch>
                  </pic:blipFill>
                  <pic:spPr>
                    <a:xfrm>
                      <a:off x="0" y="0"/>
                      <a:ext cx="3988435" cy="3223895"/>
                    </a:xfrm>
                    <a:prstGeom prst="rect">
                      <a:avLst/>
                    </a:prstGeom>
                    <a:noFill/>
                    <a:ln w="12700">
                      <a:solidFill>
                        <a:schemeClr val="tx1"/>
                      </a:solidFill>
                      <a:miter lim="800000"/>
                      <a:headEnd/>
                      <a:tailEnd/>
                    </a:ln>
                  </pic:spPr>
                </pic:pic>
              </a:graphicData>
            </a:graphic>
          </wp:inline>
        </w:drawing>
      </w:r>
    </w:p>
    <w:p>
      <w:pPr>
        <w:pStyle w:val="7"/>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追溯二维码式样图</w:t>
      </w:r>
    </w:p>
    <w:p>
      <w:pPr>
        <w:keepNext w:val="0"/>
        <w:keepLines w:val="0"/>
        <w:pageBreakBefore w:val="0"/>
        <w:widowControl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判定依据：《强制性产品认证管理规定》（2022年国家市场监督管理总局令第61号修订）、《强制性产品认证目录描述与界定表（2023年修订）》（2023年第36号）、《国家认监委关于充电宝等产品强制性产品认证标志试点改革事项的公告》(2025年第27号)。</w:t>
      </w:r>
    </w:p>
    <w:p>
      <w:pPr>
        <w:keepNext w:val="0"/>
        <w:keepLines w:val="0"/>
        <w:pageBreakBefore w:val="0"/>
        <w:widowControl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①有CCC标志和/或有追溯二维码。</w:t>
      </w:r>
    </w:p>
    <w:p>
      <w:pPr>
        <w:keepNext w:val="0"/>
        <w:keepLines w:val="0"/>
        <w:pageBreakBefore w:val="0"/>
        <w:widowControl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②CCC证书处于有效状态。</w:t>
      </w:r>
    </w:p>
    <w:p>
      <w:pPr>
        <w:keepNext w:val="0"/>
        <w:keepLines w:val="0"/>
        <w:pageBreakBefore w:val="0"/>
        <w:widowControl w:val="0"/>
        <w:kinsoku/>
        <w:wordWrap/>
        <w:overflowPunct/>
        <w:topLinePunct w:val="0"/>
        <w:autoSpaceDE/>
        <w:autoSpaceDN/>
        <w:bidi w:val="0"/>
        <w:adjustRightInd/>
        <w:snapToGrid w:val="0"/>
        <w:spacing w:line="579" w:lineRule="exact"/>
        <w:ind w:firstLine="642" w:firstLineChars="2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不符合程度：严重</w:t>
      </w:r>
    </w:p>
    <w:p>
      <w:pPr>
        <w:keepNext w:val="0"/>
        <w:keepLines w:val="0"/>
        <w:pageBreakBefore w:val="0"/>
        <w:widowControl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注：样车电机上的CCC标志不属于整车CCC标志；铭牌上的CCC标志属于整车CCC标志。</w:t>
      </w:r>
    </w:p>
    <w:p>
      <w:pPr>
        <w:keepNext w:val="0"/>
        <w:keepLines w:val="0"/>
        <w:pageBreakBefore w:val="0"/>
        <w:widowControl w:val="0"/>
        <w:numPr>
          <w:ilvl w:val="0"/>
          <w:numId w:val="0"/>
        </w:numPr>
        <w:kinsoku/>
        <w:wordWrap/>
        <w:overflowPunct/>
        <w:topLinePunct w:val="0"/>
        <w:autoSpaceDE/>
        <w:autoSpaceDN/>
        <w:bidi w:val="0"/>
        <w:adjustRightInd/>
        <w:snapToGrid/>
        <w:spacing w:after="0" w:line="579" w:lineRule="exact"/>
        <w:ind w:left="420" w:leftChars="0" w:right="0" w:rightChars="0"/>
        <w:jc w:val="both"/>
        <w:textAlignment w:val="auto"/>
        <w:outlineLvl w:val="1"/>
        <w:rPr>
          <w:rFonts w:hint="eastAsia" w:ascii="楷体_GB2312" w:hAnsi="黑体" w:eastAsia="楷体_GB2312" w:cs="黑体"/>
          <w:b w:val="0"/>
          <w:bCs w:val="0"/>
          <w:sz w:val="32"/>
          <w:szCs w:val="32"/>
          <w14:ligatures w14:val="none"/>
        </w:rPr>
      </w:pPr>
      <w:r>
        <w:rPr>
          <w:rFonts w:hint="eastAsia" w:ascii="楷体_GB2312" w:hAnsi="黑体" w:eastAsia="楷体_GB2312" w:cs="黑体"/>
          <w:b w:val="0"/>
          <w:bCs w:val="0"/>
          <w:sz w:val="32"/>
          <w:szCs w:val="32"/>
          <w:lang w:eastAsia="zh-CN"/>
          <w14:ligatures w14:val="none"/>
        </w:rPr>
        <w:t>（十二）</w:t>
      </w:r>
      <w:r>
        <w:rPr>
          <w:rFonts w:hint="eastAsia" w:ascii="楷体_GB2312" w:hAnsi="黑体" w:eastAsia="楷体_GB2312" w:cs="黑体"/>
          <w:b w:val="0"/>
          <w:bCs w:val="0"/>
          <w:sz w:val="32"/>
          <w:szCs w:val="32"/>
          <w14:ligatures w14:val="none"/>
        </w:rPr>
        <w:t>互认协同充电</w:t>
      </w:r>
    </w:p>
    <w:p>
      <w:pPr>
        <w:keepNext w:val="0"/>
        <w:keepLines w:val="0"/>
        <w:pageBreakBefore w:val="0"/>
        <w:widowControl w:val="0"/>
        <w:kinsoku/>
        <w:wordWrap/>
        <w:overflowPunct/>
        <w:topLinePunct w:val="0"/>
        <w:autoSpaceDE/>
        <w:autoSpaceDN/>
        <w:bidi w:val="0"/>
        <w:adjustRightInd/>
        <w:snapToGrid w:val="0"/>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检测方法：使用其他类型的充电器给不匹配的蓄电池系统进行充电，观察蓄电池系统的工作状态。</w:t>
      </w:r>
    </w:p>
    <w:p>
      <w:pPr>
        <w:pStyle w:val="7"/>
        <w:keepNext w:val="0"/>
        <w:keepLines w:val="0"/>
        <w:pageBreakBefore w:val="0"/>
        <w:widowControl w:val="0"/>
        <w:kinsoku/>
        <w:wordWrap/>
        <w:overflowPunct/>
        <w:topLinePunct w:val="0"/>
        <w:autoSpaceDE/>
        <w:autoSpaceDN/>
        <w:bidi w:val="0"/>
        <w:adjustRightInd/>
        <w:spacing w:line="579"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判定依据：GB 42295-2022及其第1号修改单 第4.8.9条款，车辆蓄电池系统应有与充电器互认协同充电的功能。蓄电池系统充电应先与充电器进行互认协同识别，通过后才能开始充电工作。</w:t>
      </w:r>
    </w:p>
    <w:p>
      <w:pPr>
        <w:pStyle w:val="8"/>
        <w:keepNext w:val="0"/>
        <w:keepLines w:val="0"/>
        <w:pageBreakBefore w:val="0"/>
        <w:widowControl w:val="0"/>
        <w:kinsoku/>
        <w:wordWrap/>
        <w:overflowPunct/>
        <w:topLinePunct w:val="0"/>
        <w:autoSpaceDE/>
        <w:autoSpaceDN/>
        <w:bidi w:val="0"/>
        <w:adjustRightInd/>
        <w:spacing w:line="579" w:lineRule="exact"/>
        <w:ind w:firstLine="642"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sz w:val="32"/>
          <w:szCs w:val="32"/>
        </w:rPr>
        <w:t>不符合程度：</w:t>
      </w:r>
      <w:r>
        <w:rPr>
          <w:rFonts w:hint="eastAsia" w:ascii="仿宋_GB2312" w:hAnsi="仿宋_GB2312" w:eastAsia="仿宋_GB2312" w:cs="仿宋_GB2312"/>
          <w:b/>
          <w:bCs/>
          <w:sz w:val="32"/>
          <w:szCs w:val="32"/>
        </w:rPr>
        <w:t>严重</w:t>
      </w:r>
    </w:p>
    <w:p>
      <w:pPr>
        <w:keepNext w:val="0"/>
        <w:keepLines w:val="0"/>
        <w:pageBreakBefore w:val="0"/>
        <w:widowControl w:val="0"/>
        <w:kinsoku/>
        <w:wordWrap/>
        <w:overflowPunct/>
        <w:topLinePunct w:val="0"/>
        <w:autoSpaceDE/>
        <w:autoSpaceDN/>
        <w:bidi w:val="0"/>
        <w:adjustRightInd/>
        <w:snapToGrid w:val="0"/>
        <w:spacing w:line="579" w:lineRule="exact"/>
        <w:ind w:firstLine="627" w:firstLineChars="196"/>
        <w:textAlignment w:val="auto"/>
        <w:rPr>
          <w:rFonts w:hint="eastAsia"/>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FB" w:usb2="0000002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Arial"/>
    <w:panose1 w:val="020F0502020204030204"/>
    <w:charset w:val="00"/>
    <w:family w:val="swiss"/>
    <w:pitch w:val="default"/>
    <w:sig w:usb0="00000000" w:usb1="00000000" w:usb2="00000001" w:usb3="00000000" w:csb0="0000019F" w:csb1="00000000"/>
  </w:font>
  <w:font w:name="Arial">
    <w:panose1 w:val="020B0604020202020204"/>
    <w:charset w:val="00"/>
    <w:family w:val="auto"/>
    <w:pitch w:val="default"/>
    <w:sig w:usb0="E0002AFF" w:usb1="C00078FB" w:usb2="00000029" w:usb3="00000000" w:csb0="400001FF" w:csb1="FFFF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Calibri Light">
    <w:altName w:val="Arial"/>
    <w:panose1 w:val="020F0302020204030204"/>
    <w:charset w:val="00"/>
    <w:family w:val="auto"/>
    <w:pitch w:val="default"/>
    <w:sig w:usb0="00000000" w:usb1="00000000" w:usb2="00000009" w:usb3="00000000" w:csb0="200001FF" w:csb1="00000000"/>
  </w:font>
  <w:font w:name="DejaVu Sans">
    <w:panose1 w:val="020B0603030804020204"/>
    <w:charset w:val="00"/>
    <w:family w:val="auto"/>
    <w:pitch w:val="default"/>
    <w:sig w:usb0="E7006EFF" w:usb1="D200FDFF" w:usb2="0A246029" w:usb3="0400200C" w:csb0="600001FF" w:csb1="DFFF0000"/>
  </w:font>
  <w:font w:name="楷体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BA35E69"/>
    <w:multiLevelType w:val="multilevel"/>
    <w:tmpl w:val="7BA35E69"/>
    <w:lvl w:ilvl="0" w:tentative="0">
      <w:start w:val="1"/>
      <w:numFmt w:val="bullet"/>
      <w:pStyle w:val="31"/>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jQ4YTZkYzgzMzBhZGJkNmFlYWIxNDRjMGRkYmQwYjQifQ=="/>
  </w:docVars>
  <w:rsids>
    <w:rsidRoot w:val="54642583"/>
    <w:rsid w:val="00000532"/>
    <w:rsid w:val="0002415D"/>
    <w:rsid w:val="000428E6"/>
    <w:rsid w:val="000533C0"/>
    <w:rsid w:val="00062128"/>
    <w:rsid w:val="000920B2"/>
    <w:rsid w:val="000A232E"/>
    <w:rsid w:val="000B00F0"/>
    <w:rsid w:val="000B323A"/>
    <w:rsid w:val="000B44E5"/>
    <w:rsid w:val="000B7CB8"/>
    <w:rsid w:val="000C0112"/>
    <w:rsid w:val="000D034F"/>
    <w:rsid w:val="000D06A8"/>
    <w:rsid w:val="000D3C82"/>
    <w:rsid w:val="000E67BE"/>
    <w:rsid w:val="000F324B"/>
    <w:rsid w:val="000F6D61"/>
    <w:rsid w:val="00111E80"/>
    <w:rsid w:val="00113D06"/>
    <w:rsid w:val="00114A45"/>
    <w:rsid w:val="001158F5"/>
    <w:rsid w:val="0013116A"/>
    <w:rsid w:val="001B7053"/>
    <w:rsid w:val="001C4F10"/>
    <w:rsid w:val="001E72CD"/>
    <w:rsid w:val="001E7AED"/>
    <w:rsid w:val="00223905"/>
    <w:rsid w:val="0022610B"/>
    <w:rsid w:val="002438EE"/>
    <w:rsid w:val="00247DB7"/>
    <w:rsid w:val="00267D81"/>
    <w:rsid w:val="00274925"/>
    <w:rsid w:val="00291605"/>
    <w:rsid w:val="00294801"/>
    <w:rsid w:val="002A1452"/>
    <w:rsid w:val="002A5C48"/>
    <w:rsid w:val="002B6CD8"/>
    <w:rsid w:val="002C3707"/>
    <w:rsid w:val="002C7ED2"/>
    <w:rsid w:val="002D0DF3"/>
    <w:rsid w:val="002E5EC2"/>
    <w:rsid w:val="00300F34"/>
    <w:rsid w:val="00305196"/>
    <w:rsid w:val="00311BE3"/>
    <w:rsid w:val="003126EB"/>
    <w:rsid w:val="00320BA7"/>
    <w:rsid w:val="00341927"/>
    <w:rsid w:val="00342ADB"/>
    <w:rsid w:val="00347CFC"/>
    <w:rsid w:val="003537F0"/>
    <w:rsid w:val="00364F6C"/>
    <w:rsid w:val="0036557E"/>
    <w:rsid w:val="0039200F"/>
    <w:rsid w:val="003A3449"/>
    <w:rsid w:val="003A729C"/>
    <w:rsid w:val="003B0362"/>
    <w:rsid w:val="003C55CA"/>
    <w:rsid w:val="003D0A88"/>
    <w:rsid w:val="003E0036"/>
    <w:rsid w:val="003E2A5C"/>
    <w:rsid w:val="003F387E"/>
    <w:rsid w:val="003F39E9"/>
    <w:rsid w:val="004105A9"/>
    <w:rsid w:val="0041145C"/>
    <w:rsid w:val="00414182"/>
    <w:rsid w:val="00430522"/>
    <w:rsid w:val="00433C9C"/>
    <w:rsid w:val="0043561D"/>
    <w:rsid w:val="00440A96"/>
    <w:rsid w:val="00443511"/>
    <w:rsid w:val="00451011"/>
    <w:rsid w:val="004703B1"/>
    <w:rsid w:val="00476272"/>
    <w:rsid w:val="0048141C"/>
    <w:rsid w:val="00487B3D"/>
    <w:rsid w:val="00495CB7"/>
    <w:rsid w:val="004A305B"/>
    <w:rsid w:val="004B2FFF"/>
    <w:rsid w:val="004B3373"/>
    <w:rsid w:val="004B618E"/>
    <w:rsid w:val="004E6BDA"/>
    <w:rsid w:val="004F2655"/>
    <w:rsid w:val="004F706B"/>
    <w:rsid w:val="00513EBE"/>
    <w:rsid w:val="00514AF0"/>
    <w:rsid w:val="00536C23"/>
    <w:rsid w:val="00561217"/>
    <w:rsid w:val="005775B5"/>
    <w:rsid w:val="005A0AE1"/>
    <w:rsid w:val="005A640B"/>
    <w:rsid w:val="005B1F08"/>
    <w:rsid w:val="005D6641"/>
    <w:rsid w:val="005E6CBE"/>
    <w:rsid w:val="005E7272"/>
    <w:rsid w:val="005F16BB"/>
    <w:rsid w:val="00607FEA"/>
    <w:rsid w:val="006160FD"/>
    <w:rsid w:val="00632FF9"/>
    <w:rsid w:val="0063342A"/>
    <w:rsid w:val="006451B6"/>
    <w:rsid w:val="006575B8"/>
    <w:rsid w:val="00664EF4"/>
    <w:rsid w:val="00665143"/>
    <w:rsid w:val="0067308B"/>
    <w:rsid w:val="006763B9"/>
    <w:rsid w:val="00683678"/>
    <w:rsid w:val="006A4B05"/>
    <w:rsid w:val="006B3C65"/>
    <w:rsid w:val="006C087D"/>
    <w:rsid w:val="006C337E"/>
    <w:rsid w:val="006F37B7"/>
    <w:rsid w:val="00733877"/>
    <w:rsid w:val="0079737A"/>
    <w:rsid w:val="007A5227"/>
    <w:rsid w:val="007A7C9B"/>
    <w:rsid w:val="007B33DC"/>
    <w:rsid w:val="007C3C29"/>
    <w:rsid w:val="007C434B"/>
    <w:rsid w:val="007D379E"/>
    <w:rsid w:val="007E18B7"/>
    <w:rsid w:val="007F5A2C"/>
    <w:rsid w:val="0080140B"/>
    <w:rsid w:val="008067C4"/>
    <w:rsid w:val="00831F3E"/>
    <w:rsid w:val="0083531C"/>
    <w:rsid w:val="0084297C"/>
    <w:rsid w:val="0084430B"/>
    <w:rsid w:val="00862255"/>
    <w:rsid w:val="0087091B"/>
    <w:rsid w:val="00872A71"/>
    <w:rsid w:val="00874E75"/>
    <w:rsid w:val="00881BBA"/>
    <w:rsid w:val="008A2EF4"/>
    <w:rsid w:val="008D2F93"/>
    <w:rsid w:val="008E4783"/>
    <w:rsid w:val="008F52F6"/>
    <w:rsid w:val="0091443E"/>
    <w:rsid w:val="009236C5"/>
    <w:rsid w:val="00946769"/>
    <w:rsid w:val="00951E8D"/>
    <w:rsid w:val="00952738"/>
    <w:rsid w:val="00965525"/>
    <w:rsid w:val="009720E1"/>
    <w:rsid w:val="00976AB2"/>
    <w:rsid w:val="00981CD1"/>
    <w:rsid w:val="00994623"/>
    <w:rsid w:val="009C371A"/>
    <w:rsid w:val="009C5958"/>
    <w:rsid w:val="009D2C3A"/>
    <w:rsid w:val="009F12C5"/>
    <w:rsid w:val="009F26B4"/>
    <w:rsid w:val="00A16ED5"/>
    <w:rsid w:val="00A17A99"/>
    <w:rsid w:val="00A33E4F"/>
    <w:rsid w:val="00A40B35"/>
    <w:rsid w:val="00A4462B"/>
    <w:rsid w:val="00A472FA"/>
    <w:rsid w:val="00A50675"/>
    <w:rsid w:val="00A53430"/>
    <w:rsid w:val="00A9636E"/>
    <w:rsid w:val="00AA21F7"/>
    <w:rsid w:val="00AA2F87"/>
    <w:rsid w:val="00AB5D57"/>
    <w:rsid w:val="00AB6319"/>
    <w:rsid w:val="00AE52C2"/>
    <w:rsid w:val="00B669A5"/>
    <w:rsid w:val="00B7712E"/>
    <w:rsid w:val="00B84B4D"/>
    <w:rsid w:val="00B87C77"/>
    <w:rsid w:val="00B94DA1"/>
    <w:rsid w:val="00B976CD"/>
    <w:rsid w:val="00BC3685"/>
    <w:rsid w:val="00BC501E"/>
    <w:rsid w:val="00BE62FC"/>
    <w:rsid w:val="00C03416"/>
    <w:rsid w:val="00C1535A"/>
    <w:rsid w:val="00C32C9E"/>
    <w:rsid w:val="00C46171"/>
    <w:rsid w:val="00C47C96"/>
    <w:rsid w:val="00C73635"/>
    <w:rsid w:val="00C73B1A"/>
    <w:rsid w:val="00C75075"/>
    <w:rsid w:val="00C813B0"/>
    <w:rsid w:val="00C9048B"/>
    <w:rsid w:val="00CA7F3B"/>
    <w:rsid w:val="00CC0C25"/>
    <w:rsid w:val="00CD37E5"/>
    <w:rsid w:val="00CE0E69"/>
    <w:rsid w:val="00CE4848"/>
    <w:rsid w:val="00CF312D"/>
    <w:rsid w:val="00D07BE1"/>
    <w:rsid w:val="00D24CD4"/>
    <w:rsid w:val="00D27EB5"/>
    <w:rsid w:val="00D3297C"/>
    <w:rsid w:val="00D33DB6"/>
    <w:rsid w:val="00D34A17"/>
    <w:rsid w:val="00D37B33"/>
    <w:rsid w:val="00D61551"/>
    <w:rsid w:val="00D87232"/>
    <w:rsid w:val="00D9362B"/>
    <w:rsid w:val="00DA466F"/>
    <w:rsid w:val="00DC3DD4"/>
    <w:rsid w:val="00DD1375"/>
    <w:rsid w:val="00DD397A"/>
    <w:rsid w:val="00DD5277"/>
    <w:rsid w:val="00DD7033"/>
    <w:rsid w:val="00DE7CCA"/>
    <w:rsid w:val="00E01C10"/>
    <w:rsid w:val="00E2707B"/>
    <w:rsid w:val="00E3002B"/>
    <w:rsid w:val="00E44796"/>
    <w:rsid w:val="00E56C6E"/>
    <w:rsid w:val="00E576E1"/>
    <w:rsid w:val="00E57A85"/>
    <w:rsid w:val="00E7393E"/>
    <w:rsid w:val="00EC1288"/>
    <w:rsid w:val="00ED0532"/>
    <w:rsid w:val="00EE4066"/>
    <w:rsid w:val="00F02F50"/>
    <w:rsid w:val="00F10CEF"/>
    <w:rsid w:val="00F113C6"/>
    <w:rsid w:val="00F11E07"/>
    <w:rsid w:val="00F2268B"/>
    <w:rsid w:val="00F31DC6"/>
    <w:rsid w:val="00F35E03"/>
    <w:rsid w:val="00F56187"/>
    <w:rsid w:val="00F66ABE"/>
    <w:rsid w:val="00F70FCF"/>
    <w:rsid w:val="00F8115E"/>
    <w:rsid w:val="00F94E49"/>
    <w:rsid w:val="00F965AE"/>
    <w:rsid w:val="00FA3204"/>
    <w:rsid w:val="00FB214D"/>
    <w:rsid w:val="00FB2AB8"/>
    <w:rsid w:val="00FC7FB0"/>
    <w:rsid w:val="00FD5DD6"/>
    <w:rsid w:val="00FE2213"/>
    <w:rsid w:val="0191162C"/>
    <w:rsid w:val="05976809"/>
    <w:rsid w:val="05DB5E7A"/>
    <w:rsid w:val="068B011B"/>
    <w:rsid w:val="06AC342E"/>
    <w:rsid w:val="0748513F"/>
    <w:rsid w:val="082A74C0"/>
    <w:rsid w:val="0AD20652"/>
    <w:rsid w:val="0B09160F"/>
    <w:rsid w:val="0B6C2AC5"/>
    <w:rsid w:val="0E044BE9"/>
    <w:rsid w:val="107F312D"/>
    <w:rsid w:val="10FE14EA"/>
    <w:rsid w:val="11050ACA"/>
    <w:rsid w:val="11BD14C3"/>
    <w:rsid w:val="1230601B"/>
    <w:rsid w:val="14215524"/>
    <w:rsid w:val="147C5547"/>
    <w:rsid w:val="17055113"/>
    <w:rsid w:val="17523830"/>
    <w:rsid w:val="17DB07D7"/>
    <w:rsid w:val="191D7183"/>
    <w:rsid w:val="1BF70C39"/>
    <w:rsid w:val="1C085913"/>
    <w:rsid w:val="1C381D54"/>
    <w:rsid w:val="1EBD4792"/>
    <w:rsid w:val="1F5C28EB"/>
    <w:rsid w:val="1FD82823"/>
    <w:rsid w:val="204B6546"/>
    <w:rsid w:val="20EB42D4"/>
    <w:rsid w:val="224D3276"/>
    <w:rsid w:val="23977CA8"/>
    <w:rsid w:val="240115C5"/>
    <w:rsid w:val="26EE4083"/>
    <w:rsid w:val="27186E64"/>
    <w:rsid w:val="27A40BE5"/>
    <w:rsid w:val="27BF5A1F"/>
    <w:rsid w:val="2896188D"/>
    <w:rsid w:val="2A0F4887"/>
    <w:rsid w:val="2C324A12"/>
    <w:rsid w:val="2C4958B7"/>
    <w:rsid w:val="2F374CCD"/>
    <w:rsid w:val="2F594063"/>
    <w:rsid w:val="2FBE2573"/>
    <w:rsid w:val="30085A89"/>
    <w:rsid w:val="30332B06"/>
    <w:rsid w:val="310C205E"/>
    <w:rsid w:val="31D125D7"/>
    <w:rsid w:val="32393382"/>
    <w:rsid w:val="32AE2918"/>
    <w:rsid w:val="32F742BF"/>
    <w:rsid w:val="335E60EC"/>
    <w:rsid w:val="344530D1"/>
    <w:rsid w:val="346314E0"/>
    <w:rsid w:val="34640B54"/>
    <w:rsid w:val="350E3B42"/>
    <w:rsid w:val="35FC1BEC"/>
    <w:rsid w:val="372E4361"/>
    <w:rsid w:val="374B2E2B"/>
    <w:rsid w:val="39575C10"/>
    <w:rsid w:val="3B7E5C02"/>
    <w:rsid w:val="3BEB24E7"/>
    <w:rsid w:val="3BEECA31"/>
    <w:rsid w:val="3D4F4CF8"/>
    <w:rsid w:val="3DDF1487"/>
    <w:rsid w:val="3E7D61E5"/>
    <w:rsid w:val="3E9038D6"/>
    <w:rsid w:val="3FBD419A"/>
    <w:rsid w:val="40AD06B3"/>
    <w:rsid w:val="42DF267A"/>
    <w:rsid w:val="43CD5E3B"/>
    <w:rsid w:val="446E0159"/>
    <w:rsid w:val="45800251"/>
    <w:rsid w:val="4588524B"/>
    <w:rsid w:val="4607616F"/>
    <w:rsid w:val="46F34946"/>
    <w:rsid w:val="484418FD"/>
    <w:rsid w:val="4884619D"/>
    <w:rsid w:val="49282FCC"/>
    <w:rsid w:val="49464FCA"/>
    <w:rsid w:val="4A4D183F"/>
    <w:rsid w:val="4A4D1A64"/>
    <w:rsid w:val="4B117A90"/>
    <w:rsid w:val="4B215F25"/>
    <w:rsid w:val="4B272E10"/>
    <w:rsid w:val="4B375749"/>
    <w:rsid w:val="4C675BBA"/>
    <w:rsid w:val="4C9149E5"/>
    <w:rsid w:val="4C9F15AB"/>
    <w:rsid w:val="4CD21699"/>
    <w:rsid w:val="4D01600E"/>
    <w:rsid w:val="4D3857A8"/>
    <w:rsid w:val="4D70162A"/>
    <w:rsid w:val="4DDC6134"/>
    <w:rsid w:val="4E3F0D9E"/>
    <w:rsid w:val="4E663872"/>
    <w:rsid w:val="4E7C314A"/>
    <w:rsid w:val="4F97F582"/>
    <w:rsid w:val="4FF16FE0"/>
    <w:rsid w:val="508A3A3E"/>
    <w:rsid w:val="51363DAD"/>
    <w:rsid w:val="53795458"/>
    <w:rsid w:val="53E2646E"/>
    <w:rsid w:val="545F4D22"/>
    <w:rsid w:val="54642583"/>
    <w:rsid w:val="55152765"/>
    <w:rsid w:val="55D22DCD"/>
    <w:rsid w:val="56A143BE"/>
    <w:rsid w:val="56D77DE0"/>
    <w:rsid w:val="575B631B"/>
    <w:rsid w:val="5788150D"/>
    <w:rsid w:val="57F535D3"/>
    <w:rsid w:val="59E06FAB"/>
    <w:rsid w:val="5A2E41BB"/>
    <w:rsid w:val="5B0938AA"/>
    <w:rsid w:val="5B904B1F"/>
    <w:rsid w:val="5BA919BA"/>
    <w:rsid w:val="5BB029AE"/>
    <w:rsid w:val="5C007491"/>
    <w:rsid w:val="5C186ED1"/>
    <w:rsid w:val="5D2E4C98"/>
    <w:rsid w:val="5DF78960"/>
    <w:rsid w:val="5EA52572"/>
    <w:rsid w:val="5EE66E12"/>
    <w:rsid w:val="61111EF4"/>
    <w:rsid w:val="63AD6150"/>
    <w:rsid w:val="64155AA4"/>
    <w:rsid w:val="64526B40"/>
    <w:rsid w:val="64882719"/>
    <w:rsid w:val="648B065B"/>
    <w:rsid w:val="65B67609"/>
    <w:rsid w:val="6629149A"/>
    <w:rsid w:val="66A001EE"/>
    <w:rsid w:val="66E520A5"/>
    <w:rsid w:val="67010561"/>
    <w:rsid w:val="672110A9"/>
    <w:rsid w:val="67227F7A"/>
    <w:rsid w:val="672A3F5C"/>
    <w:rsid w:val="688D02FE"/>
    <w:rsid w:val="68E44D6F"/>
    <w:rsid w:val="69194288"/>
    <w:rsid w:val="69DFF6BE"/>
    <w:rsid w:val="6B1D5FA3"/>
    <w:rsid w:val="6B572E46"/>
    <w:rsid w:val="6B930322"/>
    <w:rsid w:val="6BCEBFFF"/>
    <w:rsid w:val="6C5F0204"/>
    <w:rsid w:val="6CFA1CDB"/>
    <w:rsid w:val="6E3B6A4F"/>
    <w:rsid w:val="6F857F81"/>
    <w:rsid w:val="6F865AA7"/>
    <w:rsid w:val="6FDF43C4"/>
    <w:rsid w:val="6FEFA28D"/>
    <w:rsid w:val="7073427E"/>
    <w:rsid w:val="70E2483E"/>
    <w:rsid w:val="738D5656"/>
    <w:rsid w:val="73E060CE"/>
    <w:rsid w:val="75C37A55"/>
    <w:rsid w:val="75DA08FB"/>
    <w:rsid w:val="763224E5"/>
    <w:rsid w:val="77762883"/>
    <w:rsid w:val="77F6220C"/>
    <w:rsid w:val="77F9150C"/>
    <w:rsid w:val="78112CFA"/>
    <w:rsid w:val="78AE679B"/>
    <w:rsid w:val="79B53B59"/>
    <w:rsid w:val="7A84667E"/>
    <w:rsid w:val="7A9B4318"/>
    <w:rsid w:val="7AC951AA"/>
    <w:rsid w:val="7B876E2F"/>
    <w:rsid w:val="7B9A6B62"/>
    <w:rsid w:val="7C8E41ED"/>
    <w:rsid w:val="7CC320E9"/>
    <w:rsid w:val="7D5BD8F8"/>
    <w:rsid w:val="7EAF523D"/>
    <w:rsid w:val="7EFDA264"/>
    <w:rsid w:val="7F080287"/>
    <w:rsid w:val="7FB21C21"/>
    <w:rsid w:val="7FBB53D3"/>
    <w:rsid w:val="7FF71B6B"/>
    <w:rsid w:val="B5FF4D9D"/>
    <w:rsid w:val="BDFB065C"/>
    <w:rsid w:val="DF7FFC98"/>
    <w:rsid w:val="DFBF06FD"/>
    <w:rsid w:val="DFFEBFDB"/>
    <w:rsid w:val="E9CB41C4"/>
    <w:rsid w:val="FC67B45A"/>
    <w:rsid w:val="FDFBC23A"/>
    <w:rsid w:val="FF9DBB8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qFormat="1" w:uiPriority="39" w:semiHidden="0" w:name="toc 7"/>
    <w:lsdException w:uiPriority="0" w:name="toc 8"/>
    <w:lsdException w:uiPriority="0" w:name="toc 9"/>
    <w:lsdException w:qFormat="1"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99"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3">
    <w:name w:val="heading 1"/>
    <w:basedOn w:val="1"/>
    <w:next w:val="1"/>
    <w:qFormat/>
    <w:uiPriority w:val="0"/>
    <w:pPr>
      <w:jc w:val="center"/>
      <w:outlineLvl w:val="0"/>
    </w:pPr>
    <w:rPr>
      <w:rFonts w:ascii="方正小标宋简体" w:eastAsia="方正小标宋简体"/>
      <w:kern w:val="44"/>
      <w:sz w:val="38"/>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Title"/>
    <w:basedOn w:val="1"/>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paragraph" w:styleId="4">
    <w:name w:val="toc 7"/>
    <w:basedOn w:val="1"/>
    <w:next w:val="1"/>
    <w:unhideWhenUsed/>
    <w:qFormat/>
    <w:uiPriority w:val="39"/>
    <w:pPr>
      <w:ind w:left="2520" w:leftChars="1200"/>
    </w:pPr>
    <w:rPr>
      <w:rFonts w:ascii="Calibri" w:hAnsi="Calibri" w:eastAsia="宋体"/>
      <w:sz w:val="21"/>
      <w:szCs w:val="22"/>
    </w:rPr>
  </w:style>
  <w:style w:type="paragraph" w:styleId="5">
    <w:name w:val="Normal Indent"/>
    <w:basedOn w:val="1"/>
    <w:unhideWhenUsed/>
    <w:qFormat/>
    <w:uiPriority w:val="0"/>
    <w:pPr>
      <w:ind w:firstLine="420" w:firstLineChars="200"/>
    </w:pPr>
    <w:rPr>
      <w:rFonts w:ascii="Calibri" w:hAnsi="Calibri" w:eastAsia="宋体"/>
      <w:sz w:val="21"/>
    </w:rPr>
  </w:style>
  <w:style w:type="paragraph" w:styleId="6">
    <w:name w:val="annotation text"/>
    <w:basedOn w:val="1"/>
    <w:link w:val="26"/>
    <w:qFormat/>
    <w:uiPriority w:val="0"/>
    <w:pPr>
      <w:jc w:val="left"/>
    </w:pPr>
  </w:style>
  <w:style w:type="paragraph" w:styleId="7">
    <w:name w:val="Body Text"/>
    <w:basedOn w:val="1"/>
    <w:next w:val="8"/>
    <w:qFormat/>
    <w:uiPriority w:val="0"/>
    <w:rPr>
      <w:sz w:val="28"/>
    </w:rPr>
  </w:style>
  <w:style w:type="paragraph" w:styleId="8">
    <w:name w:val="Body Text First Indent"/>
    <w:basedOn w:val="7"/>
    <w:qFormat/>
    <w:uiPriority w:val="0"/>
    <w:pPr>
      <w:ind w:firstLine="420" w:firstLineChars="100"/>
    </w:pPr>
  </w:style>
  <w:style w:type="paragraph" w:styleId="9">
    <w:name w:val="Plain Text"/>
    <w:basedOn w:val="1"/>
    <w:link w:val="30"/>
    <w:qFormat/>
    <w:uiPriority w:val="99"/>
    <w:rPr>
      <w:rFonts w:ascii="宋体" w:hAnsi="Courier New" w:cs="宋体"/>
      <w:sz w:val="21"/>
      <w:szCs w:val="21"/>
    </w:rPr>
  </w:style>
  <w:style w:type="paragraph" w:styleId="10">
    <w:name w:val="Balloon Text"/>
    <w:basedOn w:val="1"/>
    <w:link w:val="28"/>
    <w:qFormat/>
    <w:uiPriority w:val="0"/>
    <w:rPr>
      <w:sz w:val="18"/>
      <w:szCs w:val="18"/>
    </w:rPr>
  </w:style>
  <w:style w:type="paragraph" w:styleId="11">
    <w:name w:val="footer"/>
    <w:basedOn w:val="1"/>
    <w:link w:val="24"/>
    <w:qFormat/>
    <w:uiPriority w:val="0"/>
    <w:pPr>
      <w:tabs>
        <w:tab w:val="center" w:pos="4153"/>
        <w:tab w:val="right" w:pos="8306"/>
      </w:tabs>
      <w:snapToGrid w:val="0"/>
      <w:jc w:val="left"/>
    </w:pPr>
    <w:rPr>
      <w:sz w:val="18"/>
      <w:szCs w:val="18"/>
    </w:rPr>
  </w:style>
  <w:style w:type="paragraph" w:styleId="12">
    <w:name w:val="header"/>
    <w:basedOn w:val="1"/>
    <w:link w:val="23"/>
    <w:qFormat/>
    <w:uiPriority w:val="0"/>
    <w:pPr>
      <w:pBdr>
        <w:bottom w:val="single" w:color="auto" w:sz="6" w:space="1"/>
      </w:pBdr>
      <w:tabs>
        <w:tab w:val="center" w:pos="4153"/>
        <w:tab w:val="right" w:pos="8306"/>
      </w:tabs>
      <w:snapToGrid w:val="0"/>
      <w:jc w:val="center"/>
    </w:pPr>
    <w:rPr>
      <w:sz w:val="18"/>
      <w:szCs w:val="18"/>
    </w:rPr>
  </w:style>
  <w:style w:type="paragraph" w:styleId="13">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14">
    <w:name w:val="annotation subject"/>
    <w:basedOn w:val="6"/>
    <w:next w:val="6"/>
    <w:link w:val="27"/>
    <w:qFormat/>
    <w:uiPriority w:val="0"/>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8">
    <w:name w:val="annotation reference"/>
    <w:basedOn w:val="17"/>
    <w:qFormat/>
    <w:uiPriority w:val="0"/>
    <w:rPr>
      <w:sz w:val="21"/>
      <w:szCs w:val="21"/>
    </w:rPr>
  </w:style>
  <w:style w:type="paragraph" w:customStyle="1" w:styleId="19">
    <w:name w:val="段"/>
    <w:qFormat/>
    <w:uiPriority w:val="0"/>
    <w:pPr>
      <w:tabs>
        <w:tab w:val="center" w:pos="4201"/>
        <w:tab w:val="right" w:leader="dot" w:pos="9298"/>
      </w:tabs>
      <w:autoSpaceDE w:val="0"/>
      <w:autoSpaceDN w:val="0"/>
      <w:ind w:firstLine="420" w:firstLineChars="200"/>
      <w:jc w:val="both"/>
    </w:pPr>
    <w:rPr>
      <w:rFonts w:ascii="宋体" w:hAnsi="Calibri" w:eastAsia="宋体" w:cs="Times New Roman"/>
      <w:sz w:val="21"/>
      <w:szCs w:val="22"/>
      <w:lang w:val="en-US" w:eastAsia="zh-CN" w:bidi="ar-SA"/>
    </w:rPr>
  </w:style>
  <w:style w:type="table" w:customStyle="1" w:styleId="20">
    <w:name w:val="Table Normal"/>
    <w:unhideWhenUsed/>
    <w:qFormat/>
    <w:uiPriority w:val="2"/>
    <w:tblPr>
      <w:tblCellMar>
        <w:top w:w="0" w:type="dxa"/>
        <w:left w:w="0" w:type="dxa"/>
        <w:bottom w:w="0" w:type="dxa"/>
        <w:right w:w="0" w:type="dxa"/>
      </w:tblCellMar>
    </w:tblPr>
  </w:style>
  <w:style w:type="paragraph" w:customStyle="1" w:styleId="21">
    <w:name w:val="Table Paragraph"/>
    <w:basedOn w:val="1"/>
    <w:qFormat/>
    <w:uiPriority w:val="1"/>
    <w:rPr>
      <w:sz w:val="30"/>
    </w:rPr>
  </w:style>
  <w:style w:type="paragraph" w:customStyle="1" w:styleId="22">
    <w:name w:val="目次、标准名称标题"/>
    <w:basedOn w:val="1"/>
    <w:next w:val="19"/>
    <w:qFormat/>
    <w:uiPriority w:val="0"/>
    <w:pPr>
      <w:keepNext/>
      <w:pageBreakBefore/>
      <w:widowControl/>
      <w:shd w:val="clear" w:color="FFFFFF" w:fill="FFFFFF"/>
      <w:spacing w:before="640" w:after="560" w:line="460" w:lineRule="exact"/>
      <w:jc w:val="center"/>
      <w:outlineLvl w:val="0"/>
    </w:pPr>
    <w:rPr>
      <w:rFonts w:ascii="黑体" w:eastAsia="黑体"/>
      <w:kern w:val="0"/>
      <w:sz w:val="30"/>
      <w:szCs w:val="20"/>
    </w:rPr>
  </w:style>
  <w:style w:type="character" w:customStyle="1" w:styleId="23">
    <w:name w:val="页眉 Char"/>
    <w:basedOn w:val="17"/>
    <w:link w:val="12"/>
    <w:qFormat/>
    <w:uiPriority w:val="0"/>
    <w:rPr>
      <w:rFonts w:ascii="Times New Roman" w:hAnsi="Times New Roman" w:eastAsia="仿宋_GB2312" w:cs="Times New Roman"/>
      <w:kern w:val="2"/>
      <w:sz w:val="18"/>
      <w:szCs w:val="18"/>
    </w:rPr>
  </w:style>
  <w:style w:type="character" w:customStyle="1" w:styleId="24">
    <w:name w:val="页脚 Char"/>
    <w:basedOn w:val="17"/>
    <w:link w:val="11"/>
    <w:qFormat/>
    <w:uiPriority w:val="0"/>
    <w:rPr>
      <w:rFonts w:ascii="Times New Roman" w:hAnsi="Times New Roman" w:eastAsia="仿宋_GB2312" w:cs="Times New Roman"/>
      <w:kern w:val="2"/>
      <w:sz w:val="18"/>
      <w:szCs w:val="18"/>
    </w:rPr>
  </w:style>
  <w:style w:type="paragraph" w:customStyle="1" w:styleId="25">
    <w:name w:val="列出段落1"/>
    <w:basedOn w:val="1"/>
    <w:unhideWhenUsed/>
    <w:qFormat/>
    <w:uiPriority w:val="99"/>
    <w:pPr>
      <w:ind w:firstLine="420" w:firstLineChars="200"/>
    </w:pPr>
  </w:style>
  <w:style w:type="character" w:customStyle="1" w:styleId="26">
    <w:name w:val="批注文字 Char"/>
    <w:basedOn w:val="17"/>
    <w:link w:val="6"/>
    <w:qFormat/>
    <w:uiPriority w:val="0"/>
    <w:rPr>
      <w:rFonts w:ascii="Times New Roman" w:hAnsi="Times New Roman" w:eastAsia="仿宋_GB2312" w:cs="Times New Roman"/>
      <w:kern w:val="2"/>
      <w:sz w:val="32"/>
      <w:szCs w:val="24"/>
    </w:rPr>
  </w:style>
  <w:style w:type="character" w:customStyle="1" w:styleId="27">
    <w:name w:val="批注主题 Char"/>
    <w:basedOn w:val="26"/>
    <w:link w:val="14"/>
    <w:qFormat/>
    <w:uiPriority w:val="0"/>
    <w:rPr>
      <w:rFonts w:ascii="Times New Roman" w:hAnsi="Times New Roman" w:eastAsia="仿宋_GB2312" w:cs="Times New Roman"/>
      <w:b/>
      <w:bCs/>
      <w:kern w:val="2"/>
      <w:sz w:val="32"/>
      <w:szCs w:val="24"/>
    </w:rPr>
  </w:style>
  <w:style w:type="character" w:customStyle="1" w:styleId="28">
    <w:name w:val="批注框文本 Char"/>
    <w:basedOn w:val="17"/>
    <w:link w:val="10"/>
    <w:qFormat/>
    <w:uiPriority w:val="0"/>
    <w:rPr>
      <w:rFonts w:ascii="Times New Roman" w:hAnsi="Times New Roman" w:eastAsia="仿宋_GB2312" w:cs="Times New Roman"/>
      <w:kern w:val="2"/>
      <w:sz w:val="18"/>
      <w:szCs w:val="18"/>
    </w:rPr>
  </w:style>
  <w:style w:type="paragraph" w:customStyle="1" w:styleId="29">
    <w:name w:val="修订1"/>
    <w:hidden/>
    <w:semiHidden/>
    <w:qFormat/>
    <w:uiPriority w:val="99"/>
    <w:rPr>
      <w:rFonts w:ascii="Times New Roman" w:hAnsi="Times New Roman" w:eastAsia="仿宋_GB2312" w:cs="Times New Roman"/>
      <w:kern w:val="2"/>
      <w:sz w:val="32"/>
      <w:szCs w:val="24"/>
      <w:lang w:val="en-US" w:eastAsia="zh-CN" w:bidi="ar-SA"/>
    </w:rPr>
  </w:style>
  <w:style w:type="character" w:customStyle="1" w:styleId="30">
    <w:name w:val="纯文本 Char"/>
    <w:basedOn w:val="17"/>
    <w:link w:val="9"/>
    <w:qFormat/>
    <w:uiPriority w:val="99"/>
    <w:rPr>
      <w:rFonts w:ascii="宋体" w:hAnsi="Courier New" w:eastAsia="仿宋_GB2312" w:cs="宋体"/>
      <w:kern w:val="2"/>
      <w:sz w:val="21"/>
      <w:szCs w:val="21"/>
    </w:rPr>
  </w:style>
  <w:style w:type="paragraph" w:styleId="31">
    <w:name w:val="List Paragraph"/>
    <w:basedOn w:val="1"/>
    <w:unhideWhenUsed/>
    <w:qFormat/>
    <w:uiPriority w:val="34"/>
    <w:pPr>
      <w:numPr>
        <w:ilvl w:val="0"/>
        <w:numId w:val="1"/>
      </w:numPr>
      <w:autoSpaceDE w:val="0"/>
      <w:autoSpaceDN w:val="0"/>
      <w:adjustRightInd w:val="0"/>
      <w:spacing w:line="360" w:lineRule="auto"/>
      <w:jc w:val="left"/>
    </w:pPr>
  </w:style>
  <w:style w:type="paragraph" w:customStyle="1" w:styleId="32">
    <w:name w:val="公文"/>
    <w:basedOn w:val="1"/>
    <w:qFormat/>
    <w:uiPriority w:val="0"/>
    <w:pPr>
      <w:widowControl/>
      <w:adjustRightInd w:val="0"/>
      <w:snapToGrid w:val="0"/>
      <w:spacing w:beforeLines="25" w:afterLines="35"/>
      <w:ind w:firstLine="200" w:firstLineChars="200"/>
      <w:jc w:val="left"/>
    </w:pPr>
    <w:rPr>
      <w:rFonts w:ascii="仿宋_GB2312"/>
      <w:bCs/>
      <w:kern w:val="0"/>
    </w:rPr>
  </w:style>
  <w:style w:type="paragraph" w:customStyle="1" w:styleId="33">
    <w:name w:val="text-tag"/>
    <w:basedOn w:val="1"/>
    <w:qFormat/>
    <w:uiPriority w:val="0"/>
    <w:pPr>
      <w:widowControl/>
      <w:spacing w:before="100" w:beforeAutospacing="1" w:after="100" w:afterAutospacing="1"/>
      <w:jc w:val="left"/>
    </w:pPr>
    <w:rPr>
      <w:rFonts w:ascii="宋体" w:hAnsi="宋体" w:eastAsia="宋体" w:cs="宋体"/>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Pages>
  <Words>2324</Words>
  <Characters>2602</Characters>
  <Lines>19</Lines>
  <Paragraphs>5</Paragraphs>
  <TotalTime>9</TotalTime>
  <ScaleCrop>false</ScaleCrop>
  <LinksUpToDate>false</LinksUpToDate>
  <CharactersWithSpaces>2615</CharactersWithSpaces>
  <Application>WPS Office_11.8.2.12128_F1E327BC-269C-435d-A152-05C5408002CA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2026-03-11T23:57:00Z</dcterms:created>
  <dc:creator>小莉</dc:creator>
  <cp:lastModifiedBy>admin1</cp:lastModifiedBy>
  <dcterms:modified xsi:type="dcterms:W3CDTF">2026-05-18T11:38:18Z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2052-11.8.2.12128</vt:lpwstr>
  </property>
  <property fmtid="{D5CDD505-2E9C-101B-9397-08002B2CF9AE}" pid="3" name="ICV">
    <vt:lpwstr>B7E6BF02BD3A4732B780C78427DCEB4D_13</vt:lpwstr>
  </property>
  <property fmtid="{D5CDD505-2E9C-101B-9397-08002B2CF9AE}" pid="4" name="KSOTemplateDocerSaveRecord">
    <vt:lpwstr>eyJoZGlkIjoiZDRiYjVjNWI5MzAzZTZmMWUwMWJlOWMwMWQxNmZkMjMiLCJ1c2VySWQiOiIxNDU1NzgxMzYwIn0=</vt:lpwstr>
  </property>
</Properties>
</file>