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方正小标宋简体" w:hAnsi="方正小标宋简体" w:eastAsia="方正小标宋简体" w:cs="方正小标宋简体"/>
          <w:color w:val="000000" w:themeColor="text1"/>
          <w:sz w:val="36"/>
          <w:szCs w:val="36"/>
          <w14:textFill>
            <w14:solidFill>
              <w14:schemeClr w14:val="tx1"/>
            </w14:solidFill>
          </w14:textFill>
        </w:rPr>
      </w:pPr>
      <w:r>
        <w:rPr>
          <w:rFonts w:hint="eastAsia" w:ascii="方正小标宋简体" w:hAnsi="方正小标宋简体" w:eastAsia="方正小标宋简体" w:cs="方正小标宋简体"/>
          <w:color w:val="000000" w:themeColor="text1"/>
          <w:sz w:val="36"/>
          <w:szCs w:val="36"/>
          <w:lang w:eastAsia="zh-CN"/>
          <w14:textFill>
            <w14:solidFill>
              <w14:schemeClr w14:val="tx1"/>
            </w14:solidFill>
          </w14:textFill>
        </w:rPr>
        <w:t>珠海市</w:t>
      </w:r>
      <w:r>
        <w:rPr>
          <w:rFonts w:hint="eastAsia" w:ascii="方正小标宋简体" w:hAnsi="方正小标宋简体" w:eastAsia="方正小标宋简体" w:cs="方正小标宋简体"/>
          <w:color w:val="000000" w:themeColor="text1"/>
          <w:sz w:val="36"/>
          <w:szCs w:val="36"/>
          <w14:textFill>
            <w14:solidFill>
              <w14:schemeClr w14:val="tx1"/>
            </w14:solidFill>
          </w14:textFill>
        </w:rPr>
        <w:t>市场监督管理局消防产品</w:t>
      </w:r>
    </w:p>
    <w:p>
      <w:pPr>
        <w:spacing w:line="360" w:lineRule="auto"/>
        <w:jc w:val="center"/>
        <w:rPr>
          <w:rFonts w:hint="eastAsia" w:ascii="方正小标宋简体" w:hAnsi="方正小标宋简体" w:eastAsia="方正小标宋简体" w:cs="方正小标宋简体"/>
          <w:color w:val="000000" w:themeColor="text1"/>
          <w:sz w:val="36"/>
          <w:szCs w:val="36"/>
          <w14:textFill>
            <w14:solidFill>
              <w14:schemeClr w14:val="tx1"/>
            </w14:solidFill>
          </w14:textFill>
        </w:rPr>
      </w:pPr>
      <w:r>
        <w:rPr>
          <w:rFonts w:hint="eastAsia" w:ascii="方正小标宋简体" w:hAnsi="方正小标宋简体" w:eastAsia="方正小标宋简体" w:cs="方正小标宋简体"/>
          <w:color w:val="000000" w:themeColor="text1"/>
          <w:sz w:val="36"/>
          <w:szCs w:val="36"/>
          <w14:textFill>
            <w14:solidFill>
              <w14:schemeClr w14:val="tx1"/>
            </w14:solidFill>
          </w14:textFill>
        </w:rPr>
        <w:t>质量快速检测实施规范</w:t>
      </w:r>
    </w:p>
    <w:p>
      <w:pPr>
        <w:snapToGrid w:val="0"/>
        <w:spacing w:line="360" w:lineRule="auto"/>
        <w:rPr>
          <w:rFonts w:ascii="仿宋_GB2312" w:hAnsi="宋体"/>
          <w:b/>
          <w:color w:val="000000" w:themeColor="text1"/>
          <w:sz w:val="28"/>
          <w:szCs w:val="28"/>
          <w14:textFill>
            <w14:solidFill>
              <w14:schemeClr w14:val="tx1"/>
            </w14:solidFill>
          </w14:textFill>
        </w:rPr>
      </w:pP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一、适用范围</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本规范适用于</w:t>
      </w:r>
      <w:r>
        <w:rPr>
          <w:rFonts w:hint="eastAsia" w:ascii="仿宋_GB2312" w:hAnsi="仿宋_GB2312" w:eastAsia="仿宋_GB2312" w:cs="仿宋_GB2312"/>
          <w:color w:val="000000" w:themeColor="text1"/>
          <w:sz w:val="32"/>
          <w:szCs w:val="32"/>
          <w:lang w:eastAsia="zh-CN"/>
          <w14:textFill>
            <w14:solidFill>
              <w14:schemeClr w14:val="tx1"/>
            </w14:solidFill>
          </w14:textFill>
        </w:rPr>
        <w:t>珠海市</w:t>
      </w:r>
      <w:r>
        <w:rPr>
          <w:rFonts w:hint="eastAsia" w:ascii="仿宋_GB2312" w:hAnsi="仿宋_GB2312" w:eastAsia="仿宋_GB2312" w:cs="仿宋_GB2312"/>
          <w:color w:val="000000" w:themeColor="text1"/>
          <w:sz w:val="32"/>
          <w:szCs w:val="32"/>
          <w14:textFill>
            <w14:solidFill>
              <w14:schemeClr w14:val="tx1"/>
            </w14:solidFill>
          </w14:textFill>
        </w:rPr>
        <w:t>生产及流通领域消防产品质量快速检测。产品范围适用于：手提式灭火器、消防水带、消防水枪、室内消火栓、消防应急灯具、疏散指示灯具。</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二、抽样方法</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cs="仿宋_GB2312"/>
          <w:b/>
          <w:color w:val="000000" w:themeColor="text1"/>
          <w:sz w:val="32"/>
          <w:szCs w:val="32"/>
          <w:lang w:eastAsia="zh-CN"/>
          <w14:textFill>
            <w14:solidFill>
              <w14:schemeClr w14:val="tx1"/>
            </w14:solidFill>
          </w14:textFill>
        </w:rPr>
        <w:t>（一）</w:t>
      </w:r>
      <w:r>
        <w:rPr>
          <w:rFonts w:hint="eastAsia" w:ascii="仿宋_GB2312" w:hAnsi="仿宋_GB2312" w:eastAsia="仿宋_GB2312" w:cs="仿宋_GB2312"/>
          <w:b/>
          <w:color w:val="000000" w:themeColor="text1"/>
          <w:sz w:val="32"/>
          <w:szCs w:val="32"/>
          <w14:textFill>
            <w14:solidFill>
              <w14:schemeClr w14:val="tx1"/>
            </w14:solidFill>
          </w14:textFill>
        </w:rPr>
        <w:t>取样方式</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在生产领域取样时，在被取样生产者的待销产品中随机抽取。在流通领域实体店取样时，在被取样销售者的待销产品中随机抽取。 </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cs="仿宋_GB2312"/>
          <w:b/>
          <w:color w:val="000000" w:themeColor="text1"/>
          <w:sz w:val="32"/>
          <w:szCs w:val="32"/>
          <w:lang w:eastAsia="zh-CN"/>
          <w14:textFill>
            <w14:solidFill>
              <w14:schemeClr w14:val="tx1"/>
            </w14:solidFill>
          </w14:textFill>
        </w:rPr>
        <w:t>（二）</w:t>
      </w:r>
      <w:r>
        <w:rPr>
          <w:rFonts w:hint="eastAsia" w:ascii="仿宋_GB2312" w:hAnsi="仿宋_GB2312" w:eastAsia="仿宋_GB2312" w:cs="仿宋_GB2312"/>
          <w:b/>
          <w:color w:val="000000" w:themeColor="text1"/>
          <w:sz w:val="32"/>
          <w:szCs w:val="32"/>
          <w14:textFill>
            <w14:solidFill>
              <w14:schemeClr w14:val="tx1"/>
            </w14:solidFill>
          </w14:textFill>
        </w:rPr>
        <w:t>抽样数量</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每款产品抽取1组样本，每组样品量为1具(根/只/台)。</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cs="仿宋_GB2312"/>
          <w:b/>
          <w:color w:val="000000" w:themeColor="text1"/>
          <w:sz w:val="32"/>
          <w:szCs w:val="32"/>
          <w:lang w:eastAsia="zh-CN"/>
          <w14:textFill>
            <w14:solidFill>
              <w14:schemeClr w14:val="tx1"/>
            </w14:solidFill>
          </w14:textFill>
        </w:rPr>
        <w:t>（三）</w:t>
      </w:r>
      <w:r>
        <w:rPr>
          <w:rFonts w:hint="eastAsia" w:ascii="仿宋_GB2312" w:hAnsi="仿宋_GB2312" w:eastAsia="仿宋_GB2312" w:cs="仿宋_GB2312"/>
          <w:b/>
          <w:color w:val="000000" w:themeColor="text1"/>
          <w:sz w:val="32"/>
          <w:szCs w:val="32"/>
          <w14:textFill>
            <w14:solidFill>
              <w14:schemeClr w14:val="tx1"/>
            </w14:solidFill>
          </w14:textFill>
        </w:rPr>
        <w:t>购样情况</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检测不涉及破坏性项目，原则上无需购买样品;涉及可能破坏</w:t>
      </w:r>
      <w:r>
        <w:rPr>
          <w:rFonts w:hint="eastAsia" w:ascii="仿宋_GB2312" w:hAnsi="仿宋_GB2312" w:eastAsia="仿宋_GB2312" w:cs="仿宋_GB2312"/>
          <w:sz w:val="32"/>
          <w:szCs w:val="32"/>
        </w:rPr>
        <w:t>/破坏性/破坏</w:t>
      </w:r>
      <w:r>
        <w:rPr>
          <w:rFonts w:hint="eastAsia" w:ascii="仿宋_GB2312" w:hAnsi="仿宋_GB2312" w:eastAsia="仿宋_GB2312" w:cs="仿宋_GB2312"/>
          <w:color w:val="000000" w:themeColor="text1"/>
          <w:sz w:val="32"/>
          <w:szCs w:val="32"/>
          <w14:textFill>
            <w14:solidFill>
              <w14:schemeClr w14:val="tx1"/>
            </w14:solidFill>
          </w14:textFill>
        </w:rPr>
        <w:t>性项目的，检测结束后，</w:t>
      </w:r>
      <w:r>
        <w:rPr>
          <w:rFonts w:hint="eastAsia" w:ascii="仿宋_GB2312" w:hAnsi="仿宋_GB2312" w:eastAsia="仿宋_GB2312" w:cs="仿宋_GB2312"/>
          <w:sz w:val="32"/>
          <w:szCs w:val="32"/>
        </w:rPr>
        <w:t>如果样品破坏，</w:t>
      </w:r>
      <w:r>
        <w:rPr>
          <w:rFonts w:hint="eastAsia" w:ascii="仿宋_GB2312" w:hAnsi="仿宋_GB2312" w:eastAsia="仿宋_GB2312" w:cs="仿宋_GB2312"/>
          <w:color w:val="000000" w:themeColor="text1"/>
          <w:sz w:val="32"/>
          <w:szCs w:val="32"/>
          <w14:textFill>
            <w14:solidFill>
              <w14:schemeClr w14:val="tx1"/>
            </w14:solidFill>
          </w14:textFill>
        </w:rPr>
        <w:t>应向商家购买样品</w:t>
      </w:r>
      <w:r>
        <w:rPr>
          <w:rFonts w:hint="eastAsia" w:ascii="仿宋_GB2312" w:hAnsi="仿宋_GB2312" w:eastAsia="仿宋_GB2312" w:cs="仿宋_GB2312"/>
          <w:sz w:val="32"/>
          <w:szCs w:val="32"/>
        </w:rPr>
        <w:t>，如果样品没有破坏，无需向商家购买样品</w:t>
      </w:r>
      <w:r>
        <w:rPr>
          <w:rFonts w:hint="eastAsia" w:ascii="仿宋_GB2312" w:hAnsi="仿宋_GB2312" w:eastAsia="仿宋_GB2312" w:cs="仿宋_GB2312"/>
          <w:color w:val="000000" w:themeColor="text1"/>
          <w:sz w:val="32"/>
          <w:szCs w:val="32"/>
          <w14:textFill>
            <w14:solidFill>
              <w14:schemeClr w14:val="tx1"/>
            </w14:solidFill>
          </w14:textFill>
        </w:rPr>
        <w:t>。样品经拆卸后可复位，不影响二次销售的，不属于样品破坏范畴。</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黑体" w:hAnsi="黑体" w:eastAsia="黑体" w:cs="黑体"/>
          <w:b w:val="0"/>
          <w:bCs/>
          <w:color w:val="000000" w:themeColor="text1"/>
          <w:sz w:val="32"/>
          <w:szCs w:val="32"/>
          <w14:textFill>
            <w14:solidFill>
              <w14:schemeClr w14:val="tx1"/>
            </w14:solidFill>
          </w14:textFill>
        </w:rPr>
      </w:pPr>
      <w:r>
        <w:rPr>
          <w:rFonts w:hint="eastAsia" w:ascii="黑体" w:hAnsi="黑体" w:eastAsia="黑体" w:cs="黑体"/>
          <w:b w:val="0"/>
          <w:bCs/>
          <w:color w:val="000000" w:themeColor="text1"/>
          <w:sz w:val="32"/>
          <w:szCs w:val="32"/>
          <w14:textFill>
            <w14:solidFill>
              <w14:schemeClr w14:val="tx1"/>
            </w14:solidFill>
          </w14:textFill>
        </w:rPr>
        <w:t>三、检测项目、方法及判定</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（一）手提式灭火器</w:t>
      </w:r>
    </w:p>
    <w:p>
      <w:pPr>
        <w:keepNext w:val="0"/>
        <w:keepLines w:val="0"/>
        <w:pageBreakBefore w:val="0"/>
        <w:widowControl/>
        <w:kinsoku/>
        <w:wordWrap/>
        <w:overflowPunct/>
        <w:topLinePunct w:val="0"/>
        <w:autoSpaceDE/>
        <w:autoSpaceDN/>
        <w:bidi w:val="0"/>
        <w:spacing w:line="560" w:lineRule="exact"/>
        <w:ind w:firstLine="642" w:firstLineChars="200"/>
        <w:jc w:val="left"/>
        <w:textAlignment w:val="center"/>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1.颜色</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检测方法：目测检查灭火器瓶体外表的颜色。</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判定依据：GB 4351-2023第9.1条款，灭火器瓶体外表的颜色应采用GB/T 3181中规定的R03大红色。</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bCs w:val="0"/>
          <w:color w:val="000000" w:themeColor="text1"/>
          <w:sz w:val="32"/>
          <w:szCs w:val="32"/>
          <w14:textFill>
            <w14:solidFill>
              <w14:schemeClr w14:val="tx1"/>
            </w14:solidFill>
          </w14:textFill>
        </w:rPr>
      </w:pPr>
      <w:r>
        <w:rPr>
          <w:rFonts w:hint="eastAsia" w:ascii="仿宋_GB2312" w:hAnsi="仿宋_GB2312" w:eastAsia="仿宋_GB2312" w:cs="仿宋_GB2312"/>
          <w:b/>
          <w:bCs w:val="0"/>
          <w:color w:val="000000" w:themeColor="text1"/>
          <w:sz w:val="32"/>
          <w:szCs w:val="32"/>
          <w14:textFill>
            <w14:solidFill>
              <w14:schemeClr w14:val="tx1"/>
            </w14:solidFill>
          </w14:textFill>
        </w:rPr>
        <w:t>不符合程度：一般</w:t>
      </w:r>
    </w:p>
    <w:p>
      <w:pPr>
        <w:pStyle w:val="2"/>
        <w:keepNext w:val="0"/>
        <w:keepLines w:val="0"/>
        <w:pageBreakBefore w:val="0"/>
        <w:kinsoku/>
        <w:wordWrap/>
        <w:overflowPunct/>
        <w:topLinePunct w:val="0"/>
        <w:autoSpaceDE/>
        <w:autoSpaceDN/>
        <w:bidi w:val="0"/>
        <w:spacing w:line="560" w:lineRule="exact"/>
        <w:ind w:firstLine="642" w:firstLineChars="200"/>
        <w:jc w:val="left"/>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2.标志总要求</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检测方法：目测铭牌标志是否符合要求。</w:t>
      </w:r>
    </w:p>
    <w:p>
      <w:pPr>
        <w:keepNext w:val="0"/>
        <w:keepLines w:val="0"/>
        <w:pageBreakBefore w:val="0"/>
        <w:widowControl/>
        <w:kinsoku/>
        <w:wordWrap/>
        <w:overflowPunct/>
        <w:topLinePunct w:val="0"/>
        <w:autoSpaceDE/>
        <w:autoSpaceDN/>
        <w:bidi w:val="0"/>
        <w:spacing w:line="560" w:lineRule="exact"/>
        <w:ind w:firstLine="640" w:firstLineChars="200"/>
        <w:jc w:val="left"/>
        <w:textAlignment w:val="top"/>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判定依据：GB 4351-2023第9.2.1条款，a)灭火器应有铭牌贴在瓶体上或印刷在瓶体上，并应包括下列几方面内容：产品信息说明、操作说明、检查说明、使用说明、再充装及维修说明。产品信息说明的主要内容布置在铭牌的右列；操作说明的内容布置在铭牌的中列；检查说明、使用说明、再充装及维修说明的内容布置在铭牌的左列。铭牌示意图见图1。</w:t>
      </w:r>
    </w:p>
    <w:p>
      <w:pPr>
        <w:pStyle w:val="2"/>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anchor distT="0" distB="0" distL="114300" distR="114300" simplePos="0" relativeHeight="251661312" behindDoc="0" locked="0" layoutInCell="1" allowOverlap="1">
            <wp:simplePos x="0" y="0"/>
            <wp:positionH relativeFrom="column">
              <wp:posOffset>9525</wp:posOffset>
            </wp:positionH>
            <wp:positionV relativeFrom="paragraph">
              <wp:posOffset>38735</wp:posOffset>
            </wp:positionV>
            <wp:extent cx="5271135" cy="2307590"/>
            <wp:effectExtent l="0" t="0" r="5715" b="1651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1135" cy="2307590"/>
                    </a:xfrm>
                    <a:prstGeom prst="rect">
                      <a:avLst/>
                    </a:prstGeom>
                    <a:noFill/>
                    <a:ln>
                      <a:noFill/>
                    </a:ln>
                  </pic:spPr>
                </pic:pic>
              </a:graphicData>
            </a:graphic>
          </wp:anchor>
        </w:drawing>
      </w:r>
    </w:p>
    <w:p>
      <w:pPr>
        <w:pStyle w:val="2"/>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_GB2312" w:eastAsia="仿宋_GB2312" w:cs="仿宋_GB2312"/>
          <w:sz w:val="32"/>
          <w:szCs w:val="32"/>
        </w:rPr>
      </w:pPr>
    </w:p>
    <w:p>
      <w:pPr>
        <w:pStyle w:val="2"/>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_GB2312" w:eastAsia="仿宋_GB2312" w:cs="仿宋_GB2312"/>
          <w:sz w:val="32"/>
          <w:szCs w:val="32"/>
        </w:rPr>
      </w:pPr>
    </w:p>
    <w:p>
      <w:pPr>
        <w:pStyle w:val="2"/>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_GB2312" w:eastAsia="仿宋_GB2312" w:cs="仿宋_GB2312"/>
          <w:sz w:val="32"/>
          <w:szCs w:val="32"/>
        </w:rPr>
      </w:pPr>
    </w:p>
    <w:p>
      <w:pPr>
        <w:pStyle w:val="2"/>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_GB2312" w:eastAsia="仿宋_GB2312" w:cs="仿宋_GB2312"/>
          <w:sz w:val="32"/>
          <w:szCs w:val="32"/>
        </w:rPr>
      </w:pPr>
    </w:p>
    <w:p>
      <w:pPr>
        <w:pStyle w:val="2"/>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_GB2312" w:eastAsia="仿宋_GB2312" w:cs="仿宋_GB2312"/>
          <w:sz w:val="32"/>
          <w:szCs w:val="32"/>
        </w:rPr>
      </w:pPr>
    </w:p>
    <w:p>
      <w:pPr>
        <w:pStyle w:val="2"/>
        <w:keepNext w:val="0"/>
        <w:keepLines w:val="0"/>
        <w:pageBreakBefore w:val="0"/>
        <w:kinsoku/>
        <w:wordWrap/>
        <w:overflowPunct/>
        <w:topLinePunct w:val="0"/>
        <w:autoSpaceDE/>
        <w:autoSpaceDN/>
        <w:bidi w:val="0"/>
        <w:spacing w:line="560" w:lineRule="exact"/>
        <w:jc w:val="left"/>
        <w:rPr>
          <w:rFonts w:hint="eastAsia" w:ascii="仿宋_GB2312" w:hAnsi="仿宋_GB2312" w:eastAsia="仿宋_GB2312" w:cs="仿宋_GB2312"/>
          <w:sz w:val="32"/>
          <w:szCs w:val="32"/>
        </w:rPr>
      </w:pPr>
    </w:p>
    <w:p>
      <w:pPr>
        <w:pStyle w:val="2"/>
        <w:keepNext w:val="0"/>
        <w:keepLines w:val="0"/>
        <w:pageBreakBefore w:val="0"/>
        <w:kinsoku/>
        <w:wordWrap/>
        <w:overflowPunct/>
        <w:topLinePunct w:val="0"/>
        <w:autoSpaceDE/>
        <w:autoSpaceDN/>
        <w:bidi w:val="0"/>
        <w:spacing w:line="56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图1 铭牌示意图</w:t>
      </w:r>
    </w:p>
    <w:p>
      <w:pPr>
        <w:keepNext w:val="0"/>
        <w:keepLines w:val="0"/>
        <w:pageBreakBefore w:val="0"/>
        <w:widowControl/>
        <w:kinsoku/>
        <w:wordWrap/>
        <w:overflowPunct/>
        <w:topLinePunct w:val="0"/>
        <w:autoSpaceDE/>
        <w:autoSpaceDN/>
        <w:bidi w:val="0"/>
        <w:spacing w:line="560" w:lineRule="exact"/>
        <w:jc w:val="left"/>
        <w:textAlignment w:val="top"/>
        <w:rPr>
          <w:rFonts w:hint="eastAsia" w:ascii="仿宋_GB2312" w:hAnsi="仿宋_GB2312" w:eastAsia="仿宋_GB2312" w:cs="仿宋_GB2312"/>
          <w:bCs/>
          <w:color w:val="000000" w:themeColor="text1"/>
          <w:sz w:val="32"/>
          <w:szCs w:val="32"/>
          <w14:textFill>
            <w14:solidFill>
              <w14:schemeClr w14:val="tx1"/>
            </w14:solidFill>
          </w14:textFill>
        </w:rPr>
      </w:pPr>
      <w:bookmarkStart w:id="0" w:name="_GoBack"/>
      <w:bookmarkEnd w:id="0"/>
      <w:r>
        <w:rPr>
          <w:rFonts w:hint="eastAsia" w:ascii="仿宋_GB2312" w:hAnsi="仿宋_GB2312" w:eastAsia="仿宋_GB2312" w:cs="仿宋_GB2312"/>
          <w:bCs/>
          <w:color w:val="000000" w:themeColor="text1"/>
          <w:sz w:val="32"/>
          <w:szCs w:val="32"/>
          <w14:textFill>
            <w14:solidFill>
              <w14:schemeClr w14:val="tx1"/>
            </w14:solidFill>
          </w14:textFill>
        </w:rPr>
        <w:t>b)灭火器上的永久性钢印标志应完整、清晰无毛刺。灭火器（除二氧化碳灭火器外）瓶体上的永久性标志（应用钢印打在不受压的底圈或颈圈等处）：灭火器的水压试验压力，MPa（同时还应印刷在铭牌上）；灭火器的生产年份；灭火器瓶体的生产商名称或代号。二氧化碳灭火器钢印标记应打在瓶体的弧形肩部。</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bCs w:val="0"/>
          <w:color w:val="000000" w:themeColor="text1"/>
          <w:sz w:val="32"/>
          <w:szCs w:val="32"/>
          <w14:textFill>
            <w14:solidFill>
              <w14:schemeClr w14:val="tx1"/>
            </w14:solidFill>
          </w14:textFill>
        </w:rPr>
      </w:pPr>
      <w:r>
        <w:rPr>
          <w:rFonts w:hint="eastAsia" w:ascii="仿宋_GB2312" w:hAnsi="仿宋_GB2312" w:eastAsia="仿宋_GB2312" w:cs="仿宋_GB2312"/>
          <w:b/>
          <w:bCs w:val="0"/>
          <w:color w:val="000000" w:themeColor="text1"/>
          <w:sz w:val="32"/>
          <w:szCs w:val="32"/>
          <w14:textFill>
            <w14:solidFill>
              <w14:schemeClr w14:val="tx1"/>
            </w14:solidFill>
          </w14:textFill>
        </w:rPr>
        <w:t>不符合程度：严重</w:t>
      </w:r>
    </w:p>
    <w:p>
      <w:pPr>
        <w:keepNext w:val="0"/>
        <w:keepLines w:val="0"/>
        <w:pageBreakBefore w:val="0"/>
        <w:widowControl/>
        <w:kinsoku/>
        <w:wordWrap/>
        <w:overflowPunct/>
        <w:topLinePunct w:val="0"/>
        <w:autoSpaceDE/>
        <w:autoSpaceDN/>
        <w:bidi w:val="0"/>
        <w:spacing w:line="560" w:lineRule="exact"/>
        <w:ind w:firstLine="642" w:firstLineChars="200"/>
        <w:jc w:val="left"/>
        <w:textAlignment w:val="center"/>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3.喷射软管长度</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检测方法：拆下喷射软管，使用钢卷尺测量其长度，不包含接头和喷嘴长度。</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Cs/>
          <w:color w:val="000000" w:themeColor="text1"/>
          <w:sz w:val="32"/>
          <w:szCs w:val="32"/>
          <w14:textFill>
            <w14:solidFill>
              <w14:schemeClr w14:val="tx1"/>
            </w14:solidFill>
          </w14:textFill>
        </w:rPr>
        <w:t>判定依据：GB 4351-2023第6.5.2条款，充装量大于3kg或3L的灭火器，应配置喷射软管。其中二氧化碳灭火器喷射软管的长度不应小于650mm，其他类型灭火器喷射软管的长度不应小于400mm。充装量不超过3kg或3L的灭火器，当配置喷射软管时，其长度不应小于250mm。喷射软管长度示意图见图2。</w:t>
      </w:r>
    </w:p>
    <w:p>
      <w:pPr>
        <w:pStyle w:val="2"/>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anchor distT="0" distB="0" distL="114300" distR="114300" simplePos="0" relativeHeight="251660288" behindDoc="0" locked="0" layoutInCell="1" allowOverlap="1">
            <wp:simplePos x="0" y="0"/>
            <wp:positionH relativeFrom="column">
              <wp:posOffset>114300</wp:posOffset>
            </wp:positionH>
            <wp:positionV relativeFrom="paragraph">
              <wp:posOffset>175260</wp:posOffset>
            </wp:positionV>
            <wp:extent cx="5273040" cy="1048385"/>
            <wp:effectExtent l="0" t="0" r="3810" b="1841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273040" cy="1048385"/>
                    </a:xfrm>
                    <a:prstGeom prst="rect">
                      <a:avLst/>
                    </a:prstGeom>
                    <a:noFill/>
                    <a:ln>
                      <a:noFill/>
                    </a:ln>
                  </pic:spPr>
                </pic:pic>
              </a:graphicData>
            </a:graphic>
          </wp:anchor>
        </w:drawing>
      </w:r>
    </w:p>
    <w:p>
      <w:pPr>
        <w:pStyle w:val="3"/>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_GB2312" w:eastAsia="仿宋_GB2312" w:cs="仿宋_GB2312"/>
          <w:sz w:val="32"/>
          <w:szCs w:val="32"/>
        </w:rPr>
      </w:pPr>
    </w:p>
    <w:p>
      <w:pPr>
        <w:pStyle w:val="3"/>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图2喷射软管长度示意图</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bCs w:val="0"/>
          <w:color w:val="000000" w:themeColor="text1"/>
          <w:sz w:val="32"/>
          <w:szCs w:val="32"/>
          <w14:textFill>
            <w14:solidFill>
              <w14:schemeClr w14:val="tx1"/>
            </w14:solidFill>
          </w14:textFill>
        </w:rPr>
      </w:pPr>
      <w:r>
        <w:rPr>
          <w:rFonts w:hint="eastAsia" w:ascii="仿宋_GB2312" w:hAnsi="仿宋_GB2312" w:eastAsia="仿宋_GB2312" w:cs="仿宋_GB2312"/>
          <w:b/>
          <w:bCs w:val="0"/>
          <w:color w:val="000000" w:themeColor="text1"/>
          <w:sz w:val="32"/>
          <w:szCs w:val="32"/>
          <w14:textFill>
            <w14:solidFill>
              <w14:schemeClr w14:val="tx1"/>
            </w14:solidFill>
          </w14:textFill>
        </w:rPr>
        <w:t>不符合程度：严重</w:t>
      </w:r>
    </w:p>
    <w:p>
      <w:pPr>
        <w:keepNext w:val="0"/>
        <w:keepLines w:val="0"/>
        <w:pageBreakBefore w:val="0"/>
        <w:widowControl/>
        <w:kinsoku/>
        <w:wordWrap/>
        <w:overflowPunct/>
        <w:topLinePunct w:val="0"/>
        <w:autoSpaceDE/>
        <w:autoSpaceDN/>
        <w:bidi w:val="0"/>
        <w:spacing w:line="560" w:lineRule="exact"/>
        <w:ind w:firstLine="642" w:firstLineChars="200"/>
        <w:jc w:val="left"/>
        <w:textAlignment w:val="center"/>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4.提把长度</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检测方法：首先测量灭火器总质量，根据总质量实测结果，确定对应判定要求，使用钢直尺或钢卷尺测量提把长度。</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Cs/>
          <w:color w:val="000000" w:themeColor="text1"/>
          <w:sz w:val="32"/>
          <w:szCs w:val="32"/>
          <w14:textFill>
            <w14:solidFill>
              <w14:schemeClr w14:val="tx1"/>
            </w14:solidFill>
          </w14:textFill>
        </w:rPr>
        <w:t>判定依据：GB 4351-2023第6.2.2条款，当灭火器总质量＜7kg时，提把长度≥75mm。当灭火器总质量≥7kg时，提把长度≥90mm。当灭火器总质量≥12kg时，提把长度≥110mm。</w:t>
      </w:r>
    </w:p>
    <w:p>
      <w:pPr>
        <w:pStyle w:val="2"/>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anchor distT="0" distB="0" distL="114300" distR="114300" simplePos="0" relativeHeight="251659264" behindDoc="0" locked="0" layoutInCell="1" allowOverlap="1">
            <wp:simplePos x="0" y="0"/>
            <wp:positionH relativeFrom="column">
              <wp:posOffset>1213485</wp:posOffset>
            </wp:positionH>
            <wp:positionV relativeFrom="paragraph">
              <wp:posOffset>-126365</wp:posOffset>
            </wp:positionV>
            <wp:extent cx="2585085" cy="2580640"/>
            <wp:effectExtent l="0" t="0" r="5715" b="1016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2585085" cy="2580640"/>
                    </a:xfrm>
                    <a:prstGeom prst="rect">
                      <a:avLst/>
                    </a:prstGeom>
                    <a:noFill/>
                    <a:ln>
                      <a:noFill/>
                    </a:ln>
                  </pic:spPr>
                </pic:pic>
              </a:graphicData>
            </a:graphic>
          </wp:anchor>
        </w:drawing>
      </w:r>
    </w:p>
    <w:p>
      <w:pPr>
        <w:pStyle w:val="3"/>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_GB2312" w:eastAsia="仿宋_GB2312" w:cs="仿宋_GB2312"/>
          <w:sz w:val="32"/>
          <w:szCs w:val="32"/>
        </w:rPr>
      </w:pPr>
    </w:p>
    <w:p>
      <w:pPr>
        <w:pStyle w:val="3"/>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_GB2312" w:eastAsia="仿宋_GB2312" w:cs="仿宋_GB2312"/>
          <w:sz w:val="32"/>
          <w:szCs w:val="32"/>
        </w:rPr>
      </w:pPr>
    </w:p>
    <w:p>
      <w:pPr>
        <w:pStyle w:val="3"/>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_GB2312" w:eastAsia="仿宋_GB2312" w:cs="仿宋_GB2312"/>
          <w:sz w:val="32"/>
          <w:szCs w:val="32"/>
        </w:rPr>
      </w:pPr>
    </w:p>
    <w:p>
      <w:pPr>
        <w:pStyle w:val="3"/>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_GB2312" w:eastAsia="仿宋_GB2312" w:cs="仿宋_GB2312"/>
          <w:sz w:val="32"/>
          <w:szCs w:val="32"/>
        </w:rPr>
      </w:pPr>
    </w:p>
    <w:p>
      <w:pPr>
        <w:pStyle w:val="3"/>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_GB2312" w:eastAsia="仿宋_GB2312" w:cs="仿宋_GB2312"/>
          <w:sz w:val="32"/>
          <w:szCs w:val="32"/>
        </w:rPr>
      </w:pPr>
    </w:p>
    <w:p>
      <w:pPr>
        <w:pStyle w:val="3"/>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_GB2312" w:eastAsia="仿宋_GB2312" w:cs="仿宋_GB2312"/>
          <w:sz w:val="32"/>
          <w:szCs w:val="32"/>
        </w:rPr>
      </w:pPr>
    </w:p>
    <w:p>
      <w:pPr>
        <w:pStyle w:val="3"/>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_GB2312" w:eastAsia="仿宋_GB2312" w:cs="仿宋_GB2312"/>
          <w:sz w:val="32"/>
          <w:szCs w:val="32"/>
        </w:rPr>
      </w:pPr>
    </w:p>
    <w:p>
      <w:pPr>
        <w:pStyle w:val="3"/>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_GB2312" w:eastAsia="仿宋_GB2312" w:cs="仿宋_GB2312"/>
          <w:sz w:val="32"/>
          <w:szCs w:val="32"/>
        </w:rPr>
      </w:pPr>
    </w:p>
    <w:p>
      <w:pPr>
        <w:pStyle w:val="3"/>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_GB2312" w:eastAsia="仿宋_GB2312" w:cs="仿宋_GB2312"/>
          <w:sz w:val="32"/>
          <w:szCs w:val="32"/>
        </w:rPr>
      </w:pPr>
    </w:p>
    <w:p>
      <w:pPr>
        <w:pStyle w:val="3"/>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_GB2312" w:eastAsia="仿宋_GB2312" w:cs="仿宋_GB2312"/>
          <w:sz w:val="32"/>
          <w:szCs w:val="32"/>
        </w:rPr>
      </w:pPr>
    </w:p>
    <w:p>
      <w:pPr>
        <w:pStyle w:val="3"/>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图3 提把长度示意图</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bCs w:val="0"/>
          <w:color w:val="000000" w:themeColor="text1"/>
          <w:sz w:val="32"/>
          <w:szCs w:val="32"/>
          <w14:textFill>
            <w14:solidFill>
              <w14:schemeClr w14:val="tx1"/>
            </w14:solidFill>
          </w14:textFill>
        </w:rPr>
      </w:pPr>
      <w:r>
        <w:rPr>
          <w:rFonts w:hint="eastAsia" w:ascii="仿宋_GB2312" w:hAnsi="仿宋_GB2312" w:eastAsia="仿宋_GB2312" w:cs="仿宋_GB2312"/>
          <w:b/>
          <w:bCs w:val="0"/>
          <w:color w:val="000000" w:themeColor="text1"/>
          <w:sz w:val="32"/>
          <w:szCs w:val="32"/>
          <w14:textFill>
            <w14:solidFill>
              <w14:schemeClr w14:val="tx1"/>
            </w14:solidFill>
          </w14:textFill>
        </w:rPr>
        <w:t>不符合程度：严重</w:t>
      </w:r>
    </w:p>
    <w:p>
      <w:pPr>
        <w:pStyle w:val="2"/>
        <w:keepNext w:val="0"/>
        <w:keepLines w:val="0"/>
        <w:pageBreakBefore w:val="0"/>
        <w:widowControl/>
        <w:kinsoku/>
        <w:wordWrap/>
        <w:overflowPunct/>
        <w:topLinePunct w:val="0"/>
        <w:autoSpaceDE/>
        <w:autoSpaceDN/>
        <w:bidi w:val="0"/>
        <w:spacing w:line="560" w:lineRule="exact"/>
        <w:ind w:firstLine="642" w:firstLineChars="200"/>
        <w:jc w:val="left"/>
        <w:textAlignment w:val="center"/>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5.保险装置</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检测方法：检查灭火器是否有保险装置，包括穿刺或打开密封等方式，保险装置通常为保险销。检查封记是否完好，灭火器是否有使用过情况。</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判定依据：GB 4351-2023第6.3条款，灭火器的开启机构应配有防止意外操作的保险装置及灭火器启用封记。保险装置的解脱动作应与开启机构的开启动作相区别，并能显示灭火器的启用状态。</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bCs w:val="0"/>
          <w:color w:val="000000" w:themeColor="text1"/>
          <w:sz w:val="32"/>
          <w:szCs w:val="32"/>
          <w14:textFill>
            <w14:solidFill>
              <w14:schemeClr w14:val="tx1"/>
            </w14:solidFill>
          </w14:textFill>
        </w:rPr>
      </w:pPr>
      <w:r>
        <w:rPr>
          <w:rFonts w:hint="eastAsia" w:ascii="仿宋_GB2312" w:hAnsi="仿宋_GB2312" w:eastAsia="仿宋_GB2312" w:cs="仿宋_GB2312"/>
          <w:b/>
          <w:bCs w:val="0"/>
          <w:color w:val="000000" w:themeColor="text1"/>
          <w:sz w:val="32"/>
          <w:szCs w:val="32"/>
          <w14:textFill>
            <w14:solidFill>
              <w14:schemeClr w14:val="tx1"/>
            </w14:solidFill>
          </w14:textFill>
        </w:rPr>
        <w:t>不符合程度：严重</w:t>
      </w:r>
    </w:p>
    <w:p>
      <w:pPr>
        <w:keepNext w:val="0"/>
        <w:keepLines w:val="0"/>
        <w:pageBreakBefore w:val="0"/>
        <w:widowControl/>
        <w:kinsoku/>
        <w:wordWrap/>
        <w:overflowPunct/>
        <w:topLinePunct w:val="0"/>
        <w:autoSpaceDE/>
        <w:autoSpaceDN/>
        <w:bidi w:val="0"/>
        <w:spacing w:line="560" w:lineRule="exact"/>
        <w:ind w:firstLine="642" w:firstLineChars="200"/>
        <w:jc w:val="left"/>
        <w:textAlignment w:val="center"/>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6.压力指示器</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检测方法：目测检查灭火器压力指示器。</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判定依据：GB 4351-2023第D.3.1.1条款、第D.3.1.3条款、第D.3.1.6条款、第D.3.1.7条款、第D.3.1.8条款：</w:t>
      </w:r>
    </w:p>
    <w:p>
      <w:pPr>
        <w:keepNext w:val="0"/>
        <w:keepLines w:val="0"/>
        <w:pageBreakBefore w:val="0"/>
        <w:numPr>
          <w:ilvl w:val="255"/>
          <w:numId w:val="0"/>
        </w:numPr>
        <w:kinsoku/>
        <w:wordWrap/>
        <w:overflowPunct/>
        <w:topLinePunct w:val="0"/>
        <w:autoSpaceDE/>
        <w:autoSpaceDN/>
        <w:bidi w:val="0"/>
        <w:adjustRightInd w:val="0"/>
        <w:snapToGrid w:val="0"/>
        <w:spacing w:line="560" w:lineRule="exact"/>
        <w:ind w:firstLine="640" w:firstLineChars="200"/>
        <w:jc w:val="left"/>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（1）指示器的表盘上应标明刻度单位。</w:t>
      </w:r>
    </w:p>
    <w:p>
      <w:pPr>
        <w:keepNext w:val="0"/>
        <w:keepLines w:val="0"/>
        <w:pageBreakBefore w:val="0"/>
        <w:numPr>
          <w:ilvl w:val="255"/>
          <w:numId w:val="0"/>
        </w:numPr>
        <w:kinsoku/>
        <w:wordWrap/>
        <w:overflowPunct/>
        <w:topLinePunct w:val="0"/>
        <w:autoSpaceDE/>
        <w:autoSpaceDN/>
        <w:bidi w:val="0"/>
        <w:adjustRightInd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000000" w:themeColor="text1"/>
          <w:sz w:val="32"/>
          <w:szCs w:val="32"/>
          <w14:textFill>
            <w14:solidFill>
              <w14:schemeClr w14:val="tx1"/>
            </w14:solidFill>
          </w14:textFill>
        </w:rPr>
        <w:t>（2）指示器刻度盘上指示灭火器可工作的压力范围用绿色表示；从零位到可工作压</w:t>
      </w:r>
      <w:r>
        <w:rPr>
          <w:rFonts w:hint="eastAsia" w:ascii="仿宋_GB2312" w:hAnsi="仿宋_GB2312" w:eastAsia="仿宋_GB2312" w:cs="仿宋_GB2312"/>
          <w:bCs/>
          <w:color w:val="auto"/>
          <w:sz w:val="32"/>
          <w:szCs w:val="32"/>
          <w:highlight w:val="none"/>
        </w:rPr>
        <w:t>力的下限值的范围用红色表示，并在该范围的刻度盘的弧线部分标上“再充装”字样；从灭火器可工作压力的上限值到指示器的最大量程的范围用黄色表示，并在该范围的刻度盘的弧线部分标上“超充装”字样。</w:t>
      </w:r>
    </w:p>
    <w:p>
      <w:pPr>
        <w:keepNext w:val="0"/>
        <w:keepLines w:val="0"/>
        <w:pageBreakBefore w:val="0"/>
        <w:numPr>
          <w:ilvl w:val="255"/>
          <w:numId w:val="0"/>
        </w:numPr>
        <w:kinsoku/>
        <w:wordWrap/>
        <w:overflowPunct/>
        <w:topLinePunct w:val="0"/>
        <w:autoSpaceDE/>
        <w:autoSpaceDN/>
        <w:bidi w:val="0"/>
        <w:adjustRightInd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（3）指示器表盘上应标有指明其所适用的灭火剂的符号或文字(干粉灭火剂用代号“F”，水基型灭火剂用代号“S”，洁净气体灭火剂用代号“J”表示)。</w:t>
      </w:r>
    </w:p>
    <w:p>
      <w:pPr>
        <w:keepNext w:val="0"/>
        <w:keepLines w:val="0"/>
        <w:pageBreakBefore w:val="0"/>
        <w:numPr>
          <w:ilvl w:val="255"/>
          <w:numId w:val="0"/>
        </w:numPr>
        <w:kinsoku/>
        <w:wordWrap/>
        <w:overflowPunct/>
        <w:topLinePunct w:val="0"/>
        <w:autoSpaceDE/>
        <w:autoSpaceDN/>
        <w:bidi w:val="0"/>
        <w:adjustRightInd w:val="0"/>
        <w:snapToGrid w:val="0"/>
        <w:spacing w:line="56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rPr>
        <w:t>（4）指示器表盘上的数字、代号和“再充装”、“超充装”等字样应用白色表示。</w:t>
      </w:r>
    </w:p>
    <w:p>
      <w:pPr>
        <w:keepNext w:val="0"/>
        <w:keepLines w:val="0"/>
        <w:pageBreakBefore w:val="0"/>
        <w:numPr>
          <w:ilvl w:val="255"/>
          <w:numId w:val="0"/>
        </w:numPr>
        <w:kinsoku/>
        <w:wordWrap/>
        <w:overflowPunct/>
        <w:topLinePunct w:val="0"/>
        <w:autoSpaceDE/>
        <w:autoSpaceDN/>
        <w:bidi w:val="0"/>
        <w:adjustRightInd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（5）指示器表盘上应标有制造商名称或代号。</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bCs w:val="0"/>
          <w:color w:val="auto"/>
          <w:sz w:val="32"/>
          <w:szCs w:val="32"/>
          <w:highlight w:val="none"/>
        </w:rPr>
      </w:pPr>
      <w:r>
        <w:rPr>
          <w:rFonts w:hint="eastAsia" w:ascii="仿宋_GB2312" w:hAnsi="仿宋_GB2312" w:eastAsia="仿宋_GB2312" w:cs="仿宋_GB2312"/>
          <w:b/>
          <w:bCs w:val="0"/>
          <w:color w:val="auto"/>
          <w:sz w:val="32"/>
          <w:szCs w:val="32"/>
          <w:highlight w:val="none"/>
        </w:rPr>
        <w:t>不符合程度：严重</w:t>
      </w:r>
    </w:p>
    <w:p>
      <w:pPr>
        <w:keepNext w:val="0"/>
        <w:keepLines w:val="0"/>
        <w:pageBreakBefore w:val="0"/>
        <w:widowControl/>
        <w:kinsoku/>
        <w:wordWrap/>
        <w:overflowPunct/>
        <w:topLinePunct w:val="0"/>
        <w:autoSpaceDE/>
        <w:autoSpaceDN/>
        <w:bidi w:val="0"/>
        <w:spacing w:line="560" w:lineRule="exact"/>
        <w:ind w:firstLine="642" w:firstLineChars="200"/>
        <w:jc w:val="left"/>
        <w:textAlignment w:val="center"/>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7.CCC标志、CCC证书有效性</w:t>
      </w:r>
    </w:p>
    <w:p>
      <w:pPr>
        <w:keepNext w:val="0"/>
        <w:keepLines w:val="0"/>
        <w:pageBreakBefore w:val="0"/>
        <w:widowControl/>
        <w:kinsoku/>
        <w:wordWrap/>
        <w:overflowPunct/>
        <w:topLinePunct w:val="0"/>
        <w:autoSpaceDE/>
        <w:autoSpaceDN/>
        <w:bidi w:val="0"/>
        <w:spacing w:line="560" w:lineRule="exact"/>
        <w:ind w:firstLine="640" w:firstLineChars="200"/>
        <w:jc w:val="left"/>
        <w:textAlignment w:val="center"/>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检测方法：目测检查灭火器上是否有CCC标志；在应急管理部消防产品合格评定中心官网查询对应厂家和型号灭火器的CCC证书是否有效。</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判定依据：《强制性产品认证管理规定》</w:t>
      </w:r>
      <w:r>
        <w:rPr>
          <w:rFonts w:hint="eastAsia" w:ascii="仿宋_GB2312" w:hAnsi="仿宋_GB2312" w:eastAsia="仿宋_GB2312" w:cs="仿宋_GB2312"/>
          <w:color w:val="auto"/>
          <w:sz w:val="32"/>
          <w:szCs w:val="32"/>
          <w:highlight w:val="none"/>
        </w:rPr>
        <w:t>（2022年国家市场监督管理总局令第61号修订）、《强制性产品认证目录描述与界定表（2023年修订）》（2023年第36号）。</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（1）有CCC标记。</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（2）CCC证书处于有效状态或暂停日期在灭火器生产日期之后。</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bCs w:val="0"/>
          <w:color w:val="auto"/>
          <w:sz w:val="32"/>
          <w:szCs w:val="32"/>
          <w:highlight w:val="none"/>
        </w:rPr>
      </w:pPr>
      <w:r>
        <w:rPr>
          <w:rFonts w:hint="eastAsia" w:ascii="仿宋_GB2312" w:hAnsi="仿宋_GB2312" w:eastAsia="仿宋_GB2312" w:cs="仿宋_GB2312"/>
          <w:b/>
          <w:bCs w:val="0"/>
          <w:color w:val="auto"/>
          <w:sz w:val="32"/>
          <w:szCs w:val="32"/>
          <w:highlight w:val="none"/>
        </w:rPr>
        <w:t>不符合程度：严重</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注：1.部分厂家的灭火器只标注了CCC标志，未标注CCC证书编号，需在应急管理部消防产品合格评定中心官网查询对应厂家和型号灭火器的CCC证书。（应急管理部消防产品合格评定中心官网网址：</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"https://www.cccf.com.cn:8088/certSearch/search?rjwCatalogyCode=1001）。" </w:instrText>
      </w:r>
      <w:r>
        <w:rPr>
          <w:rFonts w:hint="eastAsia" w:ascii="仿宋_GB2312" w:hAnsi="仿宋_GB2312" w:eastAsia="仿宋_GB2312" w:cs="仿宋_GB2312"/>
          <w:color w:val="auto"/>
          <w:sz w:val="32"/>
          <w:szCs w:val="32"/>
          <w:highlight w:val="none"/>
        </w:rPr>
        <w:fldChar w:fldCharType="separate"/>
      </w:r>
      <w:r>
        <w:rPr>
          <w:rStyle w:val="16"/>
          <w:rFonts w:hint="eastAsia" w:ascii="仿宋_GB2312" w:hAnsi="仿宋_GB2312" w:eastAsia="仿宋_GB2312" w:cs="仿宋_GB2312"/>
          <w:bCs/>
          <w:color w:val="auto"/>
          <w:sz w:val="32"/>
          <w:szCs w:val="32"/>
          <w:highlight w:val="none"/>
        </w:rPr>
        <w:t>https://www.cccf.com.cn:8088/certSearch/search?rjwCatalogyCode=1001）。</w:t>
      </w:r>
      <w:r>
        <w:rPr>
          <w:rStyle w:val="16"/>
          <w:rFonts w:hint="eastAsia" w:ascii="仿宋_GB2312" w:hAnsi="仿宋_GB2312" w:eastAsia="仿宋_GB2312" w:cs="仿宋_GB2312"/>
          <w:bCs/>
          <w:color w:val="auto"/>
          <w:sz w:val="32"/>
          <w:szCs w:val="32"/>
          <w:highlight w:val="none"/>
        </w:rPr>
        <w:fldChar w:fldCharType="end"/>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2.自2025年1月1日起，灭火器执行标准变更为GB 4351-2023，即灭火器均应执行新标准，CCC证书应进行变更换证。</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（二）消防水带</w:t>
      </w:r>
    </w:p>
    <w:p>
      <w:pPr>
        <w:keepNext w:val="0"/>
        <w:keepLines w:val="0"/>
        <w:pageBreakBefore w:val="0"/>
        <w:widowControl/>
        <w:kinsoku/>
        <w:wordWrap/>
        <w:overflowPunct/>
        <w:topLinePunct w:val="0"/>
        <w:autoSpaceDE/>
        <w:autoSpaceDN/>
        <w:bidi w:val="0"/>
        <w:spacing w:line="560" w:lineRule="exact"/>
        <w:ind w:firstLine="642" w:firstLineChars="200"/>
        <w:jc w:val="left"/>
        <w:textAlignment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1.内径</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rPr>
        <w:t>检测方法：通止规测量水带两端内径是否满足标准要求，并记录。</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判定依据：GB 6246-2011第4.2条款，规格50：51.0mm～53.0mm；</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规格65：63.5mm～65.5mm。</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bCs w:val="0"/>
          <w:color w:val="auto"/>
          <w:sz w:val="32"/>
          <w:szCs w:val="32"/>
          <w:highlight w:val="none"/>
        </w:rPr>
      </w:pPr>
      <w:r>
        <w:rPr>
          <w:rFonts w:hint="eastAsia" w:ascii="仿宋_GB2312" w:hAnsi="仿宋_GB2312" w:eastAsia="仿宋_GB2312" w:cs="仿宋_GB2312"/>
          <w:b/>
          <w:bCs w:val="0"/>
          <w:color w:val="auto"/>
          <w:sz w:val="32"/>
          <w:szCs w:val="32"/>
          <w:highlight w:val="none"/>
        </w:rPr>
        <w:t>不符合程度：一般</w:t>
      </w:r>
    </w:p>
    <w:p>
      <w:pPr>
        <w:pStyle w:val="2"/>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rPr>
        <w:t>注：常用的水带内径为50mm和65mm，其他规格不测该项目。</w:t>
      </w:r>
    </w:p>
    <w:p>
      <w:pPr>
        <w:keepNext w:val="0"/>
        <w:keepLines w:val="0"/>
        <w:pageBreakBefore w:val="0"/>
        <w:widowControl/>
        <w:kinsoku/>
        <w:wordWrap/>
        <w:overflowPunct/>
        <w:topLinePunct w:val="0"/>
        <w:autoSpaceDE/>
        <w:autoSpaceDN/>
        <w:bidi w:val="0"/>
        <w:spacing w:line="560" w:lineRule="exact"/>
        <w:ind w:firstLine="642" w:firstLineChars="200"/>
        <w:jc w:val="left"/>
        <w:textAlignment w:val="center"/>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2.标志</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检测方法：目测检查水带标志。</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判定依据：GB 6246-2011第7.1.1条款，湿水带应以黑色线作带身中心线，其余水带应以其他有色线作带身中心线，在端部附近中心线两侧应用不易脱落的油墨，清晰地印有下列标志内容：</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a）产品名称；</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b）规格型号；</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c）生产厂名；</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d）注册商标；</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rPr>
        <w:t>e）生产日期。</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bCs w:val="0"/>
          <w:color w:val="auto"/>
          <w:sz w:val="32"/>
          <w:szCs w:val="32"/>
          <w:highlight w:val="none"/>
        </w:rPr>
      </w:pPr>
      <w:r>
        <w:rPr>
          <w:rFonts w:hint="eastAsia" w:ascii="仿宋_GB2312" w:hAnsi="仿宋_GB2312" w:eastAsia="仿宋_GB2312" w:cs="仿宋_GB2312"/>
          <w:b/>
          <w:bCs w:val="0"/>
          <w:color w:val="auto"/>
          <w:sz w:val="32"/>
          <w:szCs w:val="32"/>
          <w:highlight w:val="none"/>
        </w:rPr>
        <w:t>不符合程度：一般</w:t>
      </w:r>
    </w:p>
    <w:p>
      <w:pPr>
        <w:pStyle w:val="2"/>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注：湿水带为水带经向均匀分布金属排水孔，普通的水带无排水孔。</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（三）消防水枪</w:t>
      </w:r>
    </w:p>
    <w:p>
      <w:pPr>
        <w:keepNext w:val="0"/>
        <w:keepLines w:val="0"/>
        <w:pageBreakBefore w:val="0"/>
        <w:widowControl/>
        <w:kinsoku/>
        <w:wordWrap/>
        <w:overflowPunct/>
        <w:topLinePunct w:val="0"/>
        <w:autoSpaceDE/>
        <w:autoSpaceDN/>
        <w:bidi w:val="0"/>
        <w:spacing w:line="560" w:lineRule="exact"/>
        <w:ind w:firstLine="642" w:firstLineChars="200"/>
        <w:jc w:val="left"/>
        <w:textAlignment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1.表面质量</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sz w:val="32"/>
          <w:szCs w:val="32"/>
          <w:highlight w:val="none"/>
        </w:rPr>
        <w:t>检测方法：目测检查消防水枪表面质量。</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判定依据：</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GB 8181-2005第5.7条款，铸件表面应无结疤、裂纹及孔眼。铝制件表面须作阳极氧化处理。</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GB 8181-2025第5.9条款，水枪表面应无结疤、裂纹及孔眼，铝制件表面应作阳极氧化处理或其他方式的防腐处理。</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bCs w:val="0"/>
          <w:color w:val="auto"/>
          <w:sz w:val="32"/>
          <w:szCs w:val="32"/>
          <w:highlight w:val="none"/>
        </w:rPr>
      </w:pPr>
      <w:r>
        <w:rPr>
          <w:rFonts w:hint="eastAsia" w:ascii="仿宋_GB2312" w:hAnsi="仿宋_GB2312" w:eastAsia="仿宋_GB2312" w:cs="仿宋_GB2312"/>
          <w:b/>
          <w:bCs w:val="0"/>
          <w:color w:val="auto"/>
          <w:sz w:val="32"/>
          <w:szCs w:val="32"/>
          <w:highlight w:val="none"/>
        </w:rPr>
        <w:t>不符合程度：一般</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注：消防水枪表面处理工艺主要为镀锌和喷涂，检测时，有以上两种工艺的水枪，同时表面无结疤、裂纹及孔眼，满足标准要求。</w:t>
      </w:r>
    </w:p>
    <w:p>
      <w:pPr>
        <w:keepNext w:val="0"/>
        <w:keepLines w:val="0"/>
        <w:pageBreakBefore w:val="0"/>
        <w:widowControl/>
        <w:kinsoku/>
        <w:wordWrap/>
        <w:overflowPunct/>
        <w:topLinePunct w:val="0"/>
        <w:autoSpaceDE/>
        <w:autoSpaceDN/>
        <w:bidi w:val="0"/>
        <w:spacing w:line="560" w:lineRule="exact"/>
        <w:ind w:firstLine="642" w:firstLineChars="200"/>
        <w:jc w:val="left"/>
        <w:textAlignment w:val="center"/>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2.螺纹</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检测方法：目测检查消防水枪管牙接口处的管螺纹。</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判定依据：</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GB 8181-2005第5.6条款，螺纹应无缺牙，表面应光洁。</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GB 8181-2025第5.8条款，水枪上的螺纹除与管牙接口连接部分使用圆柱管螺纹外，其余均应为普通螺纹；螺纹应无缺牙，表面应光洁。</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bCs w:val="0"/>
          <w:color w:val="auto"/>
          <w:sz w:val="32"/>
          <w:szCs w:val="32"/>
          <w:highlight w:val="none"/>
        </w:rPr>
      </w:pPr>
      <w:r>
        <w:rPr>
          <w:rFonts w:hint="eastAsia" w:ascii="仿宋_GB2312" w:hAnsi="仿宋_GB2312" w:eastAsia="仿宋_GB2312" w:cs="仿宋_GB2312"/>
          <w:b/>
          <w:bCs w:val="0"/>
          <w:color w:val="auto"/>
          <w:sz w:val="32"/>
          <w:szCs w:val="32"/>
          <w:highlight w:val="none"/>
        </w:rPr>
        <w:t>不符合程度：一般</w:t>
      </w:r>
    </w:p>
    <w:p>
      <w:pPr>
        <w:pStyle w:val="2"/>
        <w:keepNext w:val="0"/>
        <w:keepLines w:val="0"/>
        <w:pageBreakBefore w:val="0"/>
        <w:kinsoku/>
        <w:wordWrap/>
        <w:overflowPunct/>
        <w:topLinePunct w:val="0"/>
        <w:autoSpaceDE/>
        <w:autoSpaceDN/>
        <w:bidi w:val="0"/>
        <w:spacing w:line="560" w:lineRule="exact"/>
        <w:ind w:firstLine="642" w:firstLineChars="200"/>
        <w:jc w:val="left"/>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3.标志</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检测方法：目测检查水枪标志。</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判定依据：GB 8181-2005第8.1条款：</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（1）水枪上应牢固标有型号、商标或厂名。</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（2）水枪应有射流形态改变的易辨认的永久性指示标记。</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（3）第Ⅲ类直流喷雾水枪应有流量刻度值（以L/s为单位）的永久性标记，第Ⅳ类直流喷雾水枪应有流量（以L/s为单位）使用范围的永久性标记。</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Cs/>
          <w:color w:val="auto"/>
          <w:sz w:val="32"/>
          <w:szCs w:val="32"/>
          <w:highlight w:val="none"/>
        </w:rPr>
        <w:t>判定依据：GB 8181-2025第8.1条款：</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Cs/>
          <w:color w:val="000000" w:themeColor="text1"/>
          <w:sz w:val="32"/>
          <w:szCs w:val="32"/>
          <w:highlight w:val="none"/>
          <w14:textFill>
            <w14:solidFill>
              <w14:schemeClr w14:val="tx1"/>
            </w14:solidFill>
          </w14:textFill>
        </w:rPr>
        <w:t>（1）水枪上应有型号、商标或厂名的永久性标记。</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Cs/>
          <w:color w:val="000000" w:themeColor="text1"/>
          <w:sz w:val="32"/>
          <w:szCs w:val="32"/>
          <w:highlight w:val="none"/>
          <w14:textFill>
            <w14:solidFill>
              <w14:schemeClr w14:val="tx1"/>
            </w14:solidFill>
          </w14:textFill>
        </w:rPr>
        <w:t>（2）水枪应有射流形态改变的易辨认的永久性指示标记。</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Cs/>
          <w:color w:val="000000" w:themeColor="text1"/>
          <w:sz w:val="32"/>
          <w:szCs w:val="32"/>
          <w:highlight w:val="none"/>
          <w14:textFill>
            <w14:solidFill>
              <w14:schemeClr w14:val="tx1"/>
            </w14:solidFill>
          </w14:textFill>
        </w:rPr>
        <w:t>（3）第Ⅲ类直流喷雾水枪应有流量刻度值（以L/s为单位）的永久性标记，第Ⅳ类直流喷雾水枪应有流量（以L/s为单位）使用范围的永久性标记。第V类直流喷雾水枪应有压力(单位为10</w:t>
      </w:r>
      <w:r>
        <w:rPr>
          <w:rFonts w:hint="eastAsia" w:ascii="仿宋_GB2312" w:hAnsi="仿宋_GB2312" w:eastAsia="仿宋_GB2312" w:cs="仿宋_GB2312"/>
          <w:bCs/>
          <w:color w:val="000000" w:themeColor="text1"/>
          <w:sz w:val="32"/>
          <w:szCs w:val="32"/>
          <w:highlight w:val="none"/>
          <w:vertAlign w:val="superscript"/>
          <w14:textFill>
            <w14:solidFill>
              <w14:schemeClr w14:val="tx1"/>
            </w14:solidFill>
          </w14:textFill>
        </w:rPr>
        <w:t>5</w:t>
      </w:r>
      <w:r>
        <w:rPr>
          <w:rFonts w:hint="eastAsia" w:ascii="仿宋_GB2312" w:hAnsi="仿宋_GB2312" w:eastAsia="仿宋_GB2312" w:cs="仿宋_GB2312"/>
          <w:bCs/>
          <w:color w:val="000000" w:themeColor="text1"/>
          <w:sz w:val="32"/>
          <w:szCs w:val="32"/>
          <w:highlight w:val="none"/>
          <w14:textFill>
            <w14:solidFill>
              <w14:schemeClr w14:val="tx1"/>
            </w14:solidFill>
          </w14:textFill>
        </w:rPr>
        <w:t>Pa)使用范围刻度值的永久性标记。</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bCs w:val="0"/>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val="0"/>
          <w:color w:val="000000" w:themeColor="text1"/>
          <w:sz w:val="32"/>
          <w:szCs w:val="32"/>
          <w:highlight w:val="none"/>
          <w14:textFill>
            <w14:solidFill>
              <w14:schemeClr w14:val="tx1"/>
            </w14:solidFill>
          </w14:textFill>
        </w:rPr>
        <w:t>不符合程度：一般</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Cs/>
          <w:color w:val="000000" w:themeColor="text1"/>
          <w:sz w:val="32"/>
          <w:szCs w:val="32"/>
          <w:highlight w:val="none"/>
          <w14:textFill>
            <w14:solidFill>
              <w14:schemeClr w14:val="tx1"/>
            </w14:solidFill>
          </w14:textFill>
        </w:rPr>
        <w:t>注：序号(3)不适用于直流水枪（型号代号：QZ、QZG）。</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（四）室内消火栓</w:t>
      </w:r>
    </w:p>
    <w:p>
      <w:pPr>
        <w:keepNext w:val="0"/>
        <w:keepLines w:val="0"/>
        <w:pageBreakBefore w:val="0"/>
        <w:widowControl/>
        <w:kinsoku/>
        <w:wordWrap/>
        <w:overflowPunct/>
        <w:topLinePunct w:val="0"/>
        <w:autoSpaceDE/>
        <w:autoSpaceDN/>
        <w:bidi w:val="0"/>
        <w:spacing w:line="560" w:lineRule="exact"/>
        <w:ind w:firstLine="642" w:firstLineChars="200"/>
        <w:jc w:val="left"/>
        <w:textAlignment w:val="center"/>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1.外观质量</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检测方法：目测检查室内消火栓外观。</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判定依据：GB 3445-2018第5.1条款：</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（1）铸件表面应无结疤、毛刺、裂纹和缩孔等缺陷。</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（2）铸铁阀体外部应涂红色漆；内表面应涂防锈漆或采用其他防腐处理；手轮应涂黑色漆。</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（3）外部漆膜应光滑、平整、色泽一致，无气泡、流痕、皱纹等缺陷，无明显碰、划等现象。</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bCs w:val="0"/>
          <w:color w:val="000000" w:themeColor="text1"/>
          <w:sz w:val="32"/>
          <w:szCs w:val="32"/>
          <w14:textFill>
            <w14:solidFill>
              <w14:schemeClr w14:val="tx1"/>
            </w14:solidFill>
          </w14:textFill>
        </w:rPr>
      </w:pPr>
      <w:r>
        <w:rPr>
          <w:rFonts w:hint="eastAsia" w:ascii="仿宋_GB2312" w:hAnsi="仿宋_GB2312" w:eastAsia="仿宋_GB2312" w:cs="仿宋_GB2312"/>
          <w:b/>
          <w:bCs w:val="0"/>
          <w:color w:val="000000" w:themeColor="text1"/>
          <w:sz w:val="32"/>
          <w:szCs w:val="32"/>
          <w14:textFill>
            <w14:solidFill>
              <w14:schemeClr w14:val="tx1"/>
            </w14:solidFill>
          </w14:textFill>
        </w:rPr>
        <w:t>不符合程度：一般</w:t>
      </w:r>
    </w:p>
    <w:p>
      <w:pPr>
        <w:keepNext w:val="0"/>
        <w:keepLines w:val="0"/>
        <w:pageBreakBefore w:val="0"/>
        <w:widowControl/>
        <w:kinsoku/>
        <w:wordWrap/>
        <w:overflowPunct/>
        <w:topLinePunct w:val="0"/>
        <w:autoSpaceDE/>
        <w:autoSpaceDN/>
        <w:bidi w:val="0"/>
        <w:spacing w:line="560" w:lineRule="exact"/>
        <w:ind w:firstLine="642" w:firstLineChars="200"/>
        <w:jc w:val="left"/>
        <w:textAlignment w:val="center"/>
        <w:rPr>
          <w:rFonts w:hint="eastAsia" w:ascii="仿宋_GB2312" w:hAnsi="仿宋_GB2312" w:eastAsia="仿宋_GB2312" w:cs="仿宋_GB2312"/>
          <w:b/>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2.开启高度</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检测方法：拆掉手轮，室内消火栓放在水平桌面上，使用扳手调整螺杆，使阀瓣从关闭位置至最大开启位置，测量两点的高度，并计算高度差为消火栓的开启高度。</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 xml:space="preserve">判定依据：GB 3445-2018第5.9条款，室内消火栓开启高度应不小于1/3D(D为公称通径)。 </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bCs w:val="0"/>
          <w:color w:val="000000" w:themeColor="text1"/>
          <w:sz w:val="32"/>
          <w:szCs w:val="32"/>
          <w14:textFill>
            <w14:solidFill>
              <w14:schemeClr w14:val="tx1"/>
            </w14:solidFill>
          </w14:textFill>
        </w:rPr>
      </w:pPr>
      <w:r>
        <w:rPr>
          <w:rFonts w:hint="eastAsia" w:ascii="仿宋_GB2312" w:hAnsi="仿宋_GB2312" w:eastAsia="仿宋_GB2312" w:cs="仿宋_GB2312"/>
          <w:b/>
          <w:bCs w:val="0"/>
          <w:color w:val="000000" w:themeColor="text1"/>
          <w:sz w:val="32"/>
          <w:szCs w:val="32"/>
          <w14:textFill>
            <w14:solidFill>
              <w14:schemeClr w14:val="tx1"/>
            </w14:solidFill>
          </w14:textFill>
        </w:rPr>
        <w:t>不符合程度：一般</w:t>
      </w:r>
    </w:p>
    <w:p>
      <w:pPr>
        <w:pStyle w:val="2"/>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注：适用该项目的室内消火栓主流型号为SN、SNZ，根据其公称通径不同，计算DN65和DN50，其要求值计算后分别为21.7mm和16.7mm。</w:t>
      </w:r>
    </w:p>
    <w:p>
      <w:pPr>
        <w:pStyle w:val="2"/>
        <w:keepNext w:val="0"/>
        <w:keepLines w:val="0"/>
        <w:pageBreakBefore w:val="0"/>
        <w:kinsoku/>
        <w:wordWrap/>
        <w:overflowPunct/>
        <w:topLinePunct w:val="0"/>
        <w:autoSpaceDE/>
        <w:autoSpaceDN/>
        <w:bidi w:val="0"/>
        <w:spacing w:line="560" w:lineRule="exact"/>
        <w:ind w:firstLine="642" w:firstLineChars="200"/>
        <w:jc w:val="left"/>
        <w:rPr>
          <w:rFonts w:hint="eastAsia" w:ascii="仿宋_GB2312" w:hAnsi="仿宋_GB2312" w:eastAsia="仿宋_GB2312" w:cs="仿宋_GB2312"/>
          <w:b/>
          <w:color w:val="000000" w:themeColor="text1"/>
          <w:sz w:val="32"/>
          <w:szCs w:val="32"/>
          <w:highlight w:val="none"/>
          <w14:textFill>
            <w14:solidFill>
              <w14:schemeClr w14:val="tx1"/>
            </w14:solidFill>
          </w14:textFill>
        </w:rPr>
      </w:pPr>
      <w:r>
        <w:rPr>
          <w:rFonts w:hint="eastAsia" w:ascii="仿宋_GB2312" w:hAnsi="仿宋_GB2312" w:eastAsia="仿宋_GB2312" w:cs="仿宋_GB2312"/>
          <w:b/>
          <w:color w:val="000000" w:themeColor="text1"/>
          <w:sz w:val="32"/>
          <w:szCs w:val="32"/>
          <w:highlight w:val="none"/>
          <w14:textFill>
            <w14:solidFill>
              <w14:schemeClr w14:val="tx1"/>
            </w14:solidFill>
          </w14:textFill>
        </w:rPr>
        <w:t>3.标志</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Cs/>
          <w:color w:val="000000" w:themeColor="text1"/>
          <w:sz w:val="32"/>
          <w:szCs w:val="32"/>
          <w:highlight w:val="none"/>
          <w14:textFill>
            <w14:solidFill>
              <w14:schemeClr w14:val="tx1"/>
            </w14:solidFill>
          </w14:textFill>
        </w:rPr>
        <w:t>检测方法：目测标志是否符合要求。</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Cs/>
          <w:color w:val="000000" w:themeColor="text1"/>
          <w:sz w:val="32"/>
          <w:szCs w:val="32"/>
          <w:highlight w:val="none"/>
          <w14:textFill>
            <w14:solidFill>
              <w14:schemeClr w14:val="tx1"/>
            </w14:solidFill>
          </w14:textFill>
        </w:rPr>
        <w:t>判定依据：GB 3445-2018第9.1.1条款，在每只产品的阀体或阀盖上应铸出型号、规格、商标或厂名，如果在阀体六方处标注应以凹字形铸出。文字、符号、图形等应直观、醒目。</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bCs w:val="0"/>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val="0"/>
          <w:color w:val="000000" w:themeColor="text1"/>
          <w:sz w:val="32"/>
          <w:szCs w:val="32"/>
          <w:highlight w:val="none"/>
          <w14:textFill>
            <w14:solidFill>
              <w14:schemeClr w14:val="tx1"/>
            </w14:solidFill>
          </w14:textFill>
        </w:rPr>
        <w:t>不符合程度：一般</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（五）消防应急灯具及疏散指示灯具</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1.CCC有效性核验</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检测方法：目测有无CCC标识，强制性产品认证目录内产品应有正确的CCC标志；登录全国认证认可信息公共服务平台查询CCC证书状态，CCC证书状态应有效。</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判定依据：《强制性产品认证管理规定》</w:t>
      </w:r>
      <w:r>
        <w:rPr>
          <w:rFonts w:hint="eastAsia" w:ascii="仿宋_GB2312" w:hAnsi="仿宋_GB2312" w:eastAsia="仿宋_GB2312" w:cs="仿宋_GB2312"/>
          <w:sz w:val="32"/>
          <w:szCs w:val="32"/>
          <w:highlight w:val="none"/>
        </w:rPr>
        <w:t>（2022年国家市场监督管理总局令第61号修订）、《强制性产品认证目录描述与界定表（2023年修订）》（2023年第36号）</w:t>
      </w:r>
      <w:r>
        <w:rPr>
          <w:rFonts w:hint="eastAsia" w:ascii="仿宋_GB2312" w:hAnsi="仿宋_GB2312" w:eastAsia="仿宋_GB2312" w:cs="仿宋_GB2312"/>
          <w:bCs/>
          <w:sz w:val="32"/>
          <w:szCs w:val="32"/>
          <w:highlight w:val="none"/>
        </w:rPr>
        <w:t>。</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bCs w:val="0"/>
          <w:sz w:val="32"/>
          <w:szCs w:val="32"/>
          <w:highlight w:val="none"/>
        </w:rPr>
      </w:pPr>
      <w:r>
        <w:rPr>
          <w:rFonts w:hint="eastAsia" w:ascii="仿宋_GB2312" w:hAnsi="仿宋_GB2312" w:eastAsia="仿宋_GB2312" w:cs="仿宋_GB2312"/>
          <w:b/>
          <w:bCs w:val="0"/>
          <w:sz w:val="32"/>
          <w:szCs w:val="32"/>
          <w:highlight w:val="none"/>
        </w:rPr>
        <w:t>不符合程度：严重</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2.标志</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检测方法：GB 17945-2024第8章目测检查。</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判定依据：GB 17945-2024第8章。</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bCs w:val="0"/>
          <w:sz w:val="32"/>
          <w:szCs w:val="32"/>
          <w:highlight w:val="none"/>
        </w:rPr>
      </w:pPr>
      <w:r>
        <w:rPr>
          <w:rFonts w:hint="eastAsia" w:ascii="仿宋_GB2312" w:hAnsi="仿宋_GB2312" w:eastAsia="仿宋_GB2312" w:cs="仿宋_GB2312"/>
          <w:b/>
          <w:bCs w:val="0"/>
          <w:sz w:val="32"/>
          <w:szCs w:val="32"/>
          <w:highlight w:val="none"/>
        </w:rPr>
        <w:t>不符合程度：一般</w:t>
      </w:r>
    </w:p>
    <w:p>
      <w:pPr>
        <w:keepNext w:val="0"/>
        <w:keepLines w:val="0"/>
        <w:pageBreakBefore w:val="0"/>
        <w:kinsoku/>
        <w:wordWrap/>
        <w:overflowPunct/>
        <w:topLinePunct w:val="0"/>
        <w:autoSpaceDE/>
        <w:autoSpaceDN/>
        <w:bidi w:val="0"/>
        <w:snapToGrid w:val="0"/>
        <w:spacing w:line="560" w:lineRule="exact"/>
        <w:ind w:firstLine="642" w:firstLineChars="200"/>
        <w:jc w:val="left"/>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3.外部接线</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检测方法：参照GB 17945-2024第5.3.3.1条，目测外部接线标称横截面积。</w:t>
      </w:r>
    </w:p>
    <w:p>
      <w:pPr>
        <w:keepNext w:val="0"/>
        <w:keepLines w:val="0"/>
        <w:pageBreakBefore w:val="0"/>
        <w:kinsoku/>
        <w:wordWrap/>
        <w:overflowPunct/>
        <w:topLinePunct w:val="0"/>
        <w:autoSpaceDE/>
        <w:autoSpaceDN/>
        <w:bidi w:val="0"/>
        <w:snapToGrid w:val="0"/>
        <w:spacing w:line="560" w:lineRule="exact"/>
        <w:ind w:firstLine="640" w:firstLineChars="200"/>
        <w:jc w:val="left"/>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判定依据:外部接线标称横截面积应符合GB 17945-2024第5.3.3.1条。</w:t>
      </w:r>
    </w:p>
    <w:p>
      <w:pPr>
        <w:pStyle w:val="2"/>
        <w:keepNext w:val="0"/>
        <w:keepLines w:val="0"/>
        <w:pageBreakBefore w:val="0"/>
        <w:kinsoku/>
        <w:wordWrap/>
        <w:overflowPunct/>
        <w:topLinePunct w:val="0"/>
        <w:autoSpaceDE/>
        <w:autoSpaceDN/>
        <w:bidi w:val="0"/>
        <w:spacing w:line="560" w:lineRule="exact"/>
        <w:ind w:firstLine="642" w:firstLineChars="200"/>
        <w:jc w:val="left"/>
        <w:rPr>
          <w:rFonts w:hint="eastAsia" w:ascii="仿宋_GB2312" w:hAnsi="仿宋_GB2312" w:eastAsia="仿宋_GB2312" w:cs="仿宋_GB2312"/>
          <w:b/>
          <w:bCs w:val="0"/>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val="0"/>
          <w:sz w:val="32"/>
          <w:szCs w:val="32"/>
          <w:highlight w:val="none"/>
        </w:rPr>
        <w:t>不符合程度：一般</w:t>
      </w:r>
    </w:p>
    <w:p>
      <w:pPr>
        <w:snapToGrid w:val="0"/>
        <w:spacing w:line="360" w:lineRule="auto"/>
        <w:ind w:firstLine="560" w:firstLineChars="200"/>
        <w:rPr>
          <w:rFonts w:ascii="仿宋_GB2312" w:hAnsi="宋体"/>
          <w:color w:val="000000" w:themeColor="text1"/>
          <w:sz w:val="28"/>
          <w:szCs w:val="28"/>
          <w:highlight w:val="none"/>
          <w14:textFill>
            <w14:solidFill>
              <w14:schemeClr w14:val="tx1"/>
            </w14:solidFill>
          </w14:textFill>
        </w:rPr>
      </w:pP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4YTZkYzgzMzBhZGJkNmFlYWIxNDRjMGRkYmQwYjQifQ=="/>
  </w:docVars>
  <w:rsids>
    <w:rsidRoot w:val="54642583"/>
    <w:rsid w:val="00000532"/>
    <w:rsid w:val="000533C0"/>
    <w:rsid w:val="00062128"/>
    <w:rsid w:val="000920B2"/>
    <w:rsid w:val="000A232E"/>
    <w:rsid w:val="000B00F0"/>
    <w:rsid w:val="000B323A"/>
    <w:rsid w:val="000B7CB8"/>
    <w:rsid w:val="000D3C82"/>
    <w:rsid w:val="000E67BE"/>
    <w:rsid w:val="000F6D61"/>
    <w:rsid w:val="00111E80"/>
    <w:rsid w:val="00113D06"/>
    <w:rsid w:val="00114A45"/>
    <w:rsid w:val="001B7053"/>
    <w:rsid w:val="001E7AED"/>
    <w:rsid w:val="00223905"/>
    <w:rsid w:val="00267D81"/>
    <w:rsid w:val="00274925"/>
    <w:rsid w:val="00291605"/>
    <w:rsid w:val="00294801"/>
    <w:rsid w:val="002A5C48"/>
    <w:rsid w:val="002B6CD8"/>
    <w:rsid w:val="002C7ED2"/>
    <w:rsid w:val="002D0DF3"/>
    <w:rsid w:val="002E5EC2"/>
    <w:rsid w:val="00300F34"/>
    <w:rsid w:val="003126EB"/>
    <w:rsid w:val="00320BA7"/>
    <w:rsid w:val="00342ADB"/>
    <w:rsid w:val="00347CFC"/>
    <w:rsid w:val="003537F0"/>
    <w:rsid w:val="00394E8D"/>
    <w:rsid w:val="003A3449"/>
    <w:rsid w:val="003A729C"/>
    <w:rsid w:val="003C55CA"/>
    <w:rsid w:val="003D0A88"/>
    <w:rsid w:val="003E0036"/>
    <w:rsid w:val="003E2A5C"/>
    <w:rsid w:val="003F387E"/>
    <w:rsid w:val="003F39E9"/>
    <w:rsid w:val="0041145C"/>
    <w:rsid w:val="00433C9C"/>
    <w:rsid w:val="00440A96"/>
    <w:rsid w:val="00443511"/>
    <w:rsid w:val="00451011"/>
    <w:rsid w:val="004703B1"/>
    <w:rsid w:val="00476272"/>
    <w:rsid w:val="0048141C"/>
    <w:rsid w:val="00495CB7"/>
    <w:rsid w:val="004A305B"/>
    <w:rsid w:val="004B3373"/>
    <w:rsid w:val="004B618E"/>
    <w:rsid w:val="004E6BDA"/>
    <w:rsid w:val="004F2655"/>
    <w:rsid w:val="00513EBE"/>
    <w:rsid w:val="00514AF0"/>
    <w:rsid w:val="00561217"/>
    <w:rsid w:val="005775B5"/>
    <w:rsid w:val="005A0AE1"/>
    <w:rsid w:val="005F16BB"/>
    <w:rsid w:val="006160FD"/>
    <w:rsid w:val="00632FF9"/>
    <w:rsid w:val="006575B8"/>
    <w:rsid w:val="00665143"/>
    <w:rsid w:val="00683678"/>
    <w:rsid w:val="006A4B05"/>
    <w:rsid w:val="006D4BF1"/>
    <w:rsid w:val="00721E6C"/>
    <w:rsid w:val="007540D9"/>
    <w:rsid w:val="00767980"/>
    <w:rsid w:val="007B33DC"/>
    <w:rsid w:val="007C3C29"/>
    <w:rsid w:val="007E18B7"/>
    <w:rsid w:val="008067C4"/>
    <w:rsid w:val="00831F3E"/>
    <w:rsid w:val="00872A71"/>
    <w:rsid w:val="00880D42"/>
    <w:rsid w:val="008D2F93"/>
    <w:rsid w:val="009133AD"/>
    <w:rsid w:val="009236C5"/>
    <w:rsid w:val="00951E8D"/>
    <w:rsid w:val="00965525"/>
    <w:rsid w:val="00976AB2"/>
    <w:rsid w:val="009D2C3A"/>
    <w:rsid w:val="009F12C5"/>
    <w:rsid w:val="009F26B4"/>
    <w:rsid w:val="00A16ED5"/>
    <w:rsid w:val="00A17A99"/>
    <w:rsid w:val="00A472FA"/>
    <w:rsid w:val="00A50675"/>
    <w:rsid w:val="00A9636E"/>
    <w:rsid w:val="00AA21F7"/>
    <w:rsid w:val="00AA2F87"/>
    <w:rsid w:val="00AE52C2"/>
    <w:rsid w:val="00AE6881"/>
    <w:rsid w:val="00B669A5"/>
    <w:rsid w:val="00B7712E"/>
    <w:rsid w:val="00B94DA1"/>
    <w:rsid w:val="00B976CD"/>
    <w:rsid w:val="00BC3685"/>
    <w:rsid w:val="00BE62FC"/>
    <w:rsid w:val="00C23B42"/>
    <w:rsid w:val="00C32C9E"/>
    <w:rsid w:val="00C46171"/>
    <w:rsid w:val="00C73635"/>
    <w:rsid w:val="00C813B0"/>
    <w:rsid w:val="00C9048B"/>
    <w:rsid w:val="00CC1AF5"/>
    <w:rsid w:val="00CD396E"/>
    <w:rsid w:val="00CE4848"/>
    <w:rsid w:val="00CF312D"/>
    <w:rsid w:val="00D07BE1"/>
    <w:rsid w:val="00D24CD4"/>
    <w:rsid w:val="00D27EB5"/>
    <w:rsid w:val="00D33DB6"/>
    <w:rsid w:val="00D37B33"/>
    <w:rsid w:val="00D44F55"/>
    <w:rsid w:val="00D9362B"/>
    <w:rsid w:val="00DC3DD4"/>
    <w:rsid w:val="00DD397A"/>
    <w:rsid w:val="00DD5AFE"/>
    <w:rsid w:val="00DD7033"/>
    <w:rsid w:val="00E2707B"/>
    <w:rsid w:val="00E3002B"/>
    <w:rsid w:val="00E44796"/>
    <w:rsid w:val="00E5033D"/>
    <w:rsid w:val="00E56C6E"/>
    <w:rsid w:val="00E576E1"/>
    <w:rsid w:val="00E57A85"/>
    <w:rsid w:val="00E7393E"/>
    <w:rsid w:val="00EC1288"/>
    <w:rsid w:val="00ED0532"/>
    <w:rsid w:val="00EE4066"/>
    <w:rsid w:val="00F10CEF"/>
    <w:rsid w:val="00F113C6"/>
    <w:rsid w:val="00F66ABE"/>
    <w:rsid w:val="00F70FCF"/>
    <w:rsid w:val="00F8115E"/>
    <w:rsid w:val="00F965AE"/>
    <w:rsid w:val="00FA3204"/>
    <w:rsid w:val="00FB2AB8"/>
    <w:rsid w:val="00FE2213"/>
    <w:rsid w:val="00FE3F36"/>
    <w:rsid w:val="0191162C"/>
    <w:rsid w:val="02671768"/>
    <w:rsid w:val="03F46520"/>
    <w:rsid w:val="041833FF"/>
    <w:rsid w:val="048B5DFE"/>
    <w:rsid w:val="05DB5E7A"/>
    <w:rsid w:val="06AC342E"/>
    <w:rsid w:val="0748513F"/>
    <w:rsid w:val="082A74C0"/>
    <w:rsid w:val="0E044BE9"/>
    <w:rsid w:val="0EFB3A85"/>
    <w:rsid w:val="0F191B61"/>
    <w:rsid w:val="0F28108C"/>
    <w:rsid w:val="0FD113C5"/>
    <w:rsid w:val="10FE14EA"/>
    <w:rsid w:val="137B3E5E"/>
    <w:rsid w:val="14B720DC"/>
    <w:rsid w:val="15AD55F3"/>
    <w:rsid w:val="17DB07D7"/>
    <w:rsid w:val="17E05A87"/>
    <w:rsid w:val="1DD81AF3"/>
    <w:rsid w:val="1EBD4792"/>
    <w:rsid w:val="1F3E7AE5"/>
    <w:rsid w:val="1F5C28EB"/>
    <w:rsid w:val="204B6546"/>
    <w:rsid w:val="20EB42D4"/>
    <w:rsid w:val="21DA0C20"/>
    <w:rsid w:val="23977CA8"/>
    <w:rsid w:val="23AE1E76"/>
    <w:rsid w:val="23F54C0E"/>
    <w:rsid w:val="26064C71"/>
    <w:rsid w:val="27A40BE5"/>
    <w:rsid w:val="2896188D"/>
    <w:rsid w:val="2BDC6A12"/>
    <w:rsid w:val="2C324A12"/>
    <w:rsid w:val="2C4958B7"/>
    <w:rsid w:val="2D720E3E"/>
    <w:rsid w:val="2D8C0AA2"/>
    <w:rsid w:val="2EB91F2E"/>
    <w:rsid w:val="2EF83345"/>
    <w:rsid w:val="2F374CCD"/>
    <w:rsid w:val="2F5124B7"/>
    <w:rsid w:val="2F594063"/>
    <w:rsid w:val="2FBE2573"/>
    <w:rsid w:val="310C205E"/>
    <w:rsid w:val="344530D1"/>
    <w:rsid w:val="34640B54"/>
    <w:rsid w:val="34E963BC"/>
    <w:rsid w:val="36EA01E0"/>
    <w:rsid w:val="372E4361"/>
    <w:rsid w:val="37326FB3"/>
    <w:rsid w:val="38BC2101"/>
    <w:rsid w:val="39575C10"/>
    <w:rsid w:val="3AEB67BC"/>
    <w:rsid w:val="3BEECA31"/>
    <w:rsid w:val="3C124BE0"/>
    <w:rsid w:val="3DDF1487"/>
    <w:rsid w:val="3E0758A2"/>
    <w:rsid w:val="3E7D61E5"/>
    <w:rsid w:val="3E9038D6"/>
    <w:rsid w:val="3FBD419A"/>
    <w:rsid w:val="40AD06B3"/>
    <w:rsid w:val="42D57A4D"/>
    <w:rsid w:val="42DF267A"/>
    <w:rsid w:val="439320E0"/>
    <w:rsid w:val="43CD5E3B"/>
    <w:rsid w:val="45800251"/>
    <w:rsid w:val="461A3EC4"/>
    <w:rsid w:val="47AC0DB0"/>
    <w:rsid w:val="48325D85"/>
    <w:rsid w:val="484418FD"/>
    <w:rsid w:val="4884619D"/>
    <w:rsid w:val="49282FCC"/>
    <w:rsid w:val="49464FCA"/>
    <w:rsid w:val="4A4D183F"/>
    <w:rsid w:val="4B215F25"/>
    <w:rsid w:val="4B375749"/>
    <w:rsid w:val="4C9F15AB"/>
    <w:rsid w:val="4D01600E"/>
    <w:rsid w:val="4D70162A"/>
    <w:rsid w:val="4E3F0D9E"/>
    <w:rsid w:val="4E663872"/>
    <w:rsid w:val="4E7C314A"/>
    <w:rsid w:val="4F787A9A"/>
    <w:rsid w:val="4F97F582"/>
    <w:rsid w:val="4FF16FE0"/>
    <w:rsid w:val="508A3A3E"/>
    <w:rsid w:val="51363DAD"/>
    <w:rsid w:val="52DB7AEF"/>
    <w:rsid w:val="5441224E"/>
    <w:rsid w:val="545F4D22"/>
    <w:rsid w:val="54642583"/>
    <w:rsid w:val="55152765"/>
    <w:rsid w:val="55A82D9F"/>
    <w:rsid w:val="55D22DCD"/>
    <w:rsid w:val="56D77DE0"/>
    <w:rsid w:val="57AB5D09"/>
    <w:rsid w:val="57F535D3"/>
    <w:rsid w:val="5D20714F"/>
    <w:rsid w:val="5D2E4C98"/>
    <w:rsid w:val="5E765360"/>
    <w:rsid w:val="6037544B"/>
    <w:rsid w:val="61111EF4"/>
    <w:rsid w:val="61DB1726"/>
    <w:rsid w:val="623B030A"/>
    <w:rsid w:val="640508D1"/>
    <w:rsid w:val="648B065B"/>
    <w:rsid w:val="65B67609"/>
    <w:rsid w:val="6629149A"/>
    <w:rsid w:val="66E520A5"/>
    <w:rsid w:val="672110A9"/>
    <w:rsid w:val="67227F7A"/>
    <w:rsid w:val="68E44D6F"/>
    <w:rsid w:val="69DE4405"/>
    <w:rsid w:val="69DFF6BE"/>
    <w:rsid w:val="6B1D5FA3"/>
    <w:rsid w:val="6D313C84"/>
    <w:rsid w:val="6FEFA28D"/>
    <w:rsid w:val="70E2483E"/>
    <w:rsid w:val="71703087"/>
    <w:rsid w:val="738D5656"/>
    <w:rsid w:val="73E060CE"/>
    <w:rsid w:val="75DA08FB"/>
    <w:rsid w:val="77275883"/>
    <w:rsid w:val="77762883"/>
    <w:rsid w:val="77F6220C"/>
    <w:rsid w:val="77F9150C"/>
    <w:rsid w:val="78112CFA"/>
    <w:rsid w:val="78AE679B"/>
    <w:rsid w:val="7A9B4318"/>
    <w:rsid w:val="7D060228"/>
    <w:rsid w:val="7D101227"/>
    <w:rsid w:val="7D5BD8F8"/>
    <w:rsid w:val="7DB33873"/>
    <w:rsid w:val="7EFDA264"/>
    <w:rsid w:val="7FBB53D3"/>
    <w:rsid w:val="7FF048F5"/>
    <w:rsid w:val="7FF71B6B"/>
    <w:rsid w:val="B5FF4D9D"/>
    <w:rsid w:val="DF7FFC98"/>
    <w:rsid w:val="DFBF06FD"/>
    <w:rsid w:val="DFFEBFDB"/>
    <w:rsid w:val="E9CB41C4"/>
    <w:rsid w:val="FC67B45A"/>
    <w:rsid w:val="FDFBC23A"/>
    <w:rsid w:val="FF9DBB8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qFormat="1" w:uiPriority="39" w:semiHidden="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4">
    <w:name w:val="heading 1"/>
    <w:basedOn w:val="1"/>
    <w:next w:val="1"/>
    <w:qFormat/>
    <w:uiPriority w:val="0"/>
    <w:pPr>
      <w:jc w:val="center"/>
      <w:outlineLvl w:val="0"/>
    </w:pPr>
    <w:rPr>
      <w:rFonts w:ascii="方正小标宋简体" w:eastAsia="方正小标宋简体"/>
      <w:kern w:val="44"/>
      <w:sz w:val="3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rPr>
      <w:sz w:val="28"/>
    </w:rPr>
  </w:style>
  <w:style w:type="paragraph" w:styleId="3">
    <w:name w:val="Body Text First Indent"/>
    <w:basedOn w:val="2"/>
    <w:qFormat/>
    <w:uiPriority w:val="0"/>
    <w:pPr>
      <w:ind w:firstLine="420" w:firstLineChars="100"/>
    </w:pPr>
  </w:style>
  <w:style w:type="paragraph" w:styleId="5">
    <w:name w:val="toc 7"/>
    <w:basedOn w:val="1"/>
    <w:next w:val="1"/>
    <w:unhideWhenUsed/>
    <w:qFormat/>
    <w:uiPriority w:val="39"/>
    <w:pPr>
      <w:ind w:left="2520" w:leftChars="1200"/>
    </w:pPr>
    <w:rPr>
      <w:rFonts w:ascii="Calibri" w:hAnsi="Calibri" w:eastAsia="宋体"/>
      <w:sz w:val="21"/>
      <w:szCs w:val="22"/>
    </w:rPr>
  </w:style>
  <w:style w:type="paragraph" w:styleId="6">
    <w:name w:val="annotation text"/>
    <w:basedOn w:val="1"/>
    <w:link w:val="25"/>
    <w:qFormat/>
    <w:uiPriority w:val="0"/>
    <w:pPr>
      <w:jc w:val="left"/>
    </w:pPr>
  </w:style>
  <w:style w:type="paragraph" w:styleId="7">
    <w:name w:val="Plain Text"/>
    <w:basedOn w:val="1"/>
    <w:link w:val="29"/>
    <w:qFormat/>
    <w:uiPriority w:val="99"/>
    <w:rPr>
      <w:rFonts w:ascii="宋体" w:hAnsi="Courier New" w:cs="宋体"/>
      <w:sz w:val="21"/>
      <w:szCs w:val="21"/>
    </w:rPr>
  </w:style>
  <w:style w:type="paragraph" w:styleId="8">
    <w:name w:val="Balloon Text"/>
    <w:basedOn w:val="1"/>
    <w:link w:val="27"/>
    <w:qFormat/>
    <w:uiPriority w:val="0"/>
    <w:rPr>
      <w:sz w:val="18"/>
      <w:szCs w:val="18"/>
    </w:rPr>
  </w:style>
  <w:style w:type="paragraph" w:styleId="9">
    <w:name w:val="footer"/>
    <w:basedOn w:val="1"/>
    <w:link w:val="23"/>
    <w:qFormat/>
    <w:uiPriority w:val="0"/>
    <w:pPr>
      <w:tabs>
        <w:tab w:val="center" w:pos="4153"/>
        <w:tab w:val="right" w:pos="8306"/>
      </w:tabs>
      <w:snapToGrid w:val="0"/>
      <w:jc w:val="left"/>
    </w:pPr>
    <w:rPr>
      <w:sz w:val="18"/>
      <w:szCs w:val="18"/>
    </w:rPr>
  </w:style>
  <w:style w:type="paragraph" w:styleId="10">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2">
    <w:name w:val="annotation subject"/>
    <w:basedOn w:val="6"/>
    <w:next w:val="6"/>
    <w:link w:val="26"/>
    <w:qFormat/>
    <w:uiPriority w:val="0"/>
    <w:rPr>
      <w:b/>
      <w:bCs/>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Hyperlink"/>
    <w:basedOn w:val="15"/>
    <w:semiHidden/>
    <w:unhideWhenUsed/>
    <w:qFormat/>
    <w:uiPriority w:val="0"/>
    <w:rPr>
      <w:color w:val="0000FF"/>
      <w:u w:val="single"/>
    </w:rPr>
  </w:style>
  <w:style w:type="character" w:styleId="17">
    <w:name w:val="annotation reference"/>
    <w:basedOn w:val="15"/>
    <w:qFormat/>
    <w:uiPriority w:val="0"/>
    <w:rPr>
      <w:sz w:val="21"/>
      <w:szCs w:val="21"/>
    </w:rPr>
  </w:style>
  <w:style w:type="paragraph" w:customStyle="1" w:styleId="18">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table" w:customStyle="1" w:styleId="19">
    <w:name w:val="Table Normal"/>
    <w:unhideWhenUsed/>
    <w:qFormat/>
    <w:uiPriority w:val="2"/>
    <w:tblPr>
      <w:tblCellMar>
        <w:top w:w="0" w:type="dxa"/>
        <w:left w:w="0" w:type="dxa"/>
        <w:bottom w:w="0" w:type="dxa"/>
        <w:right w:w="0" w:type="dxa"/>
      </w:tblCellMar>
    </w:tblPr>
  </w:style>
  <w:style w:type="paragraph" w:customStyle="1" w:styleId="20">
    <w:name w:val="Table Paragraph"/>
    <w:basedOn w:val="1"/>
    <w:qFormat/>
    <w:uiPriority w:val="1"/>
    <w:rPr>
      <w:sz w:val="30"/>
    </w:rPr>
  </w:style>
  <w:style w:type="paragraph" w:customStyle="1" w:styleId="21">
    <w:name w:val="目次、标准名称标题"/>
    <w:basedOn w:val="1"/>
    <w:next w:val="18"/>
    <w:qFormat/>
    <w:uiPriority w:val="0"/>
    <w:pPr>
      <w:keepNext/>
      <w:pageBreakBefore/>
      <w:widowControl/>
      <w:shd w:val="clear" w:color="FFFFFF" w:fill="FFFFFF"/>
      <w:spacing w:before="640" w:after="560" w:line="460" w:lineRule="exact"/>
      <w:jc w:val="center"/>
      <w:outlineLvl w:val="0"/>
    </w:pPr>
    <w:rPr>
      <w:rFonts w:ascii="黑体" w:eastAsia="黑体"/>
      <w:kern w:val="0"/>
      <w:sz w:val="30"/>
      <w:szCs w:val="20"/>
    </w:rPr>
  </w:style>
  <w:style w:type="character" w:customStyle="1" w:styleId="22">
    <w:name w:val="页眉 Char"/>
    <w:basedOn w:val="15"/>
    <w:link w:val="10"/>
    <w:qFormat/>
    <w:uiPriority w:val="0"/>
    <w:rPr>
      <w:rFonts w:ascii="Times New Roman" w:hAnsi="Times New Roman" w:eastAsia="仿宋_GB2312" w:cs="Times New Roman"/>
      <w:kern w:val="2"/>
      <w:sz w:val="18"/>
      <w:szCs w:val="18"/>
    </w:rPr>
  </w:style>
  <w:style w:type="character" w:customStyle="1" w:styleId="23">
    <w:name w:val="页脚 Char"/>
    <w:basedOn w:val="15"/>
    <w:link w:val="9"/>
    <w:qFormat/>
    <w:uiPriority w:val="0"/>
    <w:rPr>
      <w:rFonts w:ascii="Times New Roman" w:hAnsi="Times New Roman" w:eastAsia="仿宋_GB2312" w:cs="Times New Roman"/>
      <w:kern w:val="2"/>
      <w:sz w:val="18"/>
      <w:szCs w:val="18"/>
    </w:rPr>
  </w:style>
  <w:style w:type="paragraph" w:customStyle="1" w:styleId="24">
    <w:name w:val="列出段落1"/>
    <w:basedOn w:val="1"/>
    <w:unhideWhenUsed/>
    <w:qFormat/>
    <w:uiPriority w:val="99"/>
    <w:pPr>
      <w:ind w:firstLine="420" w:firstLineChars="200"/>
    </w:pPr>
  </w:style>
  <w:style w:type="character" w:customStyle="1" w:styleId="25">
    <w:name w:val="批注文字 Char"/>
    <w:basedOn w:val="15"/>
    <w:link w:val="6"/>
    <w:qFormat/>
    <w:uiPriority w:val="0"/>
    <w:rPr>
      <w:rFonts w:ascii="Times New Roman" w:hAnsi="Times New Roman" w:eastAsia="仿宋_GB2312" w:cs="Times New Roman"/>
      <w:kern w:val="2"/>
      <w:sz w:val="32"/>
      <w:szCs w:val="24"/>
    </w:rPr>
  </w:style>
  <w:style w:type="character" w:customStyle="1" w:styleId="26">
    <w:name w:val="批注主题 Char"/>
    <w:basedOn w:val="25"/>
    <w:link w:val="12"/>
    <w:qFormat/>
    <w:uiPriority w:val="0"/>
    <w:rPr>
      <w:rFonts w:ascii="Times New Roman" w:hAnsi="Times New Roman" w:eastAsia="仿宋_GB2312" w:cs="Times New Roman"/>
      <w:b/>
      <w:bCs/>
      <w:kern w:val="2"/>
      <w:sz w:val="32"/>
      <w:szCs w:val="24"/>
    </w:rPr>
  </w:style>
  <w:style w:type="character" w:customStyle="1" w:styleId="27">
    <w:name w:val="批注框文本 Char"/>
    <w:basedOn w:val="15"/>
    <w:link w:val="8"/>
    <w:qFormat/>
    <w:uiPriority w:val="0"/>
    <w:rPr>
      <w:rFonts w:ascii="Times New Roman" w:hAnsi="Times New Roman" w:eastAsia="仿宋_GB2312" w:cs="Times New Roman"/>
      <w:kern w:val="2"/>
      <w:sz w:val="18"/>
      <w:szCs w:val="18"/>
    </w:rPr>
  </w:style>
  <w:style w:type="paragraph" w:customStyle="1" w:styleId="28">
    <w:name w:val="修订1"/>
    <w:hidden/>
    <w:semiHidden/>
    <w:qFormat/>
    <w:uiPriority w:val="99"/>
    <w:rPr>
      <w:rFonts w:ascii="Times New Roman" w:hAnsi="Times New Roman" w:eastAsia="仿宋_GB2312" w:cs="Times New Roman"/>
      <w:kern w:val="2"/>
      <w:sz w:val="32"/>
      <w:szCs w:val="24"/>
      <w:lang w:val="en-US" w:eastAsia="zh-CN" w:bidi="ar-SA"/>
    </w:rPr>
  </w:style>
  <w:style w:type="character" w:customStyle="1" w:styleId="29">
    <w:name w:val="纯文本 Char"/>
    <w:basedOn w:val="15"/>
    <w:link w:val="7"/>
    <w:qFormat/>
    <w:uiPriority w:val="99"/>
    <w:rPr>
      <w:rFonts w:ascii="宋体" w:hAnsi="Courier New" w:eastAsia="仿宋_GB2312" w:cs="宋体"/>
      <w:kern w:val="2"/>
      <w:sz w:val="21"/>
      <w:szCs w:val="21"/>
    </w:rPr>
  </w:style>
  <w:style w:type="paragraph" w:styleId="30">
    <w:name w:val="List Paragraph"/>
    <w:basedOn w:val="1"/>
    <w:unhideWhenUsed/>
    <w:qFormat/>
    <w:uiPriority w:val="99"/>
    <w:pPr>
      <w:ind w:firstLine="420" w:firstLineChars="200"/>
    </w:pPr>
  </w:style>
  <w:style w:type="paragraph" w:customStyle="1" w:styleId="31">
    <w:name w:val="公文"/>
    <w:basedOn w:val="1"/>
    <w:qFormat/>
    <w:uiPriority w:val="0"/>
    <w:pPr>
      <w:widowControl/>
      <w:adjustRightInd w:val="0"/>
      <w:snapToGrid w:val="0"/>
      <w:spacing w:beforeLines="25" w:afterLines="35"/>
      <w:ind w:firstLine="200" w:firstLineChars="200"/>
      <w:jc w:val="left"/>
    </w:pPr>
    <w:rPr>
      <w:rFonts w:ascii="仿宋_GB2312"/>
      <w:bCs/>
      <w:kern w:val="0"/>
    </w:rPr>
  </w:style>
  <w:style w:type="character" w:customStyle="1" w:styleId="32">
    <w:name w:val="font01"/>
    <w:basedOn w:val="15"/>
    <w:qFormat/>
    <w:uiPriority w:val="0"/>
    <w:rPr>
      <w:rFonts w:hint="eastAsia" w:ascii="宋体" w:hAnsi="宋体" w:eastAsia="宋体" w:cs="宋体"/>
      <w:color w:val="000000"/>
      <w:sz w:val="18"/>
      <w:szCs w:val="18"/>
      <w:u w:val="none"/>
      <w:vertAlign w:val="subscript"/>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3581</Words>
  <Characters>4145</Characters>
  <Lines>31</Lines>
  <Paragraphs>8</Paragraphs>
  <TotalTime>20</TotalTime>
  <ScaleCrop>false</ScaleCrop>
  <LinksUpToDate>false</LinksUpToDate>
  <CharactersWithSpaces>4172</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2021-06-26T06:54:00Z</dcterms:created>
  <dc:creator>小莉</dc:creator>
  <cp:lastModifiedBy>admin1</cp:lastModifiedBy>
  <dcterms:modified xsi:type="dcterms:W3CDTF">2026-05-18T11:42:49Z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766AC1285EF84351ABD38DED7FE9239E_13</vt:lpwstr>
  </property>
  <property fmtid="{D5CDD505-2E9C-101B-9397-08002B2CF9AE}" pid="4" name="KSOTemplateDocerSaveRecord">
    <vt:lpwstr>eyJoZGlkIjoiZDRiYjVjNWI5MzAzZTZmMWUwMWJlOWMwMWQxNmZkMjMiLCJ1c2VySWQiOiIxNDU1NzgxMzYwIn0=</vt:lpwstr>
  </property>
</Properties>
</file>