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s="方正小标宋简体"/>
          <w:sz w:val="44"/>
          <w:szCs w:val="44"/>
        </w:rPr>
      </w:pPr>
      <w:r>
        <w:rPr>
          <w:rFonts w:hint="eastAsia" w:eastAsia="方正小标宋简体" w:cs="方正小标宋简体"/>
          <w:sz w:val="36"/>
          <w:szCs w:val="36"/>
        </w:rPr>
        <w:t>液化石油气产品质量监督抽查实施细则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78" w:lineRule="exact"/>
        <w:rPr>
          <w:rFonts w:eastAsia="黑体" w:cs="黑体"/>
          <w:color w:val="000000"/>
          <w:szCs w:val="32"/>
        </w:rPr>
      </w:pPr>
    </w:p>
    <w:p>
      <w:pPr>
        <w:spacing w:line="560" w:lineRule="exact"/>
        <w:ind w:firstLine="560" w:firstLineChars="200"/>
        <w:rPr>
          <w:rFonts w:eastAsia="黑体" w:cs="黑体"/>
          <w:sz w:val="28"/>
          <w:szCs w:val="36"/>
        </w:rPr>
      </w:pPr>
      <w:r>
        <w:rPr>
          <w:rFonts w:hint="eastAsia" w:eastAsia="黑体" w:cs="黑体"/>
          <w:sz w:val="28"/>
          <w:szCs w:val="36"/>
          <w:lang w:eastAsia="zh-CN"/>
        </w:rPr>
        <w:t>一、</w:t>
      </w:r>
      <w:r>
        <w:rPr>
          <w:rFonts w:hint="eastAsia" w:eastAsia="黑体" w:cs="黑体"/>
          <w:sz w:val="28"/>
          <w:szCs w:val="36"/>
        </w:rPr>
        <w:t>抽样方法</w:t>
      </w:r>
    </w:p>
    <w:p>
      <w:pPr>
        <w:spacing w:line="560" w:lineRule="exact"/>
        <w:ind w:firstLine="560" w:firstLineChars="200"/>
        <w:rPr>
          <w:rFonts w:cs="仿宋_GB2312"/>
          <w:sz w:val="28"/>
          <w:szCs w:val="36"/>
        </w:rPr>
      </w:pPr>
      <w:r>
        <w:rPr>
          <w:rFonts w:hint="eastAsia" w:cs="仿宋_GB2312"/>
          <w:sz w:val="28"/>
          <w:szCs w:val="36"/>
        </w:rPr>
        <w:t>以随机抽样的方式在被抽样生产者、销售者的待销产品中抽取。</w:t>
      </w:r>
    </w:p>
    <w:p>
      <w:pPr>
        <w:spacing w:line="560" w:lineRule="exact"/>
        <w:ind w:firstLine="560" w:firstLineChars="200"/>
        <w:rPr>
          <w:rFonts w:cs="仿宋_GB2312"/>
          <w:sz w:val="28"/>
          <w:szCs w:val="36"/>
        </w:rPr>
      </w:pPr>
      <w:r>
        <w:rPr>
          <w:rFonts w:hint="eastAsia" w:cs="仿宋_GB2312"/>
          <w:sz w:val="28"/>
          <w:szCs w:val="36"/>
        </w:rPr>
        <w:t>随机数一般可使用随机数表等方法产生。</w:t>
      </w:r>
    </w:p>
    <w:p>
      <w:pPr>
        <w:spacing w:line="560" w:lineRule="exact"/>
        <w:ind w:firstLine="560" w:firstLineChars="200"/>
        <w:rPr>
          <w:rFonts w:eastAsia="黑体" w:cs="黑体"/>
          <w:color w:val="000000"/>
          <w:sz w:val="28"/>
          <w:szCs w:val="28"/>
        </w:rPr>
      </w:pPr>
      <w:r>
        <w:rPr>
          <w:rFonts w:cs="仿宋_GB2312"/>
          <w:sz w:val="28"/>
          <w:szCs w:val="36"/>
        </w:rPr>
        <w:t>每批次抽取样品</w:t>
      </w:r>
      <w:r>
        <w:rPr>
          <w:rFonts w:hint="eastAsia" w:cs="仿宋_GB2312"/>
          <w:sz w:val="28"/>
          <w:szCs w:val="36"/>
        </w:rPr>
        <w:t>2瓶</w:t>
      </w:r>
      <w:r>
        <w:rPr>
          <w:rFonts w:cs="仿宋_GB2312"/>
          <w:sz w:val="28"/>
          <w:szCs w:val="36"/>
        </w:rPr>
        <w:t>，其中</w:t>
      </w:r>
      <w:r>
        <w:rPr>
          <w:rFonts w:hint="eastAsia" w:cs="仿宋_GB2312"/>
          <w:sz w:val="28"/>
          <w:szCs w:val="36"/>
        </w:rPr>
        <w:t>1瓶</w:t>
      </w:r>
      <w:r>
        <w:rPr>
          <w:rFonts w:cs="仿宋_GB2312"/>
          <w:sz w:val="28"/>
          <w:szCs w:val="36"/>
        </w:rPr>
        <w:t>作为检验样品，</w:t>
      </w:r>
      <w:r>
        <w:rPr>
          <w:rFonts w:hint="eastAsia" w:cs="仿宋_GB2312"/>
          <w:sz w:val="28"/>
          <w:szCs w:val="36"/>
        </w:rPr>
        <w:t>1瓶</w:t>
      </w:r>
      <w:r>
        <w:rPr>
          <w:rFonts w:cs="仿宋_GB2312"/>
          <w:sz w:val="28"/>
          <w:szCs w:val="36"/>
        </w:rPr>
        <w:t>作为备用样品。</w:t>
      </w:r>
    </w:p>
    <w:p>
      <w:pPr>
        <w:spacing w:line="560" w:lineRule="exact"/>
        <w:ind w:firstLine="560" w:firstLineChars="200"/>
        <w:rPr>
          <w:rFonts w:eastAsia="黑体" w:cs="黑体"/>
          <w:sz w:val="28"/>
          <w:szCs w:val="36"/>
        </w:rPr>
      </w:pPr>
      <w:r>
        <w:rPr>
          <w:rFonts w:hint="eastAsia" w:eastAsia="黑体" w:cs="黑体"/>
          <w:sz w:val="28"/>
          <w:szCs w:val="36"/>
          <w:lang w:eastAsia="zh-CN"/>
        </w:rPr>
        <w:t>二、</w:t>
      </w:r>
      <w:r>
        <w:rPr>
          <w:rFonts w:hint="eastAsia" w:eastAsia="黑体" w:cs="黑体"/>
          <w:sz w:val="28"/>
          <w:szCs w:val="36"/>
        </w:rPr>
        <w:t>检验依据</w:t>
      </w:r>
    </w:p>
    <w:p>
      <w:pPr>
        <w:snapToGrid w:val="0"/>
        <w:spacing w:line="440" w:lineRule="exact"/>
        <w:jc w:val="center"/>
        <w:rPr>
          <w:rFonts w:eastAsia="宋体"/>
          <w:color w:val="000000"/>
          <w:sz w:val="21"/>
          <w:szCs w:val="21"/>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4078"/>
        <w:gridCol w:w="3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b/>
                <w:bCs/>
                <w:sz w:val="24"/>
                <w:szCs w:val="24"/>
                <w:lang w:bidi="ar"/>
              </w:rPr>
            </w:pPr>
            <w:r>
              <w:rPr>
                <w:rFonts w:cs="仿宋_GB2312"/>
                <w:b/>
                <w:bCs/>
                <w:sz w:val="24"/>
                <w:szCs w:val="24"/>
                <w:lang w:bidi="ar"/>
              </w:rPr>
              <w:t>序号</w:t>
            </w:r>
          </w:p>
        </w:tc>
        <w:tc>
          <w:tcPr>
            <w:tcW w:w="2195" w:type="pct"/>
            <w:vAlign w:val="center"/>
          </w:tcPr>
          <w:p>
            <w:pPr>
              <w:spacing w:line="560" w:lineRule="exact"/>
              <w:jc w:val="center"/>
              <w:rPr>
                <w:rFonts w:cs="仿宋_GB2312"/>
                <w:b/>
                <w:bCs/>
                <w:sz w:val="24"/>
                <w:szCs w:val="24"/>
                <w:lang w:bidi="ar"/>
              </w:rPr>
            </w:pPr>
            <w:r>
              <w:rPr>
                <w:rFonts w:cs="仿宋_GB2312"/>
                <w:b/>
                <w:bCs/>
                <w:sz w:val="24"/>
                <w:szCs w:val="24"/>
                <w:lang w:bidi="ar"/>
              </w:rPr>
              <w:t>检验项目</w:t>
            </w:r>
          </w:p>
        </w:tc>
        <w:tc>
          <w:tcPr>
            <w:tcW w:w="2117" w:type="pct"/>
            <w:vAlign w:val="center"/>
          </w:tcPr>
          <w:p>
            <w:pPr>
              <w:spacing w:line="560" w:lineRule="exact"/>
              <w:jc w:val="center"/>
              <w:rPr>
                <w:rFonts w:cs="仿宋_GB2312"/>
                <w:b/>
                <w:bCs/>
                <w:sz w:val="24"/>
                <w:szCs w:val="24"/>
                <w:lang w:bidi="ar"/>
              </w:rPr>
            </w:pPr>
            <w:r>
              <w:rPr>
                <w:rFonts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cs="仿宋_GB2312"/>
                <w:sz w:val="24"/>
                <w:szCs w:val="24"/>
              </w:rPr>
              <w:t>1</w:t>
            </w:r>
          </w:p>
        </w:tc>
        <w:tc>
          <w:tcPr>
            <w:tcW w:w="2195" w:type="pct"/>
            <w:vAlign w:val="center"/>
          </w:tcPr>
          <w:p>
            <w:pPr>
              <w:spacing w:line="560" w:lineRule="exact"/>
              <w:jc w:val="center"/>
              <w:rPr>
                <w:rFonts w:cs="仿宋_GB2312"/>
                <w:sz w:val="24"/>
                <w:szCs w:val="24"/>
              </w:rPr>
            </w:pPr>
            <w:r>
              <w:rPr>
                <w:rFonts w:hint="eastAsia" w:cs="仿宋_GB2312"/>
                <w:sz w:val="24"/>
                <w:szCs w:val="24"/>
              </w:rPr>
              <w:t>密度</w:t>
            </w:r>
          </w:p>
        </w:tc>
        <w:tc>
          <w:tcPr>
            <w:tcW w:w="2117" w:type="pct"/>
            <w:vAlign w:val="center"/>
          </w:tcPr>
          <w:p>
            <w:pPr>
              <w:spacing w:line="560" w:lineRule="exact"/>
              <w:jc w:val="center"/>
              <w:rPr>
                <w:rFonts w:cs="仿宋_GB2312"/>
                <w:sz w:val="24"/>
                <w:szCs w:val="24"/>
              </w:rPr>
            </w:pPr>
            <w:r>
              <w:rPr>
                <w:rFonts w:cs="仿宋_GB2312"/>
                <w:sz w:val="24"/>
                <w:szCs w:val="24"/>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2</w:t>
            </w:r>
          </w:p>
        </w:tc>
        <w:tc>
          <w:tcPr>
            <w:tcW w:w="2195" w:type="pct"/>
            <w:vAlign w:val="center"/>
          </w:tcPr>
          <w:p>
            <w:pPr>
              <w:spacing w:line="560" w:lineRule="exact"/>
              <w:jc w:val="center"/>
              <w:rPr>
                <w:rFonts w:cs="仿宋_GB2312"/>
                <w:sz w:val="24"/>
                <w:szCs w:val="24"/>
              </w:rPr>
            </w:pPr>
            <w:r>
              <w:rPr>
                <w:rFonts w:hint="eastAsia" w:cs="仿宋_GB2312"/>
                <w:sz w:val="24"/>
                <w:szCs w:val="24"/>
              </w:rPr>
              <w:t>蒸气压</w:t>
            </w:r>
          </w:p>
        </w:tc>
        <w:tc>
          <w:tcPr>
            <w:tcW w:w="2117" w:type="pct"/>
            <w:vAlign w:val="center"/>
          </w:tcPr>
          <w:p>
            <w:pPr>
              <w:spacing w:line="560" w:lineRule="exact"/>
              <w:jc w:val="center"/>
              <w:rPr>
                <w:rFonts w:cs="仿宋_GB2312"/>
                <w:sz w:val="24"/>
                <w:szCs w:val="24"/>
              </w:rPr>
            </w:pPr>
            <w:r>
              <w:rPr>
                <w:rFonts w:cs="仿宋_GB2312"/>
                <w:sz w:val="24"/>
                <w:szCs w:val="24"/>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3</w:t>
            </w:r>
          </w:p>
        </w:tc>
        <w:tc>
          <w:tcPr>
            <w:tcW w:w="2195" w:type="pct"/>
            <w:vAlign w:val="center"/>
          </w:tcPr>
          <w:p>
            <w:pPr>
              <w:spacing w:line="560" w:lineRule="exact"/>
              <w:jc w:val="center"/>
              <w:rPr>
                <w:rFonts w:cs="仿宋_GB2312"/>
                <w:sz w:val="24"/>
                <w:szCs w:val="24"/>
              </w:rPr>
            </w:pPr>
            <w:r>
              <w:rPr>
                <w:rFonts w:hint="eastAsia" w:cs="仿宋_GB2312"/>
                <w:sz w:val="24"/>
                <w:szCs w:val="24"/>
              </w:rPr>
              <w:t>组分</w:t>
            </w:r>
          </w:p>
        </w:tc>
        <w:tc>
          <w:tcPr>
            <w:tcW w:w="2117" w:type="pct"/>
            <w:vAlign w:val="center"/>
          </w:tcPr>
          <w:p>
            <w:pPr>
              <w:spacing w:line="560" w:lineRule="exact"/>
              <w:jc w:val="center"/>
              <w:rPr>
                <w:rFonts w:cs="仿宋_GB2312"/>
                <w:sz w:val="24"/>
                <w:szCs w:val="24"/>
              </w:rPr>
            </w:pPr>
            <w:r>
              <w:rPr>
                <w:rFonts w:cs="仿宋_GB2312"/>
                <w:sz w:val="24"/>
                <w:szCs w:val="24"/>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4</w:t>
            </w:r>
          </w:p>
        </w:tc>
        <w:tc>
          <w:tcPr>
            <w:tcW w:w="2195" w:type="pct"/>
            <w:vAlign w:val="center"/>
          </w:tcPr>
          <w:p>
            <w:pPr>
              <w:spacing w:line="560" w:lineRule="exact"/>
              <w:jc w:val="center"/>
              <w:rPr>
                <w:rFonts w:cs="仿宋_GB2312"/>
                <w:sz w:val="24"/>
                <w:szCs w:val="24"/>
              </w:rPr>
            </w:pPr>
            <w:r>
              <w:rPr>
                <w:rFonts w:hint="eastAsia" w:cs="仿宋_GB2312"/>
                <w:sz w:val="24"/>
                <w:szCs w:val="24"/>
              </w:rPr>
              <w:t>蒸发残留物</w:t>
            </w:r>
          </w:p>
        </w:tc>
        <w:tc>
          <w:tcPr>
            <w:tcW w:w="2117" w:type="pct"/>
            <w:vAlign w:val="center"/>
          </w:tcPr>
          <w:p>
            <w:pPr>
              <w:spacing w:line="560" w:lineRule="exact"/>
              <w:jc w:val="center"/>
              <w:rPr>
                <w:rFonts w:cs="仿宋_GB2312"/>
                <w:sz w:val="24"/>
                <w:szCs w:val="24"/>
              </w:rPr>
            </w:pPr>
            <w:r>
              <w:rPr>
                <w:rFonts w:cs="仿宋_GB2312"/>
                <w:sz w:val="24"/>
                <w:szCs w:val="24"/>
              </w:rPr>
              <w:t>SY/T 7509-20</w:t>
            </w:r>
            <w:r>
              <w:rPr>
                <w:rFonts w:hint="eastAsia" w:cs="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5</w:t>
            </w:r>
          </w:p>
        </w:tc>
        <w:tc>
          <w:tcPr>
            <w:tcW w:w="2195" w:type="pct"/>
            <w:vAlign w:val="center"/>
          </w:tcPr>
          <w:p>
            <w:pPr>
              <w:spacing w:line="560" w:lineRule="exact"/>
              <w:jc w:val="center"/>
              <w:rPr>
                <w:rFonts w:cs="仿宋_GB2312"/>
                <w:sz w:val="24"/>
                <w:szCs w:val="24"/>
              </w:rPr>
            </w:pPr>
            <w:r>
              <w:rPr>
                <w:rFonts w:hint="eastAsia" w:cs="仿宋_GB2312"/>
                <w:sz w:val="24"/>
                <w:szCs w:val="24"/>
              </w:rPr>
              <w:t>残留物油渍观察</w:t>
            </w:r>
          </w:p>
        </w:tc>
        <w:tc>
          <w:tcPr>
            <w:tcW w:w="2117" w:type="pct"/>
            <w:vAlign w:val="center"/>
          </w:tcPr>
          <w:p>
            <w:pPr>
              <w:spacing w:line="560" w:lineRule="exact"/>
              <w:jc w:val="center"/>
              <w:rPr>
                <w:rFonts w:cs="仿宋_GB2312"/>
                <w:sz w:val="24"/>
                <w:szCs w:val="24"/>
              </w:rPr>
            </w:pPr>
            <w:r>
              <w:rPr>
                <w:rFonts w:cs="仿宋_GB2312"/>
                <w:sz w:val="24"/>
                <w:szCs w:val="24"/>
              </w:rPr>
              <w:t>SY/T 7509-20</w:t>
            </w:r>
            <w:r>
              <w:rPr>
                <w:rFonts w:hint="eastAsia" w:cs="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6</w:t>
            </w:r>
          </w:p>
        </w:tc>
        <w:tc>
          <w:tcPr>
            <w:tcW w:w="2195" w:type="pct"/>
            <w:vAlign w:val="center"/>
          </w:tcPr>
          <w:p>
            <w:pPr>
              <w:spacing w:line="560" w:lineRule="exact"/>
              <w:jc w:val="center"/>
              <w:rPr>
                <w:rFonts w:cs="仿宋_GB2312"/>
                <w:sz w:val="24"/>
                <w:szCs w:val="24"/>
              </w:rPr>
            </w:pPr>
            <w:r>
              <w:rPr>
                <w:rFonts w:hint="eastAsia" w:cs="仿宋_GB2312"/>
                <w:sz w:val="24"/>
                <w:szCs w:val="24"/>
              </w:rPr>
              <w:t>铜片腐蚀</w:t>
            </w:r>
          </w:p>
        </w:tc>
        <w:tc>
          <w:tcPr>
            <w:tcW w:w="2117" w:type="pct"/>
            <w:vAlign w:val="center"/>
          </w:tcPr>
          <w:p>
            <w:pPr>
              <w:spacing w:line="560" w:lineRule="exact"/>
              <w:jc w:val="center"/>
              <w:rPr>
                <w:rFonts w:cs="仿宋_GB2312"/>
                <w:sz w:val="24"/>
                <w:szCs w:val="24"/>
              </w:rPr>
            </w:pPr>
            <w:r>
              <w:rPr>
                <w:rFonts w:cs="仿宋_GB2312"/>
                <w:sz w:val="24"/>
                <w:szCs w:val="24"/>
              </w:rPr>
              <w:t>SH/T 0232-1992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7</w:t>
            </w:r>
          </w:p>
        </w:tc>
        <w:tc>
          <w:tcPr>
            <w:tcW w:w="2195" w:type="pct"/>
            <w:vAlign w:val="center"/>
          </w:tcPr>
          <w:p>
            <w:pPr>
              <w:spacing w:line="560" w:lineRule="exact"/>
              <w:jc w:val="center"/>
              <w:rPr>
                <w:rFonts w:cs="仿宋_GB2312"/>
                <w:sz w:val="24"/>
                <w:szCs w:val="24"/>
              </w:rPr>
            </w:pPr>
            <w:r>
              <w:rPr>
                <w:rFonts w:hint="eastAsia" w:cs="仿宋_GB2312"/>
                <w:sz w:val="24"/>
                <w:szCs w:val="24"/>
              </w:rPr>
              <w:t>总硫含量</w:t>
            </w:r>
          </w:p>
        </w:tc>
        <w:tc>
          <w:tcPr>
            <w:tcW w:w="2117" w:type="pct"/>
            <w:vAlign w:val="center"/>
          </w:tcPr>
          <w:p>
            <w:pPr>
              <w:spacing w:line="560" w:lineRule="exact"/>
              <w:jc w:val="center"/>
              <w:rPr>
                <w:rFonts w:cs="仿宋_GB2312"/>
                <w:sz w:val="24"/>
                <w:szCs w:val="24"/>
              </w:rPr>
            </w:pPr>
            <w:r>
              <w:rPr>
                <w:rFonts w:cs="仿宋_GB2312"/>
                <w:sz w:val="24"/>
                <w:szCs w:val="24"/>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8</w:t>
            </w:r>
          </w:p>
        </w:tc>
        <w:tc>
          <w:tcPr>
            <w:tcW w:w="2195" w:type="pct"/>
            <w:vAlign w:val="center"/>
          </w:tcPr>
          <w:p>
            <w:pPr>
              <w:spacing w:line="560" w:lineRule="exact"/>
              <w:jc w:val="center"/>
              <w:rPr>
                <w:rFonts w:cs="仿宋_GB2312"/>
                <w:sz w:val="24"/>
                <w:szCs w:val="24"/>
              </w:rPr>
            </w:pPr>
            <w:r>
              <w:rPr>
                <w:rFonts w:hint="eastAsia" w:cs="仿宋_GB2312"/>
                <w:sz w:val="24"/>
                <w:szCs w:val="24"/>
              </w:rPr>
              <w:t>硫化氢</w:t>
            </w:r>
          </w:p>
        </w:tc>
        <w:tc>
          <w:tcPr>
            <w:tcW w:w="2117" w:type="pct"/>
            <w:vAlign w:val="center"/>
          </w:tcPr>
          <w:p>
            <w:pPr>
              <w:spacing w:line="560" w:lineRule="exact"/>
              <w:jc w:val="center"/>
              <w:rPr>
                <w:rFonts w:cs="仿宋_GB2312"/>
                <w:sz w:val="24"/>
                <w:szCs w:val="24"/>
              </w:rPr>
            </w:pPr>
            <w:r>
              <w:rPr>
                <w:rFonts w:cs="仿宋_GB2312"/>
                <w:sz w:val="24"/>
                <w:szCs w:val="24"/>
              </w:rPr>
              <w:t>SH/T 0231-1992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cs="仿宋_GB2312"/>
                <w:sz w:val="24"/>
                <w:szCs w:val="24"/>
              </w:rPr>
            </w:pPr>
            <w:r>
              <w:rPr>
                <w:rFonts w:hint="eastAsia" w:cs="仿宋_GB2312"/>
                <w:sz w:val="24"/>
                <w:szCs w:val="24"/>
              </w:rPr>
              <w:t>9</w:t>
            </w:r>
          </w:p>
        </w:tc>
        <w:tc>
          <w:tcPr>
            <w:tcW w:w="2195" w:type="pct"/>
            <w:vAlign w:val="center"/>
          </w:tcPr>
          <w:p>
            <w:pPr>
              <w:spacing w:line="560" w:lineRule="exact"/>
              <w:jc w:val="center"/>
              <w:rPr>
                <w:rFonts w:cs="仿宋_GB2312"/>
                <w:sz w:val="24"/>
                <w:szCs w:val="24"/>
              </w:rPr>
            </w:pPr>
            <w:r>
              <w:rPr>
                <w:rFonts w:hint="eastAsia" w:cs="仿宋_GB2312"/>
                <w:sz w:val="24"/>
                <w:szCs w:val="24"/>
              </w:rPr>
              <w:t>游离水</w:t>
            </w:r>
          </w:p>
        </w:tc>
        <w:tc>
          <w:tcPr>
            <w:tcW w:w="2117" w:type="pct"/>
            <w:vAlign w:val="center"/>
          </w:tcPr>
          <w:p>
            <w:pPr>
              <w:spacing w:line="560" w:lineRule="exact"/>
              <w:jc w:val="center"/>
              <w:rPr>
                <w:rFonts w:cs="仿宋_GB2312"/>
                <w:sz w:val="24"/>
                <w:szCs w:val="24"/>
              </w:rPr>
            </w:pPr>
            <w:r>
              <w:rPr>
                <w:rFonts w:cs="仿宋_GB2312"/>
                <w:sz w:val="24"/>
                <w:szCs w:val="24"/>
              </w:rPr>
              <w:t>GB 11174-2011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Align w:val="center"/>
          </w:tcPr>
          <w:p>
            <w:pPr>
              <w:spacing w:line="560" w:lineRule="exact"/>
              <w:jc w:val="center"/>
              <w:rPr>
                <w:rFonts w:hint="eastAsia" w:ascii="Times New Roman" w:hAnsi="Times New Roman" w:eastAsia="仿宋_GB2312" w:cs="仿宋_GB2312"/>
                <w:kern w:val="2"/>
                <w:sz w:val="24"/>
                <w:szCs w:val="24"/>
                <w:lang w:val="en-US" w:eastAsia="zh-CN" w:bidi="ar-SA"/>
              </w:rPr>
            </w:pPr>
            <w:r>
              <w:rPr>
                <w:rFonts w:hint="eastAsia" w:cs="仿宋_GB2312"/>
                <w:sz w:val="24"/>
                <w:szCs w:val="24"/>
              </w:rPr>
              <w:t>10</w:t>
            </w:r>
          </w:p>
        </w:tc>
        <w:tc>
          <w:tcPr>
            <w:tcW w:w="2195" w:type="pct"/>
            <w:vAlign w:val="center"/>
          </w:tcPr>
          <w:p>
            <w:pPr>
              <w:spacing w:line="560" w:lineRule="exact"/>
              <w:jc w:val="center"/>
              <w:rPr>
                <w:rFonts w:hint="eastAsia" w:ascii="Times New Roman" w:hAnsi="Times New Roman" w:eastAsia="仿宋_GB2312" w:cs="仿宋_GB2312"/>
                <w:kern w:val="2"/>
                <w:sz w:val="24"/>
                <w:szCs w:val="24"/>
                <w:lang w:val="en-US" w:eastAsia="zh-CN" w:bidi="ar-SA"/>
              </w:rPr>
            </w:pPr>
            <w:r>
              <w:rPr>
                <w:rFonts w:hint="eastAsia" w:cs="仿宋_GB2312"/>
                <w:sz w:val="24"/>
                <w:szCs w:val="24"/>
              </w:rPr>
              <w:t>二甲醚（只出实测值，不作判定）</w:t>
            </w:r>
          </w:p>
        </w:tc>
        <w:tc>
          <w:tcPr>
            <w:tcW w:w="2117" w:type="pct"/>
            <w:vAlign w:val="center"/>
          </w:tcPr>
          <w:p>
            <w:pPr>
              <w:jc w:val="center"/>
              <w:rPr>
                <w:rFonts w:ascii="Times New Roman" w:hAnsi="Times New Roman" w:eastAsia="仿宋_GB2312" w:cs="仿宋_GB2312"/>
                <w:kern w:val="2"/>
                <w:sz w:val="24"/>
                <w:szCs w:val="24"/>
                <w:lang w:val="en-US" w:eastAsia="zh-CN" w:bidi="ar-SA"/>
              </w:rPr>
            </w:pPr>
            <w:r>
              <w:rPr>
                <w:rFonts w:hint="eastAsia" w:cs="仿宋_GB2312"/>
                <w:sz w:val="24"/>
                <w:szCs w:val="24"/>
              </w:rPr>
              <w:t>HG/T 3934-2014</w:t>
            </w:r>
          </w:p>
        </w:tc>
      </w:tr>
    </w:tbl>
    <w:p>
      <w:pPr>
        <w:spacing w:line="560" w:lineRule="exact"/>
        <w:ind w:firstLine="560" w:firstLineChars="200"/>
        <w:rPr>
          <w:rFonts w:cs="仿宋_GB2312"/>
          <w:sz w:val="28"/>
          <w:szCs w:val="28"/>
        </w:rPr>
      </w:pPr>
      <w:r>
        <w:rPr>
          <w:rFonts w:hint="eastAsia" w:cs="仿宋_GB2312"/>
          <w:sz w:val="28"/>
          <w:szCs w:val="28"/>
        </w:rPr>
        <w:t>执行企业标准、团体标准、地方标准的产品，检验项目参照上述内容执行。</w:t>
      </w:r>
    </w:p>
    <w:p>
      <w:pPr>
        <w:spacing w:line="560" w:lineRule="exact"/>
        <w:ind w:firstLine="560" w:firstLineChars="200"/>
        <w:rPr>
          <w:rFonts w:eastAsia="黑体"/>
          <w:color w:val="000000"/>
          <w:sz w:val="28"/>
          <w:szCs w:val="28"/>
        </w:rPr>
      </w:pPr>
      <w:r>
        <w:rPr>
          <w:rFonts w:hint="eastAsia" w:cs="仿宋_GB2312"/>
          <w:sz w:val="28"/>
          <w:szCs w:val="28"/>
        </w:rPr>
        <w:t>凡是注日期的文件，其随后所有的修改单（不包括勘误的内容）或修订版不适用于本细则。凡是不注日期的文件，其最新版本适用于本细则。</w:t>
      </w:r>
    </w:p>
    <w:p>
      <w:pPr>
        <w:spacing w:line="560" w:lineRule="exact"/>
        <w:ind w:firstLine="560" w:firstLineChars="200"/>
        <w:rPr>
          <w:rFonts w:eastAsia="黑体" w:cs="黑体"/>
          <w:sz w:val="28"/>
          <w:szCs w:val="28"/>
        </w:rPr>
      </w:pPr>
      <w:r>
        <w:rPr>
          <w:rFonts w:hint="eastAsia" w:eastAsia="黑体" w:cs="黑体"/>
          <w:sz w:val="28"/>
          <w:szCs w:val="28"/>
          <w:lang w:eastAsia="zh-CN"/>
        </w:rPr>
        <w:t>三、</w:t>
      </w:r>
      <w:r>
        <w:rPr>
          <w:rFonts w:hint="eastAsia" w:eastAsia="黑体" w:cs="黑体"/>
          <w:sz w:val="28"/>
          <w:szCs w:val="28"/>
        </w:rPr>
        <w:t>判定规则</w:t>
      </w:r>
    </w:p>
    <w:p>
      <w:pPr>
        <w:spacing w:line="560" w:lineRule="exact"/>
        <w:ind w:firstLine="560" w:firstLineChars="200"/>
        <w:rPr>
          <w:rFonts w:cs="仿宋_GB2312"/>
          <w:sz w:val="28"/>
          <w:szCs w:val="28"/>
        </w:rPr>
      </w:pPr>
      <w:r>
        <w:rPr>
          <w:rFonts w:hint="eastAsia" w:cs="仿宋_GB2312"/>
          <w:sz w:val="28"/>
          <w:szCs w:val="28"/>
          <w:lang w:eastAsia="zh-CN"/>
        </w:rPr>
        <w:t>（一）</w:t>
      </w:r>
      <w:r>
        <w:rPr>
          <w:rFonts w:hint="eastAsia" w:cs="仿宋_GB2312"/>
          <w:sz w:val="28"/>
          <w:szCs w:val="28"/>
        </w:rPr>
        <w:t>依据标准</w:t>
      </w:r>
    </w:p>
    <w:p>
      <w:pPr>
        <w:spacing w:line="560" w:lineRule="exact"/>
        <w:ind w:firstLine="560" w:firstLineChars="200"/>
        <w:rPr>
          <w:rFonts w:cs="仿宋_GB2312"/>
          <w:sz w:val="28"/>
          <w:szCs w:val="28"/>
        </w:rPr>
      </w:pPr>
      <w:r>
        <w:rPr>
          <w:rFonts w:hint="eastAsia" w:cs="仿宋_GB2312"/>
          <w:sz w:val="28"/>
          <w:szCs w:val="28"/>
        </w:rPr>
        <w:t>GB 11174-2011《液化石油气》</w:t>
      </w:r>
    </w:p>
    <w:p>
      <w:pPr>
        <w:spacing w:line="560" w:lineRule="exact"/>
        <w:ind w:firstLine="560" w:firstLineChars="200"/>
        <w:rPr>
          <w:rFonts w:hint="eastAsia" w:cs="仿宋_GB2312"/>
          <w:sz w:val="28"/>
          <w:szCs w:val="28"/>
          <w:lang w:eastAsia="zh-CN"/>
        </w:rPr>
      </w:pPr>
      <w:r>
        <w:rPr>
          <w:rFonts w:hint="eastAsia" w:cs="仿宋_GB2312"/>
          <w:sz w:val="28"/>
          <w:szCs w:val="28"/>
        </w:rPr>
        <w:t>HG/T 3934-2014</w:t>
      </w:r>
      <w:r>
        <w:rPr>
          <w:rFonts w:hint="eastAsia" w:cs="仿宋_GB2312"/>
          <w:sz w:val="28"/>
          <w:szCs w:val="28"/>
          <w:lang w:eastAsia="zh-CN"/>
        </w:rPr>
        <w:t>《</w:t>
      </w:r>
      <w:r>
        <w:rPr>
          <w:rFonts w:hint="eastAsia" w:cs="仿宋_GB2312"/>
          <w:sz w:val="28"/>
          <w:szCs w:val="28"/>
        </w:rPr>
        <w:t>二甲醚</w:t>
      </w:r>
      <w:r>
        <w:rPr>
          <w:rFonts w:hint="eastAsia" w:cs="仿宋_GB2312"/>
          <w:sz w:val="28"/>
          <w:szCs w:val="28"/>
          <w:lang w:eastAsia="zh-CN"/>
        </w:rPr>
        <w:t>》</w:t>
      </w:r>
    </w:p>
    <w:p>
      <w:pPr>
        <w:spacing w:line="560" w:lineRule="exact"/>
        <w:ind w:firstLine="560" w:firstLineChars="200"/>
        <w:rPr>
          <w:rFonts w:cs="仿宋_GB2312"/>
          <w:sz w:val="28"/>
          <w:szCs w:val="28"/>
        </w:rPr>
      </w:pPr>
      <w:r>
        <w:rPr>
          <w:rFonts w:hint="eastAsia" w:cs="仿宋_GB2312"/>
          <w:sz w:val="28"/>
          <w:szCs w:val="28"/>
        </w:rPr>
        <w:t>现行有效的企业标准和产品明示指标或其他相适应的产品标准。</w:t>
      </w:r>
    </w:p>
    <w:p>
      <w:pPr>
        <w:spacing w:line="560" w:lineRule="exact"/>
        <w:ind w:firstLine="560" w:firstLineChars="200"/>
        <w:rPr>
          <w:rFonts w:cs="仿宋_GB2312"/>
          <w:sz w:val="28"/>
          <w:szCs w:val="28"/>
        </w:rPr>
      </w:pPr>
      <w:r>
        <w:rPr>
          <w:rFonts w:hint="eastAsia" w:cs="仿宋_GB2312"/>
          <w:sz w:val="28"/>
          <w:szCs w:val="28"/>
          <w:lang w:eastAsia="zh-CN"/>
        </w:rPr>
        <w:t>（二）</w:t>
      </w:r>
      <w:r>
        <w:rPr>
          <w:rFonts w:hint="eastAsia" w:cs="仿宋_GB2312"/>
          <w:sz w:val="28"/>
          <w:szCs w:val="28"/>
        </w:rPr>
        <w:t>判定原则</w:t>
      </w:r>
    </w:p>
    <w:p>
      <w:pPr>
        <w:spacing w:line="560" w:lineRule="exact"/>
        <w:ind w:firstLine="560" w:firstLineChars="200"/>
        <w:rPr>
          <w:rFonts w:cs="仿宋_GB2312"/>
          <w:sz w:val="28"/>
          <w:szCs w:val="28"/>
        </w:rPr>
      </w:pPr>
      <w:r>
        <w:rPr>
          <w:rFonts w:hint="eastAsia" w:cs="仿宋_GB2312"/>
          <w:sz w:val="28"/>
          <w:szCs w:val="28"/>
        </w:rPr>
        <w:t>经检验，检验项目全部合格，判定为被抽查产品所检项目未发现不合格；检验项目中任一项或一项以上不合格，判定为被抽查产品不合格。</w:t>
      </w:r>
    </w:p>
    <w:p>
      <w:pPr>
        <w:spacing w:line="560" w:lineRule="exact"/>
        <w:ind w:firstLine="560" w:firstLineChars="200"/>
        <w:rPr>
          <w:rFonts w:cs="仿宋_GB2312"/>
          <w:sz w:val="28"/>
          <w:szCs w:val="28"/>
        </w:rPr>
      </w:pPr>
      <w:r>
        <w:rPr>
          <w:rFonts w:hint="eastAsia" w:cs="仿宋_GB2312"/>
          <w:sz w:val="28"/>
          <w:szCs w:val="28"/>
        </w:rPr>
        <w:t>若被检产品明示的质量要求高于本细则中检验项目依据的标准要求时，应按被检产品明示的质量要求判定；</w:t>
      </w:r>
    </w:p>
    <w:p>
      <w:pPr>
        <w:spacing w:line="560" w:lineRule="exact"/>
        <w:ind w:firstLine="560" w:firstLineChars="200"/>
        <w:rPr>
          <w:rFonts w:cs="仿宋_GB2312"/>
          <w:sz w:val="28"/>
          <w:szCs w:val="28"/>
        </w:rPr>
      </w:pPr>
      <w:r>
        <w:rPr>
          <w:rFonts w:hint="eastAsia" w:cs="仿宋_GB2312"/>
          <w:sz w:val="28"/>
          <w:szCs w:val="28"/>
        </w:rPr>
        <w:t>若被检产品明示的质量要求低于本细则中检验项目依据的强制性标准要求时，应按照强制性标准要求判定；</w:t>
      </w:r>
    </w:p>
    <w:p>
      <w:pPr>
        <w:spacing w:line="560" w:lineRule="exact"/>
        <w:ind w:firstLine="560" w:firstLineChars="200"/>
        <w:rPr>
          <w:rFonts w:cs="仿宋_GB2312"/>
          <w:sz w:val="28"/>
          <w:szCs w:val="28"/>
        </w:rPr>
      </w:pPr>
      <w:r>
        <w:rPr>
          <w:rFonts w:hint="eastAsia" w:cs="仿宋_GB2312"/>
          <w:sz w:val="28"/>
          <w:szCs w:val="28"/>
        </w:rPr>
        <w:t>若被检产品明示的质量要求低于或包含本细则中检验项目依据的推荐性标准要求时，应以被检产品明示的质量要求判定；如相应检验结果不符合相关推荐性标准要求时，应在检验报告中予以说明；</w:t>
      </w:r>
    </w:p>
    <w:p>
      <w:pPr>
        <w:spacing w:line="560" w:lineRule="exact"/>
        <w:ind w:firstLine="560" w:firstLineChars="200"/>
        <w:rPr>
          <w:rFonts w:cs="仿宋_GB2312"/>
          <w:sz w:val="28"/>
          <w:szCs w:val="28"/>
        </w:rPr>
      </w:pPr>
      <w:r>
        <w:rPr>
          <w:rFonts w:hint="eastAsia" w:cs="仿宋_GB2312"/>
          <w:sz w:val="28"/>
          <w:szCs w:val="28"/>
        </w:rPr>
        <w:t>若被检产品明示的质量要求缺少本细则中检验项目依据的强制性标准要求时，应按照强制性标准要求判定；</w:t>
      </w:r>
    </w:p>
    <w:p>
      <w:pPr>
        <w:spacing w:line="560" w:lineRule="exact"/>
        <w:ind w:firstLine="560" w:firstLineChars="200"/>
        <w:rPr>
          <w:rFonts w:cs="仿宋_GB2312"/>
          <w:sz w:val="28"/>
          <w:szCs w:val="28"/>
        </w:rPr>
      </w:pPr>
      <w:r>
        <w:rPr>
          <w:rFonts w:hint="eastAsia" w:cs="仿宋_GB2312"/>
          <w:sz w:val="28"/>
          <w:szCs w:val="28"/>
        </w:rPr>
        <w:t>若被检产品明示的质量要求缺少本细则中检验项目依据的推荐性标准要求时，该项目不参与判定，但应在检验报告中作出说明；</w:t>
      </w:r>
    </w:p>
    <w:p>
      <w:pPr>
        <w:spacing w:line="560" w:lineRule="exact"/>
        <w:ind w:firstLine="560" w:firstLineChars="200"/>
        <w:rPr>
          <w:rFonts w:cs="仿宋_GB2312"/>
          <w:sz w:val="28"/>
          <w:szCs w:val="28"/>
        </w:rPr>
      </w:pPr>
      <w:r>
        <w:rPr>
          <w:rFonts w:hint="eastAsia" w:cs="仿宋_GB2312"/>
          <w:sz w:val="28"/>
          <w:szCs w:val="28"/>
        </w:rPr>
        <w:t>当被检样品未能提供有效的企业标准时，按相关国家或行业标准进行判定。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2612B"/>
    <w:rsid w:val="0023033B"/>
    <w:rsid w:val="00231B4C"/>
    <w:rsid w:val="00246256"/>
    <w:rsid w:val="002724DE"/>
    <w:rsid w:val="002A64B6"/>
    <w:rsid w:val="00301072"/>
    <w:rsid w:val="00332057"/>
    <w:rsid w:val="00335206"/>
    <w:rsid w:val="00342176"/>
    <w:rsid w:val="00350804"/>
    <w:rsid w:val="00361947"/>
    <w:rsid w:val="00373DCF"/>
    <w:rsid w:val="003B11C0"/>
    <w:rsid w:val="003B2A4D"/>
    <w:rsid w:val="003B5B67"/>
    <w:rsid w:val="003B6CED"/>
    <w:rsid w:val="003C45BD"/>
    <w:rsid w:val="003C6E53"/>
    <w:rsid w:val="00454E06"/>
    <w:rsid w:val="004805EF"/>
    <w:rsid w:val="004D3EDB"/>
    <w:rsid w:val="00502214"/>
    <w:rsid w:val="00544273"/>
    <w:rsid w:val="005462F5"/>
    <w:rsid w:val="00560939"/>
    <w:rsid w:val="00567951"/>
    <w:rsid w:val="00580ADD"/>
    <w:rsid w:val="0059343D"/>
    <w:rsid w:val="00594D01"/>
    <w:rsid w:val="005A280B"/>
    <w:rsid w:val="005C4D6C"/>
    <w:rsid w:val="005F1F85"/>
    <w:rsid w:val="005F3C99"/>
    <w:rsid w:val="00605167"/>
    <w:rsid w:val="00607628"/>
    <w:rsid w:val="00621D06"/>
    <w:rsid w:val="006328F4"/>
    <w:rsid w:val="006351DC"/>
    <w:rsid w:val="00676C9F"/>
    <w:rsid w:val="006A6233"/>
    <w:rsid w:val="006C1A91"/>
    <w:rsid w:val="007201A8"/>
    <w:rsid w:val="00721D53"/>
    <w:rsid w:val="00730C35"/>
    <w:rsid w:val="007650F5"/>
    <w:rsid w:val="00766BE5"/>
    <w:rsid w:val="00771A12"/>
    <w:rsid w:val="007A417F"/>
    <w:rsid w:val="007B07E0"/>
    <w:rsid w:val="007D08B7"/>
    <w:rsid w:val="007D4367"/>
    <w:rsid w:val="0081385A"/>
    <w:rsid w:val="00827163"/>
    <w:rsid w:val="0087088C"/>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F4C48"/>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95E1D"/>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7DB2C5"/>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A7E70D21"/>
    <w:rsid w:val="B9CB67E5"/>
    <w:rsid w:val="BFAFAB5F"/>
    <w:rsid w:val="CBE20EA3"/>
    <w:rsid w:val="CF6F6715"/>
    <w:rsid w:val="D7BB258B"/>
    <w:rsid w:val="DFFBBB33"/>
    <w:rsid w:val="E7D7033B"/>
    <w:rsid w:val="EAE3A466"/>
    <w:rsid w:val="F91D87E0"/>
    <w:rsid w:val="FA6E1E4E"/>
    <w:rsid w:val="FADE3DD2"/>
    <w:rsid w:val="FF695B77"/>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134</Words>
  <Characters>768</Characters>
  <Lines>6</Lines>
  <Paragraphs>1</Paragraphs>
  <TotalTime>1</TotalTime>
  <ScaleCrop>false</ScaleCrop>
  <LinksUpToDate>false</LinksUpToDate>
  <CharactersWithSpaces>901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2024-06-19T09:58:00Z</dcterms:created>
  <dc:creator>HO(∩_∩)O</dc:creator>
  <cp:lastModifiedBy>admin1</cp:lastModifiedBy>
  <dcterms:modified xsi:type="dcterms:W3CDTF">2026-05-19T17:13:23Z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