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9" w:lineRule="exact"/>
        <w:ind w:left="0" w:leftChars="0" w:right="0" w:rightChars="0" w:firstLine="0" w:firstLineChars="0"/>
        <w:jc w:val="center"/>
        <w:textAlignment w:val="auto"/>
        <w:rPr>
          <w:rFonts w:hint="eastAsia" w:ascii="Times New Roman" w:hAnsi="Times New Roman" w:eastAsia="方正小标宋简体" w:cs="Times New Roman"/>
          <w:color w:val="000000"/>
          <w:sz w:val="44"/>
          <w:szCs w:val="44"/>
        </w:rPr>
      </w:pPr>
      <w:r>
        <w:rPr>
          <w:rFonts w:hint="eastAsia" w:ascii="Times New Roman" w:hAnsi="Times New Roman" w:eastAsia="方正小标宋简体" w:cs="Times New Roman"/>
          <w:color w:val="000000"/>
          <w:sz w:val="44"/>
          <w:szCs w:val="44"/>
        </w:rPr>
        <w:t>消防器材产品质量监督抽查实施细则</w:t>
      </w:r>
    </w:p>
    <w:p>
      <w:pPr>
        <w:keepNext w:val="0"/>
        <w:keepLines w:val="0"/>
        <w:pageBreakBefore w:val="0"/>
        <w:widowControl w:val="0"/>
        <w:kinsoku/>
        <w:wordWrap/>
        <w:overflowPunct/>
        <w:topLinePunct w:val="0"/>
        <w:autoSpaceDE/>
        <w:autoSpaceDN/>
        <w:bidi w:val="0"/>
        <w:adjustRightInd/>
        <w:snapToGrid/>
        <w:spacing w:line="579" w:lineRule="exact"/>
        <w:ind w:left="0" w:leftChars="0" w:right="0" w:rightChars="0" w:firstLine="0" w:firstLineChars="0"/>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年版）</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0" w:firstLineChars="0"/>
        <w:jc w:val="left"/>
        <w:textAlignment w:val="auto"/>
        <w:rPr>
          <w:rFonts w:hint="eastAsia" w:ascii="方正小标宋简体" w:hAnsi="方正小标宋简体" w:eastAsia="方正小标宋简体" w:cs="方正小标宋简体"/>
          <w:b w:val="0"/>
          <w:bCs/>
          <w:sz w:val="44"/>
          <w:szCs w:val="44"/>
        </w:rPr>
      </w:pP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val="en-US"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以随机抽样的方式在被抽查市场主体的待销产品中抽取。</w:t>
      </w:r>
      <w:bookmarkStart w:id="0" w:name="_GoBack"/>
      <w:bookmarkEnd w:id="0"/>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随机数一般可使用随机数表等方法产生。</w:t>
      </w:r>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抽查数量：每款产品抽取2组样本，第1组用于检验，第2组用于备样。</w:t>
      </w:r>
    </w:p>
    <w:p>
      <w:pPr>
        <w:pStyle w:val="13"/>
        <w:keepNext w:val="0"/>
        <w:keepLines w:val="0"/>
        <w:pageBreakBefore w:val="0"/>
        <w:tabs>
          <w:tab w:val="clear" w:pos="840"/>
        </w:tabs>
        <w:kinsoku/>
        <w:wordWrap/>
        <w:overflowPunct/>
        <w:topLinePunct w:val="0"/>
        <w:autoSpaceDE/>
        <w:autoSpaceDN/>
        <w:bidi w:val="0"/>
        <w:spacing w:line="480" w:lineRule="exact"/>
        <w:ind w:left="0" w:leftChars="0"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rPr>
        <w:t>表1 抽取样品数量</w:t>
      </w:r>
    </w:p>
    <w:tbl>
      <w:tblPr>
        <w:tblStyle w:val="8"/>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2947"/>
        <w:gridCol w:w="2932"/>
        <w:gridCol w:w="2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39"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294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产品名称</w:t>
            </w:r>
          </w:p>
        </w:tc>
        <w:tc>
          <w:tcPr>
            <w:tcW w:w="293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第1组数量</w:t>
            </w:r>
          </w:p>
        </w:tc>
        <w:tc>
          <w:tcPr>
            <w:tcW w:w="2566"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9" w:type="dxa"/>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947" w:type="dxa"/>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手提式干粉灭火器</w:t>
            </w:r>
          </w:p>
        </w:tc>
        <w:tc>
          <w:tcPr>
            <w:tcW w:w="2932" w:type="dxa"/>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具</w:t>
            </w:r>
          </w:p>
        </w:tc>
        <w:tc>
          <w:tcPr>
            <w:tcW w:w="2566" w:type="dxa"/>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9" w:type="dxa"/>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947" w:type="dxa"/>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有衬里消防水带</w:t>
            </w:r>
          </w:p>
        </w:tc>
        <w:tc>
          <w:tcPr>
            <w:tcW w:w="2932" w:type="dxa"/>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根</w:t>
            </w:r>
          </w:p>
        </w:tc>
        <w:tc>
          <w:tcPr>
            <w:tcW w:w="2566" w:type="dxa"/>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84" w:type="dxa"/>
            <w:gridSpan w:val="4"/>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注：样品需为标称同一商标（或标称同一生产者）同一型号规格的产品。抽取的样品必须为整套产品（包括其包装），且不能被使用过。</w:t>
            </w:r>
          </w:p>
        </w:tc>
      </w:tr>
    </w:tbl>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rPr>
          <w:rFonts w:hint="eastAsia" w:ascii="黑体" w:hAnsi="黑体" w:eastAsia="黑体" w:cs="黑体"/>
          <w:color w:val="000000"/>
          <w:sz w:val="28"/>
          <w:szCs w:val="28"/>
          <w:lang w:val="en-US" w:eastAsia="zh-CN"/>
        </w:rPr>
      </w:pPr>
      <w:r>
        <w:rPr>
          <w:rFonts w:hint="eastAsia" w:ascii="黑体" w:hAnsi="黑体" w:eastAsia="黑体" w:cs="黑体"/>
          <w:color w:val="000000"/>
          <w:sz w:val="28"/>
          <w:szCs w:val="28"/>
          <w:lang w:val="en-US" w:eastAsia="zh-CN"/>
        </w:rPr>
        <w:t>二、检验依据</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480" w:lineRule="exact"/>
        <w:ind w:left="0" w:leftChars="0" w:right="0" w:rightChars="0" w:firstLine="0" w:firstLineChars="0"/>
        <w:contextualSpacing/>
        <w:jc w:val="center"/>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表2手提式干粉灭火器</w:t>
      </w:r>
    </w:p>
    <w:tbl>
      <w:tblPr>
        <w:tblStyle w:val="8"/>
        <w:tblW w:w="90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907"/>
        <w:gridCol w:w="2558"/>
        <w:gridCol w:w="2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b/>
                <w:bCs/>
                <w:kern w:val="2"/>
                <w:sz w:val="21"/>
                <w:szCs w:val="21"/>
              </w:rPr>
            </w:pPr>
            <w:r>
              <w:rPr>
                <w:rFonts w:hint="eastAsia" w:ascii="宋体" w:hAnsi="宋体" w:eastAsia="宋体" w:cs="宋体"/>
                <w:b/>
                <w:bCs/>
                <w:kern w:val="2"/>
                <w:sz w:val="21"/>
                <w:szCs w:val="21"/>
                <w:lang w:val="en-US" w:eastAsia="zh-CN" w:bidi="ar"/>
              </w:rPr>
              <w:t>序号</w:t>
            </w:r>
          </w:p>
        </w:tc>
        <w:tc>
          <w:tcPr>
            <w:tcW w:w="546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b/>
                <w:bCs/>
                <w:kern w:val="2"/>
                <w:sz w:val="21"/>
                <w:szCs w:val="21"/>
              </w:rPr>
            </w:pPr>
            <w:r>
              <w:rPr>
                <w:rFonts w:hint="eastAsia" w:ascii="宋体" w:hAnsi="宋体" w:eastAsia="宋体" w:cs="宋体"/>
                <w:b/>
                <w:bCs/>
                <w:kern w:val="2"/>
                <w:sz w:val="21"/>
                <w:szCs w:val="21"/>
                <w:lang w:val="en-US" w:eastAsia="zh-CN" w:bidi="ar"/>
              </w:rPr>
              <w:t>检验项目</w:t>
            </w:r>
          </w:p>
        </w:tc>
        <w:tc>
          <w:tcPr>
            <w:tcW w:w="26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b/>
                <w:bCs/>
                <w:kern w:val="2"/>
                <w:sz w:val="21"/>
                <w:szCs w:val="21"/>
              </w:rPr>
            </w:pPr>
            <w:r>
              <w:rPr>
                <w:rFonts w:hint="eastAsia" w:ascii="宋体" w:hAnsi="宋体" w:eastAsia="宋体" w:cs="宋体"/>
                <w:b/>
                <w:bCs/>
                <w:kern w:val="2"/>
                <w:sz w:val="21"/>
                <w:szCs w:val="21"/>
                <w:lang w:val="en-US" w:eastAsia="zh-CN"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jc w:val="center"/>
        </w:trPr>
        <w:tc>
          <w:tcPr>
            <w:tcW w:w="85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w:t>
            </w:r>
          </w:p>
        </w:tc>
        <w:tc>
          <w:tcPr>
            <w:tcW w:w="2907"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20℃时喷射性能</w:t>
            </w:r>
          </w:p>
        </w:tc>
        <w:tc>
          <w:tcPr>
            <w:tcW w:w="25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有效喷射时间</w:t>
            </w:r>
          </w:p>
        </w:tc>
        <w:tc>
          <w:tcPr>
            <w:tcW w:w="269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GB 4351-2023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jc w:val="center"/>
        </w:trPr>
        <w:tc>
          <w:tcPr>
            <w:tcW w:w="851" w:type="dxa"/>
            <w:vMerge w:val="continue"/>
            <w:tcBorders>
              <w:top w:val="nil"/>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sz w:val="21"/>
                <w:szCs w:val="21"/>
              </w:rPr>
            </w:pPr>
          </w:p>
        </w:tc>
        <w:tc>
          <w:tcPr>
            <w:tcW w:w="2907" w:type="dxa"/>
            <w:vMerge w:val="continue"/>
            <w:tcBorders>
              <w:top w:val="nil"/>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sz w:val="21"/>
                <w:szCs w:val="21"/>
              </w:rPr>
            </w:pPr>
          </w:p>
        </w:tc>
        <w:tc>
          <w:tcPr>
            <w:tcW w:w="25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喷射滞后时间</w:t>
            </w:r>
          </w:p>
        </w:tc>
        <w:tc>
          <w:tcPr>
            <w:tcW w:w="269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 w:hRule="atLeast"/>
          <w:jc w:val="center"/>
        </w:trPr>
        <w:tc>
          <w:tcPr>
            <w:tcW w:w="851" w:type="dxa"/>
            <w:vMerge w:val="continue"/>
            <w:tcBorders>
              <w:top w:val="nil"/>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sz w:val="21"/>
                <w:szCs w:val="21"/>
              </w:rPr>
            </w:pPr>
          </w:p>
        </w:tc>
        <w:tc>
          <w:tcPr>
            <w:tcW w:w="2907" w:type="dxa"/>
            <w:vMerge w:val="continue"/>
            <w:tcBorders>
              <w:top w:val="nil"/>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sz w:val="21"/>
                <w:szCs w:val="21"/>
              </w:rPr>
            </w:pPr>
          </w:p>
        </w:tc>
        <w:tc>
          <w:tcPr>
            <w:tcW w:w="25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喷射剩余率</w:t>
            </w:r>
          </w:p>
        </w:tc>
        <w:tc>
          <w:tcPr>
            <w:tcW w:w="269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jc w:val="center"/>
        </w:trPr>
        <w:tc>
          <w:tcPr>
            <w:tcW w:w="851" w:type="dxa"/>
            <w:vMerge w:val="continue"/>
            <w:tcBorders>
              <w:top w:val="nil"/>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sz w:val="21"/>
                <w:szCs w:val="21"/>
              </w:rPr>
            </w:pPr>
          </w:p>
        </w:tc>
        <w:tc>
          <w:tcPr>
            <w:tcW w:w="2907" w:type="dxa"/>
            <w:vMerge w:val="continue"/>
            <w:tcBorders>
              <w:top w:val="nil"/>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sz w:val="21"/>
                <w:szCs w:val="21"/>
              </w:rPr>
            </w:pPr>
          </w:p>
        </w:tc>
        <w:tc>
          <w:tcPr>
            <w:tcW w:w="25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喷射距离</w:t>
            </w:r>
          </w:p>
        </w:tc>
        <w:tc>
          <w:tcPr>
            <w:tcW w:w="269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2</w:t>
            </w:r>
          </w:p>
        </w:tc>
        <w:tc>
          <w:tcPr>
            <w:tcW w:w="2907"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充装要求</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充装量</w:t>
            </w:r>
          </w:p>
        </w:tc>
        <w:tc>
          <w:tcPr>
            <w:tcW w:w="2692"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GB 4351-2023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Merge w:val="continue"/>
            <w:tcBorders>
              <w:top w:val="nil"/>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sz w:val="21"/>
                <w:szCs w:val="21"/>
              </w:rPr>
            </w:pPr>
          </w:p>
        </w:tc>
        <w:tc>
          <w:tcPr>
            <w:tcW w:w="2907" w:type="dxa"/>
            <w:vMerge w:val="continue"/>
            <w:tcBorders>
              <w:top w:val="nil"/>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sz w:val="21"/>
                <w:szCs w:val="21"/>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充装误差</w:t>
            </w:r>
          </w:p>
        </w:tc>
        <w:tc>
          <w:tcPr>
            <w:tcW w:w="2692" w:type="dxa"/>
            <w:vMerge w:val="continue"/>
            <w:tcBorders>
              <w:top w:val="nil"/>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1" w:hRule="atLeast"/>
          <w:jc w:val="center"/>
        </w:trPr>
        <w:tc>
          <w:tcPr>
            <w:tcW w:w="8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3</w:t>
            </w:r>
          </w:p>
        </w:tc>
        <w:tc>
          <w:tcPr>
            <w:tcW w:w="2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瓶体</w:t>
            </w:r>
          </w:p>
        </w:tc>
        <w:tc>
          <w:tcPr>
            <w:tcW w:w="25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爆破性能</w:t>
            </w:r>
          </w:p>
        </w:tc>
        <w:tc>
          <w:tcPr>
            <w:tcW w:w="26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GB 4351-2023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4</w:t>
            </w:r>
          </w:p>
        </w:tc>
        <w:tc>
          <w:tcPr>
            <w:tcW w:w="2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灭火剂（干粉灭火剂）</w:t>
            </w:r>
          </w:p>
        </w:tc>
        <w:tc>
          <w:tcPr>
            <w:tcW w:w="25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第一主要组分含量</w:t>
            </w:r>
          </w:p>
        </w:tc>
        <w:tc>
          <w:tcPr>
            <w:tcW w:w="26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autoSpaceDE w:val="0"/>
              <w:autoSpaceDN/>
              <w:spacing w:before="0" w:beforeAutospacing="0" w:after="0" w:afterAutospacing="0" w:line="240" w:lineRule="auto"/>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GB 4066-2017</w:t>
            </w:r>
          </w:p>
        </w:tc>
      </w:tr>
    </w:tbl>
    <w:p>
      <w:pPr>
        <w:keepNext w:val="0"/>
        <w:keepLines w:val="0"/>
        <w:pageBreakBefore w:val="0"/>
        <w:widowControl/>
        <w:kinsoku/>
        <w:wordWrap/>
        <w:overflowPunct/>
        <w:topLinePunct w:val="0"/>
        <w:autoSpaceDE/>
        <w:autoSpaceDN/>
        <w:bidi w:val="0"/>
        <w:adjustRightInd/>
        <w:snapToGrid/>
        <w:spacing w:before="157" w:beforeLines="50" w:line="480" w:lineRule="exact"/>
        <w:ind w:left="0" w:leftChars="0" w:right="0" w:rightChars="0"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仿宋" w:hAnsi="仿宋" w:eastAsia="仿宋" w:cs="仿宋"/>
          <w:bCs/>
          <w:color w:val="auto"/>
          <w:kern w:val="0"/>
          <w:sz w:val="28"/>
          <w:szCs w:val="28"/>
          <w:highlight w:val="none"/>
          <w:lang w:val="en-US" w:eastAsia="zh-CN" w:bidi="ar-SA"/>
        </w:rPr>
        <w:t>表3有衬里消防水带</w:t>
      </w:r>
    </w:p>
    <w:tbl>
      <w:tblPr>
        <w:tblStyle w:val="8"/>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3713"/>
        <w:gridCol w:w="4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blHeader/>
          <w:jc w:val="center"/>
        </w:trPr>
        <w:tc>
          <w:tcPr>
            <w:tcW w:w="10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color w:val="auto"/>
                <w:kern w:val="0"/>
                <w:sz w:val="21"/>
                <w:szCs w:val="21"/>
                <w:highlight w:val="none"/>
              </w:rPr>
            </w:pPr>
            <w:r>
              <w:rPr>
                <w:rFonts w:hint="eastAsia" w:ascii="宋体" w:hAnsi="宋体" w:eastAsia="宋体" w:cs="宋体"/>
                <w:b/>
                <w:bCs w:val="0"/>
                <w:color w:val="auto"/>
                <w:kern w:val="0"/>
                <w:sz w:val="21"/>
                <w:szCs w:val="21"/>
                <w:highlight w:val="none"/>
              </w:rPr>
              <w:t>序号</w:t>
            </w:r>
          </w:p>
        </w:tc>
        <w:tc>
          <w:tcPr>
            <w:tcW w:w="371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color w:val="auto"/>
                <w:kern w:val="0"/>
                <w:sz w:val="21"/>
                <w:szCs w:val="21"/>
                <w:highlight w:val="none"/>
              </w:rPr>
            </w:pPr>
            <w:r>
              <w:rPr>
                <w:rFonts w:hint="eastAsia" w:ascii="宋体" w:hAnsi="宋体" w:eastAsia="宋体" w:cs="宋体"/>
                <w:b/>
                <w:bCs w:val="0"/>
                <w:color w:val="auto"/>
                <w:kern w:val="0"/>
                <w:sz w:val="21"/>
                <w:szCs w:val="21"/>
                <w:highlight w:val="none"/>
              </w:rPr>
              <w:t>检验项目</w:t>
            </w:r>
          </w:p>
        </w:tc>
        <w:tc>
          <w:tcPr>
            <w:tcW w:w="42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color w:val="auto"/>
                <w:kern w:val="0"/>
                <w:sz w:val="21"/>
                <w:szCs w:val="21"/>
                <w:highlight w:val="none"/>
              </w:rPr>
            </w:pPr>
            <w:r>
              <w:rPr>
                <w:rFonts w:hint="eastAsia" w:ascii="宋体" w:hAnsi="宋体" w:eastAsia="宋体" w:cs="宋体"/>
                <w:b/>
                <w:bCs w:val="0"/>
                <w:color w:val="auto"/>
                <w:kern w:val="0"/>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1051"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p>
        </w:tc>
        <w:tc>
          <w:tcPr>
            <w:tcW w:w="371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外观质量</w:t>
            </w:r>
          </w:p>
        </w:tc>
        <w:tc>
          <w:tcPr>
            <w:tcW w:w="429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GB 6246</w:t>
            </w:r>
            <w:r>
              <w:rPr>
                <w:rFonts w:hint="eastAsia" w:ascii="宋体" w:hAnsi="宋体" w:eastAsia="宋体" w:cs="宋体"/>
                <w:bCs/>
                <w:color w:val="auto"/>
                <w:kern w:val="0"/>
                <w:sz w:val="21"/>
                <w:szCs w:val="21"/>
                <w:highlight w:val="none"/>
                <w:lang w:eastAsia="zh-CN"/>
              </w:rPr>
              <w:t>—</w:t>
            </w:r>
            <w:r>
              <w:rPr>
                <w:rFonts w:hint="eastAsia" w:ascii="宋体" w:hAnsi="宋体" w:eastAsia="宋体" w:cs="宋体"/>
                <w:bCs/>
                <w:color w:val="auto"/>
                <w:kern w:val="0"/>
                <w:sz w:val="21"/>
                <w:szCs w:val="21"/>
                <w:highlight w:val="none"/>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1051"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p>
        </w:tc>
        <w:tc>
          <w:tcPr>
            <w:tcW w:w="371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内径</w:t>
            </w:r>
          </w:p>
        </w:tc>
        <w:tc>
          <w:tcPr>
            <w:tcW w:w="429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GB 6246</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1051"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p>
        </w:tc>
        <w:tc>
          <w:tcPr>
            <w:tcW w:w="371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长度</w:t>
            </w:r>
          </w:p>
        </w:tc>
        <w:tc>
          <w:tcPr>
            <w:tcW w:w="429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GB 6246</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1051"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w:t>
            </w:r>
          </w:p>
        </w:tc>
        <w:tc>
          <w:tcPr>
            <w:tcW w:w="371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水压试验</w:t>
            </w:r>
          </w:p>
        </w:tc>
        <w:tc>
          <w:tcPr>
            <w:tcW w:w="429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GB 6246</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1051"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w:t>
            </w:r>
          </w:p>
        </w:tc>
        <w:tc>
          <w:tcPr>
            <w:tcW w:w="371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爆破试验</w:t>
            </w:r>
          </w:p>
        </w:tc>
        <w:tc>
          <w:tcPr>
            <w:tcW w:w="429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GB 6246</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1051"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6</w:t>
            </w:r>
          </w:p>
        </w:tc>
        <w:tc>
          <w:tcPr>
            <w:tcW w:w="371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单位长度质量</w:t>
            </w:r>
          </w:p>
        </w:tc>
        <w:tc>
          <w:tcPr>
            <w:tcW w:w="429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GB 6246</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1051"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w:t>
            </w:r>
          </w:p>
        </w:tc>
        <w:tc>
          <w:tcPr>
            <w:tcW w:w="371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附着强度</w:t>
            </w:r>
          </w:p>
        </w:tc>
        <w:tc>
          <w:tcPr>
            <w:tcW w:w="429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GB/T 532</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051"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8</w:t>
            </w:r>
          </w:p>
        </w:tc>
        <w:tc>
          <w:tcPr>
            <w:tcW w:w="371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热空气老化性能</w:t>
            </w:r>
          </w:p>
        </w:tc>
        <w:tc>
          <w:tcPr>
            <w:tcW w:w="429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GB 6246</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2011</w:t>
            </w:r>
          </w:p>
        </w:tc>
      </w:tr>
    </w:tbl>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jc w:val="left"/>
        <w:textAlignment w:val="auto"/>
        <w:rPr>
          <w:rFonts w:hint="eastAsia" w:ascii="黑体" w:hAnsi="黑体" w:eastAsia="黑体" w:cs="黑体"/>
          <w:color w:val="000000"/>
          <w:sz w:val="28"/>
          <w:szCs w:val="28"/>
          <w:lang w:val="en-US" w:eastAsia="zh-CN"/>
        </w:rPr>
      </w:pPr>
      <w:r>
        <w:rPr>
          <w:rFonts w:hint="eastAsia" w:ascii="黑体" w:hAnsi="黑体" w:eastAsia="黑体" w:cs="黑体"/>
          <w:color w:val="000000"/>
          <w:sz w:val="28"/>
          <w:szCs w:val="28"/>
          <w:lang w:val="en-US" w:eastAsia="zh-CN"/>
        </w:rPr>
        <w:t>三、判定规则</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jc w:val="left"/>
        <w:textAlignment w:val="auto"/>
        <w:rPr>
          <w:rFonts w:hint="eastAsia" w:ascii="楷体_GB2312" w:hAnsi="楷体_GB2312" w:eastAsia="楷体_GB2312" w:cs="楷体_GB2312"/>
          <w:color w:val="auto"/>
          <w:sz w:val="28"/>
          <w:szCs w:val="28"/>
          <w:highlight w:val="none"/>
        </w:rPr>
      </w:pPr>
      <w:r>
        <w:rPr>
          <w:rFonts w:hint="eastAsia" w:eastAsia="楷体_GB2312" w:cs="仿宋_GB2312"/>
          <w:color w:val="auto"/>
          <w:sz w:val="28"/>
          <w:szCs w:val="28"/>
          <w:highlight w:val="none"/>
          <w:lang w:eastAsia="zh-CN"/>
        </w:rPr>
        <w:t>（一）</w:t>
      </w:r>
      <w:r>
        <w:rPr>
          <w:rFonts w:hint="eastAsia" w:ascii="Times New Roman" w:hAnsi="Times New Roman" w:eastAsia="楷体_GB2312" w:cs="仿宋_GB2312"/>
          <w:color w:val="auto"/>
          <w:sz w:val="28"/>
          <w:szCs w:val="28"/>
          <w:highlight w:val="none"/>
          <w:lang w:eastAsia="zh-CN"/>
        </w:rPr>
        <w:t>依据标准</w:t>
      </w:r>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GB 4351-20</w:t>
      </w:r>
      <w:r>
        <w:rPr>
          <w:rFonts w:hint="eastAsia" w:ascii="仿宋_GB2312" w:hAnsi="仿宋_GB2312" w:eastAsia="仿宋_GB2312" w:cs="仿宋_GB2312"/>
          <w:sz w:val="28"/>
          <w:szCs w:val="28"/>
          <w:lang w:val="en-US" w:eastAsia="zh-CN"/>
        </w:rPr>
        <w:t>23</w:t>
      </w:r>
      <w:r>
        <w:rPr>
          <w:rFonts w:hint="eastAsia" w:ascii="仿宋_GB2312" w:hAnsi="仿宋_GB2312" w:eastAsia="仿宋_GB2312" w:cs="仿宋_GB2312"/>
          <w:sz w:val="28"/>
          <w:szCs w:val="28"/>
        </w:rPr>
        <w:t>《手提式灭火器》</w:t>
      </w:r>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GB 6246-2011《消防水带》</w:t>
      </w:r>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jc w:val="left"/>
        <w:textAlignment w:val="auto"/>
        <w:rPr>
          <w:rFonts w:hint="eastAsia" w:ascii="楷体_GB2312" w:hAnsi="楷体_GB2312" w:eastAsia="楷体_GB2312" w:cs="楷体_GB2312"/>
          <w:color w:val="auto"/>
          <w:sz w:val="28"/>
          <w:szCs w:val="28"/>
          <w:highlight w:val="none"/>
          <w:lang w:val="en-US" w:eastAsia="zh-CN"/>
        </w:rPr>
      </w:pPr>
      <w:r>
        <w:rPr>
          <w:rFonts w:hint="eastAsia" w:ascii="楷体_GB2312" w:hAnsi="楷体_GB2312" w:eastAsia="楷体_GB2312" w:cs="楷体_GB2312"/>
          <w:color w:val="auto"/>
          <w:sz w:val="28"/>
          <w:szCs w:val="28"/>
          <w:highlight w:val="none"/>
          <w:lang w:val="en-US" w:eastAsia="zh-CN"/>
        </w:rPr>
        <w:t>（二）判定原则</w:t>
      </w:r>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若被检产品明示的质量要求缺少本细则中检验项目依据的推荐性标准要求时，该项目不参与判定。</w:t>
      </w:r>
    </w:p>
    <w:sectPr>
      <w:pgSz w:w="11906" w:h="16838"/>
      <w:pgMar w:top="1587" w:right="1417" w:bottom="1587" w:left="141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EB46FE"/>
    <w:rsid w:val="000228DC"/>
    <w:rsid w:val="00101AF8"/>
    <w:rsid w:val="00BD1D0E"/>
    <w:rsid w:val="00EB46FE"/>
    <w:rsid w:val="0C5B233E"/>
    <w:rsid w:val="0F0169F0"/>
    <w:rsid w:val="11CB3AC2"/>
    <w:rsid w:val="16DF6A48"/>
    <w:rsid w:val="170840D6"/>
    <w:rsid w:val="18DD3CEF"/>
    <w:rsid w:val="1A6C3968"/>
    <w:rsid w:val="21163637"/>
    <w:rsid w:val="22463F1E"/>
    <w:rsid w:val="25357349"/>
    <w:rsid w:val="25866DF5"/>
    <w:rsid w:val="26293E62"/>
    <w:rsid w:val="27741EB6"/>
    <w:rsid w:val="295C30AF"/>
    <w:rsid w:val="2E883CF0"/>
    <w:rsid w:val="300246FB"/>
    <w:rsid w:val="306D6439"/>
    <w:rsid w:val="323B6D3A"/>
    <w:rsid w:val="361119E9"/>
    <w:rsid w:val="3D9250A4"/>
    <w:rsid w:val="3F91597B"/>
    <w:rsid w:val="41F459EA"/>
    <w:rsid w:val="42E45F1C"/>
    <w:rsid w:val="43EA577A"/>
    <w:rsid w:val="44B37BFE"/>
    <w:rsid w:val="462F66F9"/>
    <w:rsid w:val="46A55A66"/>
    <w:rsid w:val="48D11565"/>
    <w:rsid w:val="49991C38"/>
    <w:rsid w:val="4A2F0EAF"/>
    <w:rsid w:val="4A91106B"/>
    <w:rsid w:val="4EEC684A"/>
    <w:rsid w:val="507C4292"/>
    <w:rsid w:val="52177639"/>
    <w:rsid w:val="55E71958"/>
    <w:rsid w:val="55F03988"/>
    <w:rsid w:val="56C105BC"/>
    <w:rsid w:val="572A46DD"/>
    <w:rsid w:val="57D2793E"/>
    <w:rsid w:val="59951985"/>
    <w:rsid w:val="5A2C1777"/>
    <w:rsid w:val="5B287002"/>
    <w:rsid w:val="5BE0055A"/>
    <w:rsid w:val="661A2B10"/>
    <w:rsid w:val="666B285E"/>
    <w:rsid w:val="67690EE4"/>
    <w:rsid w:val="6AE4023E"/>
    <w:rsid w:val="6DB56E82"/>
    <w:rsid w:val="6F4C25C4"/>
    <w:rsid w:val="79911824"/>
    <w:rsid w:val="799D05BD"/>
    <w:rsid w:val="7B3B008E"/>
    <w:rsid w:val="7B8C6524"/>
    <w:rsid w:val="9EFF48B6"/>
    <w:rsid w:val="F7FD5753"/>
    <w:rsid w:val="FFDB6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cs="宋体"/>
      <w:sz w:val="21"/>
      <w:szCs w:val="21"/>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toc 2"/>
    <w:basedOn w:val="1"/>
    <w:next w:val="1"/>
    <w:qFormat/>
    <w:uiPriority w:val="0"/>
    <w:pPr>
      <w:ind w:left="420" w:leftChars="200"/>
    </w:p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character" w:customStyle="1" w:styleId="11">
    <w:name w:val="页眉 Char"/>
    <w:basedOn w:val="9"/>
    <w:link w:val="5"/>
    <w:qFormat/>
    <w:uiPriority w:val="0"/>
    <w:rPr>
      <w:rFonts w:ascii="Times New Roman" w:hAnsi="Times New Roman" w:eastAsia="仿宋_GB2312" w:cs="Times New Roman"/>
      <w:kern w:val="2"/>
      <w:sz w:val="18"/>
      <w:szCs w:val="18"/>
    </w:rPr>
  </w:style>
  <w:style w:type="character" w:customStyle="1" w:styleId="12">
    <w:name w:val="页脚 Char"/>
    <w:basedOn w:val="9"/>
    <w:link w:val="4"/>
    <w:qFormat/>
    <w:uiPriority w:val="0"/>
    <w:rPr>
      <w:rFonts w:ascii="Times New Roman" w:hAnsi="Times New Roman" w:eastAsia="仿宋_GB2312" w:cs="Times New Roman"/>
      <w:kern w:val="2"/>
      <w:sz w:val="18"/>
      <w:szCs w:val="18"/>
    </w:rPr>
  </w:style>
  <w:style w:type="paragraph" w:customStyle="1" w:styleId="13">
    <w:name w:val="列项·"/>
    <w:qFormat/>
    <w:uiPriority w:val="99"/>
    <w:pPr>
      <w:tabs>
        <w:tab w:val="left" w:pos="840"/>
      </w:tabs>
      <w:ind w:left="420"/>
      <w:jc w:val="both"/>
    </w:pPr>
    <w:rPr>
      <w:rFonts w:ascii="宋体" w:hAnsi="Calibri"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SMQ</Company>
  <Pages>3</Pages>
  <Words>857</Words>
  <Characters>976</Characters>
  <Lines>14</Lines>
  <Paragraphs>3</Paragraphs>
  <TotalTime>8</TotalTime>
  <ScaleCrop>false</ScaleCrop>
  <LinksUpToDate>false</LinksUpToDate>
  <CharactersWithSpaces>994</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2021-05-18T03:13:00Z</dcterms:created>
  <dc:creator>test</dc:creator>
  <cp:lastModifiedBy>admin1</cp:lastModifiedBy>
  <dcterms:modified xsi:type="dcterms:W3CDTF">2026-05-18T11:30:00Z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4D910ED34DD748508B3CC6D9F2DCF7E9</vt:lpwstr>
  </property>
  <property fmtid="{D5CDD505-2E9C-101B-9397-08002B2CF9AE}" pid="4" name="KSOTemplateDocerSaveRecord">
    <vt:lpwstr>eyJoZGlkIjoiZDRiYjVjNWI5MzAzZTZmMWUwMWJlOWMwMWQxNmZkMjMiLCJ1c2VySWQiOiIxNDU1NzgxMzYwIn0=</vt:lpwstr>
  </property>
</Properties>
</file>