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560" w:lineRule="exact"/>
        <w:ind w:left="0" w:right="0"/>
        <w:jc w:val="center"/>
        <w:rPr>
          <w:rFonts w:hint="eastAsia" w:ascii="方正小标宋简体" w:hAnsi="方正小标宋简体" w:eastAsia="方正小标宋简体" w:cs="方正小标宋简体"/>
          <w:color w:val="000000"/>
          <w:kern w:val="2"/>
          <w:sz w:val="36"/>
          <w:szCs w:val="36"/>
          <w:lang w:val="en-US" w:eastAsia="zh-CN" w:bidi="ar"/>
        </w:rPr>
      </w:pPr>
      <w:r>
        <w:rPr>
          <w:rFonts w:hint="eastAsia" w:ascii="方正小标宋简体" w:hAnsi="方正小标宋简体" w:eastAsia="方正小标宋简体" w:cs="方正小标宋简体"/>
          <w:color w:val="000000"/>
          <w:kern w:val="2"/>
          <w:sz w:val="36"/>
          <w:szCs w:val="36"/>
          <w:lang w:val="en-US" w:eastAsia="zh-CN" w:bidi="ar"/>
        </w:rPr>
        <w:t>户外燃气燃烧器具产品质量监督抽查实施细则</w:t>
      </w:r>
    </w:p>
    <w:p>
      <w:pPr>
        <w:keepNext w:val="0"/>
        <w:keepLines w:val="0"/>
        <w:widowControl w:val="0"/>
        <w:suppressLineNumbers w:val="0"/>
        <w:spacing w:before="0" w:beforeAutospacing="0" w:after="0" w:afterAutospacing="0" w:line="560" w:lineRule="exact"/>
        <w:ind w:left="0" w:right="0"/>
        <w:jc w:val="center"/>
        <w:rPr>
          <w:rFonts w:hint="default" w:ascii="Times New Roman" w:hAnsi="Times New Roman" w:eastAsia="楷体_GB2312" w:cs="楷体_GB2312"/>
          <w:color w:val="000000"/>
          <w:kern w:val="2"/>
          <w:sz w:val="32"/>
          <w:szCs w:val="32"/>
        </w:rPr>
      </w:pPr>
      <w:r>
        <w:rPr>
          <w:rFonts w:hint="default" w:ascii="楷体_GB2312" w:hAnsi="Times New Roman" w:eastAsia="楷体_GB2312" w:cs="楷体_GB2312"/>
          <w:color w:val="000000"/>
          <w:kern w:val="2"/>
          <w:sz w:val="32"/>
          <w:szCs w:val="32"/>
          <w:lang w:val="en-US" w:eastAsia="zh-CN" w:bidi="ar"/>
        </w:rPr>
        <w:t>（</w:t>
      </w:r>
      <w:r>
        <w:rPr>
          <w:rFonts w:hint="default" w:ascii="Times New Roman" w:hAnsi="Times New Roman" w:eastAsia="楷体_GB2312" w:cs="楷体_GB2312"/>
          <w:color w:val="000000"/>
          <w:kern w:val="2"/>
          <w:sz w:val="32"/>
          <w:szCs w:val="32"/>
          <w:lang w:val="en-US" w:eastAsia="zh-CN" w:bidi="ar"/>
        </w:rPr>
        <w:t>202</w:t>
      </w:r>
      <w:r>
        <w:rPr>
          <w:rFonts w:hint="eastAsia" w:eastAsia="楷体_GB2312" w:cs="楷体_GB2312"/>
          <w:color w:val="000000"/>
          <w:kern w:val="2"/>
          <w:sz w:val="32"/>
          <w:szCs w:val="32"/>
          <w:lang w:val="en-US" w:eastAsia="zh-CN" w:bidi="ar"/>
        </w:rPr>
        <w:t>6</w:t>
      </w:r>
      <w:r>
        <w:rPr>
          <w:rFonts w:hint="default" w:ascii="楷体_GB2312" w:hAnsi="Times New Roman" w:eastAsia="楷体_GB2312" w:cs="楷体_GB2312"/>
          <w:color w:val="000000"/>
          <w:kern w:val="2"/>
          <w:sz w:val="32"/>
          <w:szCs w:val="32"/>
          <w:lang w:val="en-US" w:eastAsia="zh-CN" w:bidi="ar"/>
        </w:rPr>
        <w:t>年版）</w:t>
      </w:r>
    </w:p>
    <w:p>
      <w:pPr>
        <w:keepNext w:val="0"/>
        <w:keepLines w:val="0"/>
        <w:widowControl w:val="0"/>
        <w:suppressLineNumbers w:val="0"/>
        <w:spacing w:before="0" w:beforeAutospacing="0" w:after="0" w:afterAutospacing="0" w:line="560" w:lineRule="exact"/>
        <w:ind w:left="0" w:right="0"/>
        <w:jc w:val="both"/>
        <w:rPr>
          <w:rFonts w:hint="default" w:ascii="Times New Roman" w:hAnsi="Times New Roman" w:eastAsia="仿宋_GB2312" w:cs="仿宋_GB2312"/>
          <w:color w:val="000000"/>
          <w:kern w:val="2"/>
          <w:sz w:val="32"/>
          <w:szCs w:val="32"/>
        </w:rPr>
      </w:pPr>
      <w:r>
        <w:rPr>
          <w:rFonts w:hint="default" w:ascii="Times New Roman" w:hAnsi="Times New Roman" w:eastAsia="仿宋_GB2312" w:cs="仿宋_GB2312"/>
          <w:color w:val="000000"/>
          <w:kern w:val="2"/>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黑体" w:cs="Times New Roman"/>
          <w:color w:val="000000"/>
          <w:kern w:val="2"/>
          <w:sz w:val="28"/>
          <w:szCs w:val="28"/>
        </w:rPr>
      </w:pPr>
      <w:r>
        <w:rPr>
          <w:rFonts w:hint="eastAsia" w:ascii="黑体" w:hAnsi="宋体" w:eastAsia="黑体" w:cs="黑体"/>
          <w:color w:val="000000"/>
          <w:kern w:val="2"/>
          <w:sz w:val="28"/>
          <w:szCs w:val="28"/>
          <w:lang w:val="en-US" w:eastAsia="zh-CN" w:bidi="ar"/>
        </w:rPr>
        <w:t>一、抽样方法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eastAsia" w:ascii="仿宋_GB2312" w:hAnsi="Times New Roman" w:eastAsia="仿宋_GB2312" w:cs="仿宋_GB2312"/>
          <w:color w:val="000000"/>
          <w:kern w:val="2"/>
          <w:sz w:val="28"/>
          <w:szCs w:val="28"/>
          <w:lang w:val="en-US" w:eastAsia="zh-CN" w:bidi="ar"/>
        </w:rPr>
        <w:t>以随机抽样的方式在被抽样生产者、销售者的待销产品中抽取。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eastAsia" w:ascii="仿宋_GB2312" w:hAnsi="Times New Roman" w:eastAsia="仿宋_GB2312" w:cs="仿宋_GB2312"/>
          <w:color w:val="000000"/>
          <w:kern w:val="2"/>
          <w:sz w:val="28"/>
          <w:szCs w:val="28"/>
          <w:lang w:val="en-US" w:eastAsia="zh-CN" w:bidi="ar"/>
        </w:rPr>
        <w:t>随机数一般可使用随机数表等方法产生。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eastAsia" w:ascii="仿宋_GB2312" w:hAnsi="Times New Roman" w:eastAsia="仿宋_GB2312" w:cs="仿宋_GB2312"/>
          <w:color w:val="000000"/>
          <w:kern w:val="2"/>
          <w:sz w:val="28"/>
          <w:szCs w:val="28"/>
          <w:lang w:val="en-US" w:eastAsia="zh-CN" w:bidi="ar"/>
        </w:rPr>
        <w:t>每批次产品抽取</w:t>
      </w:r>
      <w:r>
        <w:rPr>
          <w:rFonts w:hint="default" w:ascii="Times New Roman" w:hAnsi="Times New Roman" w:eastAsia="仿宋_GB2312" w:cs="仿宋_GB2312"/>
          <w:color w:val="000000"/>
          <w:kern w:val="2"/>
          <w:sz w:val="28"/>
          <w:szCs w:val="28"/>
          <w:lang w:val="en-US" w:eastAsia="zh-CN" w:bidi="ar"/>
        </w:rPr>
        <w:t>2</w:t>
      </w:r>
      <w:r>
        <w:rPr>
          <w:rFonts w:hint="eastAsia" w:ascii="仿宋_GB2312" w:hAnsi="Times New Roman" w:eastAsia="仿宋_GB2312" w:cs="仿宋_GB2312"/>
          <w:color w:val="000000"/>
          <w:kern w:val="2"/>
          <w:sz w:val="28"/>
          <w:szCs w:val="28"/>
          <w:lang w:val="en-US" w:eastAsia="zh-CN" w:bidi="ar"/>
        </w:rPr>
        <w:t>组样本，第</w:t>
      </w:r>
      <w:r>
        <w:rPr>
          <w:rFonts w:hint="default" w:ascii="Times New Roman" w:hAnsi="Times New Roman" w:eastAsia="仿宋_GB2312" w:cs="仿宋_GB2312"/>
          <w:color w:val="000000"/>
          <w:kern w:val="2"/>
          <w:sz w:val="28"/>
          <w:szCs w:val="28"/>
          <w:lang w:val="en-US" w:eastAsia="zh-CN" w:bidi="ar"/>
        </w:rPr>
        <w:t>1</w:t>
      </w:r>
      <w:r>
        <w:rPr>
          <w:rFonts w:hint="eastAsia" w:ascii="仿宋_GB2312" w:hAnsi="Times New Roman" w:eastAsia="仿宋_GB2312" w:cs="仿宋_GB2312"/>
          <w:color w:val="000000"/>
          <w:kern w:val="2"/>
          <w:sz w:val="28"/>
          <w:szCs w:val="28"/>
          <w:lang w:val="en-US" w:eastAsia="zh-CN" w:bidi="ar"/>
        </w:rPr>
        <w:t>组用于检验，第</w:t>
      </w:r>
      <w:r>
        <w:rPr>
          <w:rFonts w:hint="default" w:ascii="Times New Roman" w:hAnsi="Times New Roman" w:eastAsia="仿宋_GB2312" w:cs="仿宋_GB2312"/>
          <w:color w:val="000000"/>
          <w:kern w:val="2"/>
          <w:sz w:val="28"/>
          <w:szCs w:val="28"/>
          <w:lang w:val="en-US" w:eastAsia="zh-CN" w:bidi="ar"/>
        </w:rPr>
        <w:t>2</w:t>
      </w:r>
      <w:r>
        <w:rPr>
          <w:rFonts w:hint="eastAsia" w:ascii="仿宋_GB2312" w:hAnsi="Times New Roman" w:eastAsia="仿宋_GB2312" w:cs="仿宋_GB2312"/>
          <w:color w:val="000000"/>
          <w:kern w:val="2"/>
          <w:sz w:val="28"/>
          <w:szCs w:val="28"/>
          <w:lang w:val="en-US" w:eastAsia="zh-CN" w:bidi="ar"/>
        </w:rPr>
        <w:t>组用于备样。具体抽样数量如下：</w:t>
      </w:r>
    </w:p>
    <w:tbl>
      <w:tblPr>
        <w:tblStyle w:val="2"/>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3672"/>
        <w:gridCol w:w="2260"/>
        <w:gridCol w:w="2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8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b/>
                <w:bCs/>
                <w:color w:val="000000"/>
                <w:kern w:val="2"/>
                <w:sz w:val="21"/>
                <w:szCs w:val="21"/>
              </w:rPr>
            </w:pPr>
            <w:r>
              <w:rPr>
                <w:rFonts w:hint="eastAsia" w:asciiTheme="majorEastAsia" w:hAnsiTheme="majorEastAsia" w:eastAsiaTheme="majorEastAsia" w:cstheme="majorEastAsia"/>
                <w:b/>
                <w:bCs/>
                <w:color w:val="000000"/>
                <w:kern w:val="2"/>
                <w:sz w:val="21"/>
                <w:szCs w:val="21"/>
                <w:lang w:val="en-US" w:eastAsia="zh-CN" w:bidi="ar"/>
              </w:rPr>
              <w:t>序号</w:t>
            </w:r>
          </w:p>
        </w:tc>
        <w:tc>
          <w:tcPr>
            <w:tcW w:w="3672"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b/>
                <w:bCs/>
                <w:color w:val="000000"/>
                <w:kern w:val="2"/>
                <w:sz w:val="21"/>
                <w:szCs w:val="21"/>
              </w:rPr>
            </w:pPr>
            <w:r>
              <w:rPr>
                <w:rFonts w:hint="eastAsia" w:asciiTheme="majorEastAsia" w:hAnsiTheme="majorEastAsia" w:eastAsiaTheme="majorEastAsia" w:cstheme="majorEastAsia"/>
                <w:b/>
                <w:bCs/>
                <w:color w:val="000000"/>
                <w:kern w:val="2"/>
                <w:sz w:val="21"/>
                <w:szCs w:val="21"/>
                <w:lang w:val="en-US" w:eastAsia="zh-CN" w:bidi="ar"/>
              </w:rPr>
              <w:t>产品名称</w:t>
            </w:r>
          </w:p>
        </w:tc>
        <w:tc>
          <w:tcPr>
            <w:tcW w:w="2260"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b/>
                <w:bCs/>
                <w:color w:val="000000"/>
                <w:kern w:val="2"/>
                <w:sz w:val="21"/>
                <w:szCs w:val="21"/>
              </w:rPr>
            </w:pPr>
            <w:r>
              <w:rPr>
                <w:rFonts w:hint="eastAsia" w:asciiTheme="majorEastAsia" w:hAnsiTheme="majorEastAsia" w:eastAsiaTheme="majorEastAsia" w:cstheme="majorEastAsia"/>
                <w:b/>
                <w:bCs/>
                <w:color w:val="000000"/>
                <w:kern w:val="2"/>
                <w:sz w:val="21"/>
                <w:szCs w:val="21"/>
                <w:lang w:val="en-US" w:eastAsia="zh-CN" w:bidi="ar"/>
              </w:rPr>
              <w:t>第1组数量</w:t>
            </w:r>
          </w:p>
        </w:tc>
        <w:tc>
          <w:tcPr>
            <w:tcW w:w="2402"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b/>
                <w:bCs/>
                <w:color w:val="000000"/>
                <w:kern w:val="2"/>
                <w:sz w:val="21"/>
                <w:szCs w:val="21"/>
              </w:rPr>
            </w:pPr>
            <w:r>
              <w:rPr>
                <w:rFonts w:hint="eastAsia" w:asciiTheme="majorEastAsia" w:hAnsiTheme="majorEastAsia" w:eastAsiaTheme="majorEastAsia" w:cstheme="majorEastAsia"/>
                <w:b/>
                <w:bCs/>
                <w:color w:val="000000"/>
                <w:kern w:val="2"/>
                <w:sz w:val="21"/>
                <w:szCs w:val="21"/>
                <w:lang w:val="en-US" w:eastAsia="zh-CN" w:bidi="ar"/>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8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1</w:t>
            </w:r>
          </w:p>
        </w:tc>
        <w:tc>
          <w:tcPr>
            <w:tcW w:w="3672"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户外燃气燃烧器具</w:t>
            </w:r>
          </w:p>
        </w:tc>
        <w:tc>
          <w:tcPr>
            <w:tcW w:w="2260"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2台</w:t>
            </w:r>
          </w:p>
        </w:tc>
        <w:tc>
          <w:tcPr>
            <w:tcW w:w="2402"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1台</w:t>
            </w:r>
          </w:p>
        </w:tc>
      </w:tr>
    </w:tbl>
    <w:p>
      <w:pPr>
        <w:keepNext w:val="0"/>
        <w:keepLines w:val="0"/>
        <w:widowControl w:val="0"/>
        <w:suppressLineNumbers w:val="0"/>
        <w:spacing w:before="0" w:beforeAutospacing="0" w:after="0" w:afterAutospacing="0" w:line="560" w:lineRule="exact"/>
        <w:ind w:left="0" w:right="0" w:firstLine="560" w:firstLineChars="200"/>
        <w:jc w:val="left"/>
        <w:rPr>
          <w:rFonts w:hint="default" w:ascii="Times New Roman" w:hAnsi="Times New Roman" w:eastAsia="仿宋_GB2312" w:cs="Times New Roman"/>
          <w:color w:val="000000"/>
          <w:kern w:val="2"/>
          <w:sz w:val="28"/>
          <w:szCs w:val="28"/>
        </w:rPr>
      </w:pPr>
      <w:r>
        <w:rPr>
          <w:rFonts w:hint="eastAsia" w:ascii="黑体" w:hAnsi="宋体" w:eastAsia="黑体" w:cs="黑体"/>
          <w:color w:val="000000"/>
          <w:kern w:val="2"/>
          <w:sz w:val="28"/>
          <w:szCs w:val="28"/>
          <w:lang w:val="en-US" w:eastAsia="zh-CN" w:bidi="ar"/>
        </w:rPr>
        <w:t>二、检验依据</w:t>
      </w:r>
    </w:p>
    <w:tbl>
      <w:tblPr>
        <w:tblStyle w:val="2"/>
        <w:tblW w:w="91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
        <w:gridCol w:w="1978"/>
        <w:gridCol w:w="3367"/>
        <w:gridCol w:w="2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b/>
                <w:bCs/>
                <w:color w:val="000000"/>
                <w:kern w:val="2"/>
                <w:sz w:val="21"/>
                <w:szCs w:val="21"/>
              </w:rPr>
            </w:pPr>
            <w:r>
              <w:rPr>
                <w:rFonts w:hint="eastAsia" w:asciiTheme="majorEastAsia" w:hAnsiTheme="majorEastAsia" w:eastAsiaTheme="majorEastAsia" w:cstheme="majorEastAsia"/>
                <w:b/>
                <w:bCs/>
                <w:color w:val="000000"/>
                <w:kern w:val="2"/>
                <w:sz w:val="21"/>
                <w:szCs w:val="21"/>
                <w:lang w:val="en-US" w:eastAsia="zh-CN" w:bidi="ar"/>
              </w:rPr>
              <w:t>序号</w:t>
            </w:r>
          </w:p>
        </w:tc>
        <w:tc>
          <w:tcPr>
            <w:tcW w:w="5345"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b/>
                <w:bCs/>
                <w:color w:val="000000"/>
                <w:kern w:val="2"/>
                <w:sz w:val="21"/>
                <w:szCs w:val="21"/>
              </w:rPr>
            </w:pPr>
            <w:r>
              <w:rPr>
                <w:rFonts w:hint="eastAsia" w:asciiTheme="majorEastAsia" w:hAnsiTheme="majorEastAsia" w:eastAsiaTheme="majorEastAsia" w:cstheme="majorEastAsia"/>
                <w:b/>
                <w:bCs/>
                <w:color w:val="000000"/>
                <w:kern w:val="2"/>
                <w:sz w:val="21"/>
                <w:szCs w:val="21"/>
                <w:lang w:val="en-US" w:eastAsia="zh-CN" w:bidi="ar"/>
              </w:rPr>
              <w:t>检验项目</w:t>
            </w:r>
          </w:p>
        </w:tc>
        <w:tc>
          <w:tcPr>
            <w:tcW w:w="2950"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b/>
                <w:bCs/>
                <w:color w:val="000000"/>
                <w:kern w:val="2"/>
                <w:sz w:val="21"/>
                <w:szCs w:val="21"/>
              </w:rPr>
            </w:pPr>
            <w:r>
              <w:rPr>
                <w:rFonts w:hint="eastAsia" w:asciiTheme="majorEastAsia" w:hAnsiTheme="majorEastAsia" w:eastAsiaTheme="majorEastAsia" w:cstheme="majorEastAsia"/>
                <w:b/>
                <w:bCs/>
                <w:color w:val="000000"/>
                <w:kern w:val="2"/>
                <w:sz w:val="21"/>
                <w:szCs w:val="21"/>
                <w:lang w:val="en-US" w:eastAsia="zh-CN" w:bidi="ar"/>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1</w:t>
            </w:r>
          </w:p>
        </w:tc>
        <w:tc>
          <w:tcPr>
            <w:tcW w:w="5345"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燃气系统气密性</w:t>
            </w:r>
          </w:p>
        </w:tc>
        <w:tc>
          <w:tcPr>
            <w:tcW w:w="2950"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GB/T 38522—2020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2</w:t>
            </w:r>
          </w:p>
        </w:tc>
        <w:tc>
          <w:tcPr>
            <w:tcW w:w="5345"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热负荷准确度</w:t>
            </w:r>
          </w:p>
        </w:tc>
        <w:tc>
          <w:tcPr>
            <w:tcW w:w="2950"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GB/T 38522—2020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3</w:t>
            </w:r>
          </w:p>
        </w:tc>
        <w:tc>
          <w:tcPr>
            <w:tcW w:w="5345"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燃烧工况</w:t>
            </w:r>
          </w:p>
        </w:tc>
        <w:tc>
          <w:tcPr>
            <w:tcW w:w="2950"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GB/T 38522—2020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4</w:t>
            </w:r>
          </w:p>
        </w:tc>
        <w:tc>
          <w:tcPr>
            <w:tcW w:w="5345"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熄火保护装置性能</w:t>
            </w:r>
          </w:p>
        </w:tc>
        <w:tc>
          <w:tcPr>
            <w:tcW w:w="2950"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GB/T 38522—2020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5</w:t>
            </w:r>
          </w:p>
        </w:tc>
        <w:tc>
          <w:tcPr>
            <w:tcW w:w="5345"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点火器性能</w:t>
            </w:r>
          </w:p>
        </w:tc>
        <w:tc>
          <w:tcPr>
            <w:tcW w:w="2950"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GB/T 38522—2020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6</w:t>
            </w:r>
          </w:p>
        </w:tc>
        <w:tc>
          <w:tcPr>
            <w:tcW w:w="5345"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表面温升</w:t>
            </w:r>
          </w:p>
        </w:tc>
        <w:tc>
          <w:tcPr>
            <w:tcW w:w="2950" w:type="dxa"/>
            <w:tcBorders>
              <w:top w:val="single" w:color="000000" w:sz="4" w:space="0"/>
              <w:left w:val="nil"/>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GB/T 38522—2020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7</w:t>
            </w:r>
          </w:p>
        </w:tc>
        <w:tc>
          <w:tcPr>
            <w:tcW w:w="5345"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耐极限温度</w:t>
            </w:r>
          </w:p>
        </w:tc>
        <w:tc>
          <w:tcPr>
            <w:tcW w:w="2950" w:type="dxa"/>
            <w:tcBorders>
              <w:top w:val="single" w:color="000000" w:sz="4" w:space="0"/>
              <w:left w:val="nil"/>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GB/T 38522—2020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8</w:t>
            </w:r>
          </w:p>
        </w:tc>
        <w:tc>
          <w:tcPr>
            <w:tcW w:w="1978" w:type="dxa"/>
            <w:vMerge w:val="restart"/>
            <w:tcBorders>
              <w:top w:val="nil"/>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小气瓶燃具的特殊要求</w:t>
            </w:r>
          </w:p>
        </w:tc>
        <w:tc>
          <w:tcPr>
            <w:tcW w:w="336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气密性</w:t>
            </w:r>
          </w:p>
        </w:tc>
        <w:tc>
          <w:tcPr>
            <w:tcW w:w="2950" w:type="dxa"/>
            <w:tcBorders>
              <w:top w:val="single" w:color="000000" w:sz="4" w:space="0"/>
              <w:left w:val="nil"/>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GB/T 38522—2020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9</w:t>
            </w:r>
          </w:p>
        </w:tc>
        <w:tc>
          <w:tcPr>
            <w:tcW w:w="1978" w:type="dxa"/>
            <w:vMerge w:val="continue"/>
            <w:tcBorders>
              <w:top w:val="nil"/>
              <w:left w:val="nil"/>
              <w:bottom w:val="single" w:color="000000" w:sz="4" w:space="0"/>
              <w:right w:val="single" w:color="000000" w:sz="4" w:space="0"/>
            </w:tcBorders>
            <w:noWrap w:val="0"/>
            <w:vAlign w:val="center"/>
          </w:tcPr>
          <w:p>
            <w:pPr>
              <w:rPr>
                <w:rFonts w:hint="eastAsia" w:asciiTheme="majorEastAsia" w:hAnsiTheme="majorEastAsia" w:eastAsiaTheme="majorEastAsia" w:cstheme="majorEastAsia"/>
                <w:sz w:val="21"/>
                <w:szCs w:val="21"/>
              </w:rPr>
            </w:pPr>
          </w:p>
        </w:tc>
        <w:tc>
          <w:tcPr>
            <w:tcW w:w="336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耗气量准确度</w:t>
            </w:r>
          </w:p>
        </w:tc>
        <w:tc>
          <w:tcPr>
            <w:tcW w:w="2950" w:type="dxa"/>
            <w:tcBorders>
              <w:top w:val="single" w:color="000000" w:sz="4" w:space="0"/>
              <w:left w:val="nil"/>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GB/T 38522—2020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10</w:t>
            </w:r>
          </w:p>
        </w:tc>
        <w:tc>
          <w:tcPr>
            <w:tcW w:w="1978" w:type="dxa"/>
            <w:vMerge w:val="continue"/>
            <w:tcBorders>
              <w:top w:val="nil"/>
              <w:left w:val="nil"/>
              <w:bottom w:val="single" w:color="000000" w:sz="4" w:space="0"/>
              <w:right w:val="single" w:color="000000" w:sz="4" w:space="0"/>
            </w:tcBorders>
            <w:noWrap w:val="0"/>
            <w:vAlign w:val="center"/>
          </w:tcPr>
          <w:p>
            <w:pPr>
              <w:rPr>
                <w:rFonts w:hint="eastAsia" w:asciiTheme="majorEastAsia" w:hAnsiTheme="majorEastAsia" w:eastAsiaTheme="majorEastAsia" w:cstheme="majorEastAsia"/>
                <w:sz w:val="21"/>
                <w:szCs w:val="21"/>
              </w:rPr>
            </w:pPr>
          </w:p>
        </w:tc>
        <w:tc>
          <w:tcPr>
            <w:tcW w:w="336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过压切断装置</w:t>
            </w:r>
          </w:p>
        </w:tc>
        <w:tc>
          <w:tcPr>
            <w:tcW w:w="2950" w:type="dxa"/>
            <w:tcBorders>
              <w:top w:val="single" w:color="000000" w:sz="4" w:space="0"/>
              <w:left w:val="nil"/>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GB/T 38522—2020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11</w:t>
            </w:r>
          </w:p>
        </w:tc>
        <w:tc>
          <w:tcPr>
            <w:tcW w:w="1978" w:type="dxa"/>
            <w:vMerge w:val="continue"/>
            <w:tcBorders>
              <w:top w:val="nil"/>
              <w:left w:val="nil"/>
              <w:bottom w:val="single" w:color="000000" w:sz="4" w:space="0"/>
              <w:right w:val="single" w:color="000000" w:sz="4" w:space="0"/>
            </w:tcBorders>
            <w:noWrap w:val="0"/>
            <w:vAlign w:val="center"/>
          </w:tcPr>
          <w:p>
            <w:pPr>
              <w:rPr>
                <w:rFonts w:hint="eastAsia" w:asciiTheme="majorEastAsia" w:hAnsiTheme="majorEastAsia" w:eastAsiaTheme="majorEastAsia" w:cstheme="majorEastAsia"/>
                <w:sz w:val="21"/>
                <w:szCs w:val="21"/>
              </w:rPr>
            </w:pPr>
          </w:p>
        </w:tc>
        <w:tc>
          <w:tcPr>
            <w:tcW w:w="336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跌落</w:t>
            </w:r>
          </w:p>
        </w:tc>
        <w:tc>
          <w:tcPr>
            <w:tcW w:w="2950" w:type="dxa"/>
            <w:tcBorders>
              <w:top w:val="single" w:color="000000" w:sz="4" w:space="0"/>
              <w:left w:val="nil"/>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center"/>
              <w:rPr>
                <w:rFonts w:hint="eastAsia" w:asciiTheme="majorEastAsia" w:hAnsiTheme="majorEastAsia" w:eastAsiaTheme="majorEastAsia" w:cstheme="majorEastAsia"/>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GB/T 38522—2020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5" w:hRule="atLeast"/>
          <w:jc w:val="center"/>
        </w:trPr>
        <w:tc>
          <w:tcPr>
            <w:tcW w:w="9167" w:type="dxa"/>
            <w:gridSpan w:val="4"/>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line="560" w:lineRule="exact"/>
              <w:ind w:left="0" w:right="0"/>
              <w:jc w:val="both"/>
              <w:rPr>
                <w:rFonts w:hint="eastAsia" w:asciiTheme="majorEastAsia" w:hAnsiTheme="majorEastAsia" w:eastAsiaTheme="majorEastAsia" w:cstheme="majorEastAsia"/>
                <w:bCs/>
                <w:color w:val="000000"/>
                <w:kern w:val="2"/>
                <w:sz w:val="21"/>
                <w:szCs w:val="21"/>
              </w:rPr>
            </w:pPr>
            <w:r>
              <w:rPr>
                <w:rFonts w:hint="eastAsia" w:asciiTheme="majorEastAsia" w:hAnsiTheme="majorEastAsia" w:eastAsiaTheme="majorEastAsia" w:cstheme="majorEastAsia"/>
                <w:color w:val="000000"/>
                <w:kern w:val="2"/>
                <w:sz w:val="21"/>
                <w:szCs w:val="21"/>
                <w:lang w:val="en-US" w:eastAsia="zh-CN" w:bidi="ar"/>
              </w:rPr>
              <w:t>注：1.表面温升</w:t>
            </w:r>
            <w:r>
              <w:rPr>
                <w:rFonts w:hint="eastAsia" w:asciiTheme="majorEastAsia" w:hAnsiTheme="majorEastAsia" w:eastAsiaTheme="majorEastAsia" w:cstheme="majorEastAsia"/>
                <w:bCs/>
                <w:color w:val="000000"/>
                <w:kern w:val="2"/>
                <w:sz w:val="21"/>
                <w:szCs w:val="21"/>
                <w:lang w:val="en-US" w:eastAsia="zh-CN" w:bidi="ar"/>
              </w:rPr>
              <w:t>的检验项目为</w:t>
            </w:r>
            <w:r>
              <w:rPr>
                <w:rFonts w:hint="eastAsia" w:asciiTheme="majorEastAsia" w:hAnsiTheme="majorEastAsia" w:eastAsiaTheme="majorEastAsia" w:cstheme="majorEastAsia"/>
                <w:color w:val="000000"/>
                <w:kern w:val="2"/>
                <w:sz w:val="21"/>
                <w:szCs w:val="21"/>
                <w:lang w:val="en-US" w:eastAsia="zh-CN" w:bidi="ar"/>
              </w:rPr>
              <w:t>GB/T 38522—2020的</w:t>
            </w:r>
            <w:r>
              <w:rPr>
                <w:rFonts w:hint="eastAsia" w:asciiTheme="majorEastAsia" w:hAnsiTheme="majorEastAsia" w:eastAsiaTheme="majorEastAsia" w:cstheme="majorEastAsia"/>
                <w:bCs/>
                <w:color w:val="000000"/>
                <w:kern w:val="2"/>
                <w:sz w:val="21"/>
                <w:szCs w:val="21"/>
                <w:lang w:val="en-US" w:eastAsia="zh-CN" w:bidi="ar"/>
              </w:rPr>
              <w:t>6.1.13中的正常使用过程中需接触部位（旋钮、手柄等）的表面、小气瓶燃具气瓶底部。</w:t>
            </w:r>
          </w:p>
          <w:p>
            <w:pPr>
              <w:keepNext w:val="0"/>
              <w:keepLines w:val="0"/>
              <w:widowControl w:val="0"/>
              <w:suppressLineNumbers w:val="0"/>
              <w:spacing w:before="0" w:beforeAutospacing="0" w:after="0" w:afterAutospacing="0" w:line="560" w:lineRule="exact"/>
              <w:ind w:left="0" w:right="0" w:firstLine="420" w:firstLineChars="200"/>
              <w:jc w:val="both"/>
              <w:rPr>
                <w:rFonts w:hint="eastAsia" w:asciiTheme="majorEastAsia" w:hAnsiTheme="majorEastAsia" w:eastAsiaTheme="majorEastAsia" w:cstheme="majorEastAsia"/>
                <w:bCs/>
                <w:color w:val="000000"/>
                <w:kern w:val="2"/>
                <w:sz w:val="21"/>
                <w:szCs w:val="21"/>
              </w:rPr>
            </w:pPr>
            <w:r>
              <w:rPr>
                <w:rFonts w:hint="eastAsia" w:asciiTheme="majorEastAsia" w:hAnsiTheme="majorEastAsia" w:eastAsiaTheme="majorEastAsia" w:cstheme="majorEastAsia"/>
                <w:bCs/>
                <w:color w:val="000000"/>
                <w:kern w:val="2"/>
                <w:sz w:val="21"/>
                <w:szCs w:val="21"/>
                <w:lang w:val="en-US" w:eastAsia="zh-CN" w:bidi="ar"/>
              </w:rPr>
              <w:t>2.燃烧工况的检验项目为</w:t>
            </w:r>
            <w:r>
              <w:rPr>
                <w:rFonts w:hint="eastAsia" w:asciiTheme="majorEastAsia" w:hAnsiTheme="majorEastAsia" w:eastAsiaTheme="majorEastAsia" w:cstheme="majorEastAsia"/>
                <w:color w:val="000000"/>
                <w:kern w:val="2"/>
                <w:sz w:val="21"/>
                <w:szCs w:val="21"/>
                <w:lang w:val="en-US" w:eastAsia="zh-CN" w:bidi="ar"/>
              </w:rPr>
              <w:t>GB/T 38522—2020的</w:t>
            </w:r>
            <w:r>
              <w:rPr>
                <w:rFonts w:hint="eastAsia" w:asciiTheme="majorEastAsia" w:hAnsiTheme="majorEastAsia" w:eastAsiaTheme="majorEastAsia" w:cstheme="majorEastAsia"/>
                <w:bCs/>
                <w:color w:val="000000"/>
                <w:kern w:val="2"/>
                <w:sz w:val="21"/>
                <w:szCs w:val="21"/>
                <w:lang w:val="en-US" w:eastAsia="zh-CN" w:bidi="ar"/>
              </w:rPr>
              <w:t>6.1.4中的火焰传递、</w:t>
            </w:r>
            <w:r>
              <w:rPr>
                <w:rFonts w:hint="eastAsia" w:asciiTheme="majorEastAsia" w:hAnsiTheme="majorEastAsia" w:eastAsiaTheme="majorEastAsia" w:cstheme="majorEastAsia"/>
                <w:color w:val="000000"/>
                <w:kern w:val="2"/>
                <w:sz w:val="21"/>
                <w:szCs w:val="21"/>
                <w:lang w:val="en-US" w:eastAsia="zh-CN" w:bidi="ar"/>
              </w:rPr>
              <w:t>干烟气中CO</w:t>
            </w:r>
            <w:r>
              <w:rPr>
                <w:rFonts w:hint="eastAsia" w:asciiTheme="majorEastAsia" w:hAnsiTheme="majorEastAsia" w:eastAsiaTheme="majorEastAsia" w:cstheme="majorEastAsia"/>
                <w:color w:val="000000"/>
                <w:kern w:val="2"/>
                <w:sz w:val="21"/>
                <w:szCs w:val="21"/>
                <w:vertAlign w:val="subscript"/>
                <w:lang w:val="en-US" w:eastAsia="zh-CN" w:bidi="ar"/>
              </w:rPr>
              <w:t>（α=1）</w:t>
            </w:r>
            <w:r>
              <w:rPr>
                <w:rFonts w:hint="eastAsia" w:asciiTheme="majorEastAsia" w:hAnsiTheme="majorEastAsia" w:eastAsiaTheme="majorEastAsia" w:cstheme="majorEastAsia"/>
                <w:bCs/>
                <w:color w:val="000000"/>
                <w:kern w:val="2"/>
                <w:sz w:val="21"/>
                <w:szCs w:val="21"/>
                <w:lang w:val="en-US" w:eastAsia="zh-CN" w:bidi="ar"/>
              </w:rPr>
              <w:t>。</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eastAsia" w:ascii="仿宋_GB2312" w:hAnsi="Times New Roman" w:eastAsia="仿宋_GB2312" w:cs="仿宋_GB2312"/>
          <w:color w:val="000000"/>
          <w:kern w:val="2"/>
          <w:sz w:val="28"/>
          <w:szCs w:val="28"/>
          <w:lang w:val="en-US" w:eastAsia="zh-CN" w:bidi="ar"/>
        </w:rPr>
        <w:t>执行企业标准、团体标准、地方标准的产品，检验项目参照上述内容执行。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eastAsia" w:ascii="仿宋_GB2312" w:hAnsi="Times New Roman" w:eastAsia="仿宋_GB2312" w:cs="仿宋_GB2312"/>
          <w:color w:val="000000"/>
          <w:kern w:val="2"/>
          <w:sz w:val="28"/>
          <w:szCs w:val="28"/>
          <w:lang w:val="en-US" w:eastAsia="zh-CN" w:bidi="ar"/>
        </w:rPr>
        <w:t>凡是注日期的文件，其随后所有的修改单（不包括勘误的内容）或修订版不适用于本细则。凡是不注日期的文件，其最新版本适用于本细则。</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黑体" w:cs="Times New Roman"/>
          <w:color w:val="000000"/>
          <w:kern w:val="2"/>
          <w:sz w:val="28"/>
          <w:szCs w:val="28"/>
        </w:rPr>
      </w:pPr>
      <w:r>
        <w:rPr>
          <w:rFonts w:hint="eastAsia" w:ascii="黑体" w:hAnsi="宋体" w:eastAsia="黑体" w:cs="黑体"/>
          <w:color w:val="000000"/>
          <w:kern w:val="2"/>
          <w:sz w:val="28"/>
          <w:szCs w:val="28"/>
          <w:lang w:val="en-US" w:eastAsia="zh-CN" w:bidi="ar"/>
        </w:rPr>
        <w:t>三、判定规则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楷体_GB2312" w:cs="Times New Roman"/>
          <w:color w:val="000000"/>
          <w:kern w:val="2"/>
          <w:sz w:val="28"/>
          <w:szCs w:val="28"/>
        </w:rPr>
      </w:pPr>
      <w:r>
        <w:rPr>
          <w:rFonts w:hint="eastAsia" w:ascii="楷体_GB2312" w:eastAsia="楷体_GB2312" w:cs="楷体_GB2312"/>
          <w:color w:val="000000"/>
          <w:kern w:val="2"/>
          <w:sz w:val="28"/>
          <w:szCs w:val="28"/>
          <w:lang w:val="en-US" w:eastAsia="zh-CN" w:bidi="ar"/>
        </w:rPr>
        <w:t>（一）</w:t>
      </w:r>
      <w:r>
        <w:rPr>
          <w:rFonts w:hint="default" w:ascii="楷体_GB2312" w:hAnsi="Times New Roman" w:eastAsia="楷体_GB2312" w:cs="楷体_GB2312"/>
          <w:color w:val="000000"/>
          <w:kern w:val="2"/>
          <w:sz w:val="28"/>
          <w:szCs w:val="28"/>
          <w:lang w:val="en-US" w:eastAsia="zh-CN" w:bidi="ar"/>
        </w:rPr>
        <w:t>依据标准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default" w:ascii="Times New Roman" w:hAnsi="Times New Roman" w:eastAsia="仿宋_GB2312" w:cs="仿宋_GB2312"/>
          <w:color w:val="000000"/>
          <w:kern w:val="2"/>
          <w:sz w:val="28"/>
          <w:szCs w:val="28"/>
          <w:lang w:val="en-US" w:eastAsia="zh-CN" w:bidi="ar"/>
        </w:rPr>
        <w:t>GB/T 38522—2020</w:t>
      </w:r>
      <w:r>
        <w:rPr>
          <w:rFonts w:hint="eastAsia" w:ascii="仿宋_GB2312" w:hAnsi="Times New Roman" w:eastAsia="仿宋_GB2312" w:cs="仿宋_GB2312"/>
          <w:color w:val="000000"/>
          <w:kern w:val="2"/>
          <w:sz w:val="28"/>
          <w:szCs w:val="28"/>
          <w:lang w:val="en-US" w:eastAsia="zh-CN" w:bidi="ar"/>
        </w:rPr>
        <w:t>《户外燃气燃烧器具》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eastAsia" w:ascii="仿宋_GB2312" w:hAnsi="Times New Roman" w:eastAsia="仿宋_GB2312" w:cs="仿宋_GB2312"/>
          <w:color w:val="000000"/>
          <w:kern w:val="2"/>
          <w:sz w:val="28"/>
          <w:szCs w:val="28"/>
          <w:lang w:val="en-US" w:eastAsia="zh-CN" w:bidi="ar"/>
        </w:rPr>
        <w:t>现行有效的企业标准、团体标准、地方标准及产品明示质量要求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楷体_GB2312" w:cs="Times New Roman"/>
          <w:color w:val="000000"/>
          <w:kern w:val="2"/>
          <w:sz w:val="28"/>
          <w:szCs w:val="28"/>
        </w:rPr>
      </w:pPr>
      <w:r>
        <w:rPr>
          <w:rFonts w:hint="eastAsia" w:eastAsia="楷体_GB2312" w:cs="Times New Roman"/>
          <w:color w:val="000000"/>
          <w:kern w:val="2"/>
          <w:sz w:val="28"/>
          <w:szCs w:val="28"/>
          <w:lang w:val="en-US" w:eastAsia="zh-CN" w:bidi="ar"/>
        </w:rPr>
        <w:t>（二）</w:t>
      </w:r>
      <w:r>
        <w:rPr>
          <w:rFonts w:hint="default" w:ascii="楷体_GB2312" w:hAnsi="Times New Roman" w:eastAsia="楷体_GB2312" w:cs="楷体_GB2312"/>
          <w:color w:val="000000"/>
          <w:kern w:val="2"/>
          <w:sz w:val="28"/>
          <w:szCs w:val="28"/>
          <w:lang w:val="en-US" w:eastAsia="zh-CN" w:bidi="ar"/>
        </w:rPr>
        <w:t>判定原则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eastAsia" w:ascii="仿宋_GB2312" w:hAnsi="Times New Roman" w:eastAsia="仿宋_GB2312" w:cs="仿宋_GB2312"/>
          <w:color w:val="000000"/>
          <w:kern w:val="2"/>
          <w:sz w:val="28"/>
          <w:szCs w:val="28"/>
          <w:lang w:val="en-US" w:eastAsia="zh-CN" w:bidi="ar"/>
        </w:rPr>
        <w:t>经检验，检验项目全部合格，判定为被抽查产品所检项目未发现不合格；检验项目中任一项或一项以上不合格，判定为被抽查产品不合格。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eastAsia" w:ascii="仿宋_GB2312" w:hAnsi="Times New Roman" w:eastAsia="仿宋_GB2312" w:cs="仿宋_GB2312"/>
          <w:color w:val="000000"/>
          <w:kern w:val="2"/>
          <w:sz w:val="28"/>
          <w:szCs w:val="28"/>
          <w:lang w:val="en-US" w:eastAsia="zh-CN" w:bidi="ar"/>
        </w:rPr>
        <w:t>若被检产品明示的质量要求高于本细则中检验项目依据的标准要求时，应按被检产品明示的质量要求判定。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eastAsia" w:ascii="仿宋_GB2312" w:hAnsi="Times New Roman" w:eastAsia="仿宋_GB2312" w:cs="仿宋_GB2312"/>
          <w:color w:val="000000"/>
          <w:kern w:val="2"/>
          <w:sz w:val="28"/>
          <w:szCs w:val="28"/>
          <w:lang w:val="en-US" w:eastAsia="zh-CN" w:bidi="ar"/>
        </w:rPr>
        <w:t>若被检产品明示的质量要求低于本细则中检验项目依据的强制性标准要求时，应按照强制性标准要求判定。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eastAsia" w:ascii="仿宋_GB2312" w:hAnsi="Times New Roman" w:eastAsia="仿宋_GB2312" w:cs="仿宋_GB2312"/>
          <w:color w:val="000000"/>
          <w:kern w:val="2"/>
          <w:sz w:val="28"/>
          <w:szCs w:val="28"/>
          <w:lang w:val="en-US" w:eastAsia="zh-CN" w:bidi="ar"/>
        </w:rPr>
        <w:t>若被检产品明示的质量要求低于或包含本细则中检验项目依据的推荐性标准要求时，应以被检产品明示的质量要求判定。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rFonts w:hint="default" w:ascii="Times New Roman" w:hAnsi="Times New Roman" w:eastAsia="仿宋_GB2312" w:cs="仿宋_GB2312"/>
          <w:color w:val="000000"/>
          <w:kern w:val="2"/>
          <w:sz w:val="28"/>
          <w:szCs w:val="28"/>
        </w:rPr>
      </w:pPr>
      <w:r>
        <w:rPr>
          <w:rFonts w:hint="eastAsia" w:ascii="仿宋_GB2312" w:hAnsi="Times New Roman" w:eastAsia="仿宋_GB2312" w:cs="仿宋_GB2312"/>
          <w:color w:val="000000"/>
          <w:kern w:val="2"/>
          <w:sz w:val="28"/>
          <w:szCs w:val="28"/>
          <w:lang w:val="en-US" w:eastAsia="zh-CN" w:bidi="ar"/>
        </w:rPr>
        <w:t>若被检产品明示的质量要求缺少本细则中检验项目依据的强制性标准要求时，应按照强制性标准要求判定。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560" w:firstLineChars="200"/>
        <w:jc w:val="left"/>
        <w:textAlignment w:val="auto"/>
        <w:rPr>
          <w:sz w:val="28"/>
          <w:szCs w:val="22"/>
        </w:rPr>
      </w:pPr>
      <w:r>
        <w:rPr>
          <w:rFonts w:hint="eastAsia" w:ascii="仿宋_GB2312" w:hAnsi="Times New Roman" w:eastAsia="仿宋_GB2312" w:cs="仿宋_GB2312"/>
          <w:color w:val="000000"/>
          <w:kern w:val="2"/>
          <w:sz w:val="28"/>
          <w:szCs w:val="28"/>
          <w:lang w:val="en-US" w:eastAsia="zh-CN" w:bidi="ar"/>
        </w:rPr>
        <w:t>若被检产品明示的质量要求缺少本细则中检验项目依据的推荐性标准要求时，该项目不参与判定。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6516F9"/>
    <w:rsid w:val="4E6516F9"/>
    <w:rsid w:val="EDDF5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2026-04-24T09:32:00Z</dcterms:created>
  <dc:creator>王华燕</dc:creator>
  <cp:lastModifiedBy>admin1</cp:lastModifiedBy>
  <dcterms:modified xsi:type="dcterms:W3CDTF">2026-05-13T17:52:44Z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BB2C7F8DC910412584AEF9F5C792A945_11</vt:lpwstr>
  </property>
  <property fmtid="{D5CDD505-2E9C-101B-9397-08002B2CF9AE}" pid="4" name="KSOTemplateDocerSaveRecord">
    <vt:lpwstr>eyJoZGlkIjoiZDRiYjVjNWI5MzAzZTZmMWUwMWJlOWMwMWQxNmZkMjMiLCJ1c2VySWQiOiIxNDU1NzgxMzYwIn0=</vt:lpwstr>
  </property>
</Properties>
</file>