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eastAsia="方正小标宋简体"/>
          <w:color w:val="000000"/>
          <w:sz w:val="36"/>
          <w:szCs w:val="36"/>
        </w:rPr>
      </w:pPr>
      <w:r>
        <w:rPr>
          <w:rFonts w:hint="eastAsia" w:eastAsia="方正小标宋简体"/>
          <w:color w:val="000000"/>
          <w:sz w:val="36"/>
          <w:szCs w:val="36"/>
        </w:rPr>
        <w:t>固定式通用灯具产品质量监督抽查实施细则</w:t>
      </w:r>
    </w:p>
    <w:p>
      <w:pPr>
        <w:spacing w:line="44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（2026版）</w:t>
      </w:r>
    </w:p>
    <w:p>
      <w:pPr>
        <w:spacing w:line="520" w:lineRule="exact"/>
        <w:ind w:firstLine="880" w:firstLineChars="200"/>
        <w:jc w:val="left"/>
        <w:rPr>
          <w:rFonts w:eastAsia="方正小标宋简体" w:cs="方正小标宋简体"/>
          <w:color w:val="000000"/>
          <w:sz w:val="44"/>
          <w:szCs w:val="44"/>
        </w:rPr>
      </w:pP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每批次抽取样品3台，其中2台作为检验样品，1台作为备用样品。</w:t>
      </w:r>
    </w:p>
    <w:p>
      <w:pPr>
        <w:spacing w:line="480" w:lineRule="exact"/>
        <w:ind w:firstLine="560" w:firstLineChars="200"/>
        <w:jc w:val="left"/>
        <w:rPr>
          <w:color w:val="000000"/>
          <w:szCs w:val="21"/>
        </w:rPr>
      </w:pPr>
      <w:r>
        <w:rPr>
          <w:rFonts w:hint="eastAsia" w:ascii="黑体" w:hAnsi="黑体" w:eastAsia="黑体" w:cs="黑体"/>
          <w:color w:val="000000"/>
          <w:sz w:val="28"/>
          <w:szCs w:val="28"/>
        </w:rPr>
        <w:t>二、检验依据</w:t>
      </w:r>
      <w:bookmarkStart w:id="0" w:name="_GoBack"/>
      <w:bookmarkEnd w:id="0"/>
    </w:p>
    <w:tbl>
      <w:tblPr>
        <w:tblStyle w:val="4"/>
        <w:tblW w:w="47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961"/>
        <w:gridCol w:w="3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snapToGrid w:val="0"/>
              <w:jc w:val="center"/>
              <w:rPr>
                <w:rFonts w:ascii="仿宋" w:hAnsi="仿宋" w:eastAsia="仿宋"/>
                <w:color w:val="000000"/>
                <w:sz w:val="24"/>
              </w:rPr>
            </w:pPr>
            <w:r>
              <w:rPr>
                <w:rFonts w:ascii="仿宋" w:hAnsi="仿宋" w:eastAsia="仿宋"/>
                <w:color w:val="000000"/>
                <w:sz w:val="24"/>
              </w:rPr>
              <w:t>序号</w:t>
            </w:r>
          </w:p>
        </w:tc>
        <w:tc>
          <w:tcPr>
            <w:tcW w:w="2262" w:type="pct"/>
            <w:vAlign w:val="center"/>
          </w:tcPr>
          <w:p>
            <w:pPr>
              <w:snapToGrid w:val="0"/>
              <w:jc w:val="center"/>
              <w:rPr>
                <w:rFonts w:ascii="仿宋" w:hAnsi="仿宋" w:eastAsia="仿宋"/>
                <w:color w:val="000000"/>
                <w:sz w:val="24"/>
              </w:rPr>
            </w:pPr>
            <w:r>
              <w:rPr>
                <w:rFonts w:ascii="仿宋" w:hAnsi="仿宋" w:eastAsia="仿宋"/>
                <w:color w:val="000000"/>
                <w:sz w:val="24"/>
              </w:rPr>
              <w:t>检验项目</w:t>
            </w:r>
          </w:p>
        </w:tc>
        <w:tc>
          <w:tcPr>
            <w:tcW w:w="2271" w:type="pct"/>
            <w:vAlign w:val="center"/>
          </w:tcPr>
          <w:p>
            <w:pPr>
              <w:snapToGrid w:val="0"/>
              <w:jc w:val="center"/>
              <w:rPr>
                <w:rFonts w:ascii="仿宋" w:hAnsi="仿宋" w:eastAsia="仿宋"/>
                <w:color w:val="000000"/>
                <w:sz w:val="24"/>
              </w:rPr>
            </w:pPr>
            <w:r>
              <w:rPr>
                <w:rFonts w:ascii="仿宋" w:hAnsi="仿宋" w:eastAsia="仿宋"/>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1</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标记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7000.1-2015条款3</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08条款5</w:t>
            </w:r>
          </w:p>
          <w:p>
            <w:pPr>
              <w:adjustRightInd w:val="0"/>
              <w:snapToGrid w:val="0"/>
              <w:jc w:val="center"/>
              <w:rPr>
                <w:rFonts w:ascii="仿宋" w:hAnsi="仿宋" w:eastAsia="仿宋"/>
                <w:sz w:val="24"/>
              </w:rPr>
            </w:pPr>
            <w:r>
              <w:rPr>
                <w:rFonts w:hint="eastAsia" w:ascii="仿宋" w:hAnsi="仿宋" w:eastAsia="仿宋"/>
                <w:sz w:val="24"/>
              </w:rPr>
              <w:t>GB/T 7000.1-2023条款3</w:t>
            </w:r>
          </w:p>
          <w:p>
            <w:pPr>
              <w:adjustRightInd w:val="0"/>
              <w:snapToGrid w:val="0"/>
              <w:jc w:val="center"/>
              <w:rPr>
                <w:rFonts w:ascii="仿宋" w:hAnsi="仿宋" w:eastAsia="仿宋"/>
                <w:sz w:val="24"/>
              </w:rPr>
            </w:pPr>
            <w:r>
              <w:rPr>
                <w:rFonts w:hint="eastAsia" w:ascii="仿宋" w:hAnsi="仿宋" w:eastAsia="仿宋"/>
                <w:sz w:val="24"/>
              </w:rPr>
              <w:t>GB/T 7000.201-2023条款5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2</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结构</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7000.1-2015条款4</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08条款6</w:t>
            </w:r>
          </w:p>
          <w:p>
            <w:pPr>
              <w:adjustRightInd w:val="0"/>
              <w:snapToGrid w:val="0"/>
              <w:jc w:val="center"/>
              <w:rPr>
                <w:rFonts w:ascii="仿宋" w:hAnsi="仿宋" w:eastAsia="仿宋"/>
                <w:sz w:val="24"/>
              </w:rPr>
            </w:pPr>
            <w:r>
              <w:rPr>
                <w:rFonts w:hint="eastAsia" w:ascii="仿宋" w:hAnsi="仿宋" w:eastAsia="仿宋"/>
                <w:sz w:val="24"/>
              </w:rPr>
              <w:t>GB/T 7000.1-2023条款4</w:t>
            </w:r>
          </w:p>
          <w:p>
            <w:pPr>
              <w:adjustRightInd w:val="0"/>
              <w:snapToGrid w:val="0"/>
              <w:jc w:val="center"/>
              <w:rPr>
                <w:rFonts w:ascii="仿宋" w:hAnsi="仿宋" w:eastAsia="仿宋"/>
                <w:sz w:val="24"/>
              </w:rPr>
            </w:pPr>
            <w:r>
              <w:rPr>
                <w:rFonts w:hint="eastAsia" w:ascii="仿宋" w:hAnsi="仿宋" w:eastAsia="仿宋"/>
                <w:sz w:val="24"/>
              </w:rPr>
              <w:t>GB/T 7000.201-2023条款6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3</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外部接线和内部接线</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7000.1-2015条款5</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08条款10</w:t>
            </w:r>
          </w:p>
          <w:p>
            <w:pPr>
              <w:adjustRightInd w:val="0"/>
              <w:snapToGrid w:val="0"/>
              <w:jc w:val="center"/>
              <w:rPr>
                <w:rFonts w:ascii="仿宋" w:hAnsi="仿宋" w:eastAsia="仿宋"/>
                <w:sz w:val="24"/>
              </w:rPr>
            </w:pPr>
            <w:r>
              <w:rPr>
                <w:rFonts w:hint="eastAsia" w:ascii="仿宋" w:hAnsi="仿宋" w:eastAsia="仿宋"/>
                <w:sz w:val="24"/>
              </w:rPr>
              <w:t>GB/T 7000.1-2023条款5</w:t>
            </w:r>
          </w:p>
          <w:p>
            <w:pPr>
              <w:adjustRightInd w:val="0"/>
              <w:snapToGrid w:val="0"/>
              <w:jc w:val="center"/>
              <w:rPr>
                <w:rFonts w:ascii="仿宋" w:hAnsi="仿宋" w:eastAsia="仿宋"/>
                <w:sz w:val="24"/>
              </w:rPr>
            </w:pPr>
            <w:r>
              <w:rPr>
                <w:rFonts w:hint="eastAsia" w:ascii="仿宋" w:hAnsi="仿宋" w:eastAsia="仿宋"/>
                <w:sz w:val="24"/>
              </w:rPr>
              <w:t>GB/T 7000.201-2023条款10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4</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接地规定</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7000.1-2015条款7</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08条款8</w:t>
            </w:r>
          </w:p>
          <w:p>
            <w:pPr>
              <w:adjustRightInd w:val="0"/>
              <w:snapToGrid w:val="0"/>
              <w:jc w:val="center"/>
              <w:rPr>
                <w:rFonts w:ascii="仿宋" w:hAnsi="仿宋" w:eastAsia="仿宋"/>
                <w:sz w:val="24"/>
              </w:rPr>
            </w:pPr>
            <w:r>
              <w:rPr>
                <w:rFonts w:hint="eastAsia" w:ascii="仿宋" w:hAnsi="仿宋" w:eastAsia="仿宋"/>
                <w:sz w:val="24"/>
              </w:rPr>
              <w:t>GB/T 7000.1-2023条款7</w:t>
            </w:r>
          </w:p>
          <w:p>
            <w:pPr>
              <w:adjustRightInd w:val="0"/>
              <w:snapToGrid w:val="0"/>
              <w:jc w:val="center"/>
              <w:rPr>
                <w:rFonts w:ascii="仿宋" w:hAnsi="仿宋" w:eastAsia="仿宋"/>
                <w:sz w:val="24"/>
              </w:rPr>
            </w:pPr>
            <w:r>
              <w:rPr>
                <w:rFonts w:hint="eastAsia" w:ascii="仿宋" w:hAnsi="仿宋" w:eastAsia="仿宋"/>
                <w:sz w:val="24"/>
              </w:rPr>
              <w:t>GB/T 7000.201-2023条款8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5</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防触电保护</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7000.1-2015条款8</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08条款11</w:t>
            </w:r>
          </w:p>
          <w:p>
            <w:pPr>
              <w:adjustRightInd w:val="0"/>
              <w:snapToGrid w:val="0"/>
              <w:jc w:val="center"/>
              <w:rPr>
                <w:rFonts w:ascii="仿宋" w:hAnsi="仿宋" w:eastAsia="仿宋"/>
                <w:sz w:val="24"/>
              </w:rPr>
            </w:pPr>
            <w:r>
              <w:rPr>
                <w:rFonts w:hint="eastAsia" w:ascii="仿宋" w:hAnsi="仿宋" w:eastAsia="仿宋"/>
                <w:sz w:val="24"/>
              </w:rPr>
              <w:t>GB/T 7000.1-2023条款8</w:t>
            </w:r>
          </w:p>
          <w:p>
            <w:pPr>
              <w:adjustRightInd w:val="0"/>
              <w:snapToGrid w:val="0"/>
              <w:jc w:val="center"/>
              <w:rPr>
                <w:rFonts w:ascii="仿宋" w:hAnsi="仿宋" w:eastAsia="仿宋"/>
                <w:sz w:val="24"/>
              </w:rPr>
            </w:pPr>
            <w:r>
              <w:rPr>
                <w:rFonts w:hint="eastAsia" w:ascii="仿宋" w:hAnsi="仿宋" w:eastAsia="仿宋"/>
                <w:sz w:val="24"/>
              </w:rPr>
              <w:t>GB/T 7000.201-2023条款11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6</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潮湿试验</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7000.1-2015条款9.3</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08条款13</w:t>
            </w:r>
          </w:p>
          <w:p>
            <w:pPr>
              <w:adjustRightInd w:val="0"/>
              <w:snapToGrid w:val="0"/>
              <w:jc w:val="center"/>
              <w:rPr>
                <w:rFonts w:ascii="仿宋" w:hAnsi="仿宋" w:eastAsia="仿宋"/>
                <w:sz w:val="24"/>
              </w:rPr>
            </w:pPr>
            <w:r>
              <w:rPr>
                <w:rFonts w:hint="eastAsia" w:ascii="仿宋" w:hAnsi="仿宋" w:eastAsia="仿宋"/>
                <w:sz w:val="24"/>
              </w:rPr>
              <w:t>GB/T 7000.1-2023条款9.3</w:t>
            </w:r>
          </w:p>
          <w:p>
            <w:pPr>
              <w:adjustRightInd w:val="0"/>
              <w:snapToGrid w:val="0"/>
              <w:jc w:val="center"/>
              <w:rPr>
                <w:rFonts w:ascii="仿宋" w:hAnsi="仿宋" w:eastAsia="仿宋"/>
                <w:sz w:val="24"/>
              </w:rPr>
            </w:pPr>
            <w:r>
              <w:rPr>
                <w:rFonts w:hint="eastAsia" w:ascii="仿宋" w:hAnsi="仿宋" w:eastAsia="仿宋"/>
                <w:sz w:val="24"/>
              </w:rPr>
              <w:t>GB/T 7000.201-2023条款13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7</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绝缘电阻</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08条款14</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hint="eastAsia" w:ascii="仿宋" w:hAnsi="仿宋" w:eastAsia="仿宋"/>
                <w:sz w:val="24"/>
              </w:rPr>
              <w:t>GB/T 7000.201-2023条款14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8</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电气强度</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08条款14</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hint="eastAsia" w:ascii="仿宋" w:hAnsi="仿宋" w:eastAsia="仿宋"/>
                <w:sz w:val="24"/>
              </w:rPr>
              <w:t>GB/T 7000.201-2023条款14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9</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泄漏电流</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08条款14</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hint="eastAsia" w:ascii="仿宋" w:hAnsi="仿宋" w:eastAsia="仿宋"/>
                <w:sz w:val="24"/>
              </w:rPr>
              <w:t>GB/T 7000.201-2023条款14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10</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爬电距离和电气间隙</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7000.1-2015条款11</w:t>
            </w:r>
          </w:p>
          <w:p>
            <w:pPr>
              <w:adjustRightInd w:val="0"/>
              <w:snapToGrid w:val="0"/>
              <w:jc w:val="center"/>
              <w:rPr>
                <w:rFonts w:ascii="仿宋" w:hAnsi="仿宋" w:eastAsia="仿宋"/>
                <w:sz w:val="24"/>
              </w:rPr>
            </w:pPr>
            <w:r>
              <w:rPr>
                <w:rFonts w:ascii="仿宋" w:hAnsi="仿宋" w:eastAsia="仿宋"/>
                <w:sz w:val="24"/>
              </w:rPr>
              <w:t>GB 7000.</w:t>
            </w:r>
            <w:r>
              <w:rPr>
                <w:rFonts w:hint="eastAsia" w:ascii="仿宋" w:hAnsi="仿宋" w:eastAsia="仿宋"/>
                <w:sz w:val="24"/>
              </w:rPr>
              <w:t>201</w:t>
            </w:r>
            <w:r>
              <w:rPr>
                <w:rFonts w:ascii="仿宋" w:hAnsi="仿宋" w:eastAsia="仿宋"/>
                <w:sz w:val="24"/>
              </w:rPr>
              <w:t>–20</w:t>
            </w:r>
            <w:r>
              <w:rPr>
                <w:rFonts w:hint="eastAsia" w:ascii="仿宋" w:hAnsi="仿宋" w:eastAsia="仿宋"/>
                <w:sz w:val="24"/>
              </w:rPr>
              <w:t>08条款7</w:t>
            </w:r>
          </w:p>
          <w:p>
            <w:pPr>
              <w:adjustRightInd w:val="0"/>
              <w:snapToGrid w:val="0"/>
              <w:jc w:val="center"/>
              <w:rPr>
                <w:rFonts w:ascii="仿宋" w:hAnsi="仿宋" w:eastAsia="仿宋"/>
                <w:sz w:val="24"/>
              </w:rPr>
            </w:pPr>
            <w:r>
              <w:rPr>
                <w:rFonts w:hint="eastAsia" w:ascii="仿宋" w:hAnsi="仿宋" w:eastAsia="仿宋"/>
                <w:sz w:val="24"/>
              </w:rPr>
              <w:t>GB/T 7000.1-2023条款11</w:t>
            </w:r>
          </w:p>
          <w:p>
            <w:pPr>
              <w:adjustRightInd w:val="0"/>
              <w:snapToGrid w:val="0"/>
              <w:jc w:val="center"/>
              <w:rPr>
                <w:rFonts w:ascii="仿宋" w:hAnsi="仿宋" w:eastAsia="仿宋"/>
                <w:sz w:val="24"/>
              </w:rPr>
            </w:pPr>
            <w:r>
              <w:rPr>
                <w:rFonts w:hint="eastAsia" w:ascii="仿宋" w:hAnsi="仿宋" w:eastAsia="仿宋"/>
                <w:sz w:val="24"/>
              </w:rPr>
              <w:t>GB/T 7000.201-2023条款7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11</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骚扰电压</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12</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辐射磁场骚扰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13</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辐射电磁骚扰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14</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谐波电流发射</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w:t>
            </w:r>
            <w:r>
              <w:rPr>
                <w:rFonts w:hint="eastAsia" w:ascii="宋体" w:hAnsi="宋体" w:eastAsia="宋体" w:cs="宋体"/>
                <w:sz w:val="24"/>
              </w:rPr>
              <w:t> </w:t>
            </w:r>
            <w:r>
              <w:rPr>
                <w:rFonts w:hint="eastAsia" w:ascii="仿宋" w:hAnsi="仿宋" w:eastAsia="仿宋"/>
                <w:sz w:val="24"/>
              </w:rPr>
              <w:t>17625.1-2022</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1.强制性标准: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7000.1—2015《灯具 第1部分：一般要求与试验》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7000.1—2023《灯具 第1部分：一般要求与试验》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7000.201—2008《灯具 第2-1部分：特殊要求 固定式通用灯具》</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7000.201—2023《灯具 第2-1部分：特殊要求 固定式通用灯具》</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17625.1-2022《电磁兼容 限值 第1部分：谐波电流发射限值（设备每相输入电流≤16A）》</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2.推荐性标准: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17743-2021 《电气照明和类似设备的无线电骚扰特性的限值和测量方法》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463C5"/>
    <w:rsid w:val="000512B6"/>
    <w:rsid w:val="00060B43"/>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0F1D"/>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75A81"/>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65413"/>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456"/>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05C2"/>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221B"/>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87D61"/>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07B9"/>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42ED"/>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1FFF04C6"/>
    <w:rsid w:val="2FEE09C5"/>
    <w:rsid w:val="451E01B6"/>
    <w:rsid w:val="7B7E8E8E"/>
    <w:rsid w:val="7DA4E309"/>
    <w:rsid w:val="B3BB070E"/>
    <w:rsid w:val="BCD77056"/>
    <w:rsid w:val="BF652158"/>
    <w:rsid w:val="D7EB7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279</Words>
  <Characters>1594</Characters>
  <Lines>13</Lines>
  <Paragraphs>3</Paragraphs>
  <TotalTime>13</TotalTime>
  <ScaleCrop>false</ScaleCrop>
  <LinksUpToDate>false</LinksUpToDate>
  <CharactersWithSpaces>1870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2024-06-19T03:13:00Z</dcterms:created>
  <dc:creator>微软用户</dc:creator>
  <cp:lastModifiedBy>admin1</cp:lastModifiedBy>
  <dcterms:modified xsi:type="dcterms:W3CDTF">2026-05-18T14:26:23Z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