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商用燃气灶产品质量监督抽查实施细则</w:t>
      </w:r>
    </w:p>
    <w:p>
      <w:pPr>
        <w:keepNext w:val="0"/>
        <w:keepLines w:val="0"/>
        <w:pageBreakBefore w:val="0"/>
        <w:widowControl w:val="0"/>
        <w:kinsoku/>
        <w:wordWrap/>
        <w:overflowPunct/>
        <w:topLinePunct w:val="0"/>
        <w:autoSpaceDE/>
        <w:autoSpaceDN/>
        <w:bidi w:val="0"/>
        <w:spacing w:line="579"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年版）</w:t>
      </w:r>
    </w:p>
    <w:p>
      <w:pPr>
        <w:keepNext w:val="0"/>
        <w:keepLines w:val="0"/>
        <w:pageBreakBefore w:val="0"/>
        <w:widowControl w:val="0"/>
        <w:kinsoku/>
        <w:wordWrap/>
        <w:overflowPunct/>
        <w:topLinePunct w:val="0"/>
        <w:autoSpaceDE/>
        <w:autoSpaceDN/>
        <w:bidi w:val="0"/>
        <w:spacing w:line="579" w:lineRule="exact"/>
        <w:ind w:left="0" w:leftChars="0" w:firstLine="640" w:firstLineChars="200"/>
        <w:jc w:val="lef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lang w:eastAsia="zh-CN"/>
        </w:rPr>
        <w:t>一、</w:t>
      </w:r>
      <w:r>
        <w:rPr>
          <w:rFonts w:hint="eastAsia" w:ascii="黑体" w:hAnsi="黑体" w:eastAsia="黑体" w:cs="黑体"/>
          <w:sz w:val="28"/>
          <w:szCs w:val="28"/>
        </w:rPr>
        <w:t>抽样方法</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每批次产品抽取样品</w:t>
      </w:r>
      <w:r>
        <w:rPr>
          <w:rFonts w:hint="eastAsia" w:ascii="仿宋_GB2312" w:hAnsi="仿宋_GB2312" w:eastAsia="仿宋_GB2312" w:cs="仿宋_GB2312"/>
          <w:color w:val="000000"/>
          <w:sz w:val="28"/>
          <w:szCs w:val="28"/>
          <w:highlight w:val="none"/>
          <w:lang w:val="en-US" w:eastAsia="zh-CN"/>
        </w:rPr>
        <w:t>2台</w:t>
      </w:r>
      <w:r>
        <w:rPr>
          <w:rFonts w:hint="eastAsia" w:ascii="仿宋_GB2312" w:hAnsi="仿宋_GB2312" w:eastAsia="仿宋_GB2312" w:cs="仿宋_GB2312"/>
          <w:color w:val="000000"/>
          <w:sz w:val="28"/>
          <w:szCs w:val="28"/>
          <w:highlight w:val="none"/>
        </w:rPr>
        <w:t>，其中</w:t>
      </w:r>
      <w:r>
        <w:rPr>
          <w:rFonts w:hint="eastAsia" w:ascii="仿宋_GB2312" w:hAnsi="仿宋_GB2312" w:eastAsia="仿宋_GB2312" w:cs="仿宋_GB2312"/>
          <w:color w:val="000000"/>
          <w:sz w:val="28"/>
          <w:szCs w:val="28"/>
          <w:highlight w:val="none"/>
          <w:lang w:val="en-US" w:eastAsia="zh-CN"/>
        </w:rPr>
        <w:t>1台</w:t>
      </w:r>
      <w:r>
        <w:rPr>
          <w:rFonts w:hint="eastAsia" w:ascii="仿宋_GB2312" w:hAnsi="仿宋_GB2312" w:eastAsia="仿宋_GB2312" w:cs="仿宋_GB2312"/>
          <w:color w:val="000000"/>
          <w:sz w:val="28"/>
          <w:szCs w:val="28"/>
          <w:highlight w:val="none"/>
        </w:rPr>
        <w:t>作为检验样品，</w:t>
      </w:r>
      <w:r>
        <w:rPr>
          <w:rFonts w:hint="eastAsia" w:ascii="仿宋_GB2312" w:hAnsi="仿宋_GB2312" w:eastAsia="仿宋_GB2312" w:cs="仿宋_GB2312"/>
          <w:color w:val="000000"/>
          <w:sz w:val="28"/>
          <w:szCs w:val="28"/>
          <w:highlight w:val="none"/>
          <w:lang w:val="en-US" w:eastAsia="zh-CN"/>
        </w:rPr>
        <w:t>1台</w:t>
      </w:r>
      <w:r>
        <w:rPr>
          <w:rFonts w:hint="eastAsia" w:ascii="仿宋_GB2312" w:hAnsi="仿宋_GB2312" w:eastAsia="仿宋_GB2312" w:cs="仿宋_GB2312"/>
          <w:color w:val="000000"/>
          <w:sz w:val="28"/>
          <w:szCs w:val="28"/>
          <w:highlight w:val="none"/>
        </w:rPr>
        <w:t>作为备用样品。</w:t>
      </w:r>
    </w:p>
    <w:p>
      <w:pPr>
        <w:keepNext w:val="0"/>
        <w:keepLines w:val="0"/>
        <w:pageBreakBefore w:val="0"/>
        <w:widowControl w:val="0"/>
        <w:kinsoku/>
        <w:wordWrap/>
        <w:overflowPunct/>
        <w:topLinePunct w:val="0"/>
        <w:autoSpaceDE/>
        <w:autoSpaceDN/>
        <w:bidi w:val="0"/>
        <w:snapToGrid w:val="0"/>
        <w:spacing w:line="520" w:lineRule="exact"/>
        <w:ind w:left="0" w:leftChars="0" w:firstLine="560" w:firstLineChars="200"/>
        <w:jc w:val="left"/>
        <w:textAlignment w:val="auto"/>
        <w:rPr>
          <w:rFonts w:hint="eastAsia" w:ascii="仿宋_GB2312" w:hAnsi="仿宋_GB2312" w:eastAsia="仿宋_GB2312" w:cs="仿宋_GB2312"/>
          <w:sz w:val="28"/>
          <w:szCs w:val="28"/>
          <w:highlight w:val="none"/>
        </w:rPr>
      </w:pPr>
      <w:r>
        <w:rPr>
          <w:rFonts w:hint="eastAsia" w:ascii="黑体" w:hAnsi="黑体" w:eastAsia="黑体" w:cs="黑体"/>
          <w:sz w:val="28"/>
          <w:szCs w:val="28"/>
          <w:highlight w:val="none"/>
          <w:lang w:val="en-US" w:eastAsia="zh-CN"/>
        </w:rPr>
        <w:t>二、检验依据</w:t>
      </w:r>
    </w:p>
    <w:tbl>
      <w:tblPr>
        <w:tblStyle w:val="3"/>
        <w:tblW w:w="4998" w:type="pct"/>
        <w:jc w:val="center"/>
        <w:tblLayout w:type="autofit"/>
        <w:tblCellMar>
          <w:top w:w="0" w:type="dxa"/>
          <w:left w:w="108" w:type="dxa"/>
          <w:bottom w:w="0" w:type="dxa"/>
          <w:right w:w="108" w:type="dxa"/>
        </w:tblCellMar>
      </w:tblPr>
      <w:tblGrid>
        <w:gridCol w:w="864"/>
        <w:gridCol w:w="1817"/>
        <w:gridCol w:w="3076"/>
        <w:gridCol w:w="2765"/>
      </w:tblGrid>
      <w:tr>
        <w:tblPrEx>
          <w:tblCellMar>
            <w:top w:w="0" w:type="dxa"/>
            <w:left w:w="108" w:type="dxa"/>
            <w:bottom w:w="0" w:type="dxa"/>
            <w:right w:w="108" w:type="dxa"/>
          </w:tblCellMar>
        </w:tblPrEx>
        <w:trPr>
          <w:trHeight w:val="23" w:hRule="atLeast"/>
          <w:tblHeader/>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序号</w:t>
            </w:r>
          </w:p>
        </w:tc>
        <w:tc>
          <w:tcPr>
            <w:tcW w:w="2882"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检验项目</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检验方法</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w:t>
            </w:r>
          </w:p>
        </w:tc>
        <w:tc>
          <w:tcPr>
            <w:tcW w:w="1061" w:type="pct"/>
            <w:vMerge w:val="restart"/>
            <w:tcBorders>
              <w:top w:val="single" w:color="auto" w:sz="4" w:space="0"/>
              <w:left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通用结构</w:t>
            </w: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一般要求</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w:t>
            </w:r>
          </w:p>
        </w:tc>
        <w:tc>
          <w:tcPr>
            <w:tcW w:w="1061" w:type="pct"/>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燃气管路</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w:t>
            </w:r>
          </w:p>
        </w:tc>
        <w:tc>
          <w:tcPr>
            <w:tcW w:w="1061"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燃气系统零部件</w:t>
            </w: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一般要求</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w:t>
            </w:r>
          </w:p>
        </w:tc>
        <w:tc>
          <w:tcPr>
            <w:tcW w:w="2882"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燃气系统密封性</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5</w:t>
            </w:r>
          </w:p>
        </w:tc>
        <w:tc>
          <w:tcPr>
            <w:tcW w:w="2882"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热负荷准确度</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6</w:t>
            </w:r>
          </w:p>
        </w:tc>
        <w:tc>
          <w:tcPr>
            <w:tcW w:w="1061" w:type="pct"/>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燃烧工况</w:t>
            </w: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主燃烧器火焰稳定性</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7</w:t>
            </w:r>
          </w:p>
        </w:tc>
        <w:tc>
          <w:tcPr>
            <w:tcW w:w="1061" w:type="pct"/>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常明火火焰稳定性</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8</w:t>
            </w:r>
          </w:p>
        </w:tc>
        <w:tc>
          <w:tcPr>
            <w:tcW w:w="1061" w:type="pct"/>
            <w:vMerge w:val="continue"/>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p>
        </w:tc>
        <w:tc>
          <w:tcPr>
            <w:tcW w:w="1820" w:type="pct"/>
            <w:tcBorders>
              <w:top w:val="single" w:color="auto" w:sz="4" w:space="0"/>
              <w:left w:val="single" w:color="000000"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干烟气中CO（α＝1）含量</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9</w:t>
            </w:r>
          </w:p>
        </w:tc>
        <w:tc>
          <w:tcPr>
            <w:tcW w:w="2882"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熄火保护装置</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vMerge w:val="restart"/>
            <w:tcBorders>
              <w:top w:val="single" w:color="auto" w:sz="4" w:space="0"/>
              <w:left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10</w:t>
            </w:r>
          </w:p>
        </w:tc>
        <w:tc>
          <w:tcPr>
            <w:tcW w:w="2882"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热效率</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30531—2014</w:t>
            </w:r>
          </w:p>
        </w:tc>
      </w:tr>
      <w:tr>
        <w:tblPrEx>
          <w:tblCellMar>
            <w:top w:w="0" w:type="dxa"/>
            <w:left w:w="108" w:type="dxa"/>
            <w:bottom w:w="0" w:type="dxa"/>
            <w:right w:w="108" w:type="dxa"/>
          </w:tblCellMar>
        </w:tblPrEx>
        <w:trPr>
          <w:trHeight w:val="23" w:hRule="atLeast"/>
          <w:jc w:val="center"/>
        </w:trPr>
        <w:tc>
          <w:tcPr>
            <w:tcW w:w="486" w:type="pct"/>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p>
        </w:tc>
        <w:tc>
          <w:tcPr>
            <w:tcW w:w="2882"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能源合理利用</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11</w:t>
            </w:r>
          </w:p>
        </w:tc>
        <w:tc>
          <w:tcPr>
            <w:tcW w:w="1061" w:type="pct"/>
            <w:vMerge w:val="restart"/>
            <w:tcBorders>
              <w:top w:val="single" w:color="auto" w:sz="4" w:space="0"/>
              <w:left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电气性能</w:t>
            </w: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工作温度下的泄漏电流和电气强度</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90" w:hRule="atLeast"/>
          <w:jc w:val="center"/>
        </w:trPr>
        <w:tc>
          <w:tcPr>
            <w:tcW w:w="486"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12</w:t>
            </w:r>
          </w:p>
        </w:tc>
        <w:tc>
          <w:tcPr>
            <w:tcW w:w="1061" w:type="pct"/>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p>
        </w:tc>
        <w:tc>
          <w:tcPr>
            <w:tcW w:w="182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接地措施</w:t>
            </w:r>
          </w:p>
        </w:tc>
        <w:tc>
          <w:tcPr>
            <w:tcW w:w="163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GB 35848—2024</w:t>
            </w:r>
          </w:p>
        </w:tc>
      </w:tr>
      <w:tr>
        <w:tblPrEx>
          <w:tblCellMar>
            <w:top w:w="0" w:type="dxa"/>
            <w:left w:w="108" w:type="dxa"/>
            <w:bottom w:w="0" w:type="dxa"/>
            <w:right w:w="108" w:type="dxa"/>
          </w:tblCellMar>
        </w:tblPrEx>
        <w:trPr>
          <w:trHeight w:val="23" w:hRule="atLeast"/>
          <w:jc w:val="center"/>
        </w:trPr>
        <w:tc>
          <w:tcPr>
            <w:tcW w:w="5000" w:type="pct"/>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注：1.通用结构—一般要求的检验项目为GB 35848—2024中5.2.1.9、5.2.1.13；</w:t>
            </w:r>
          </w:p>
          <w:p>
            <w:pPr>
              <w:keepNext w:val="0"/>
              <w:keepLines w:val="0"/>
              <w:pageBreakBefore w:val="0"/>
              <w:widowControl w:val="0"/>
              <w:numPr>
                <w:ilvl w:val="0"/>
                <w:numId w:val="1"/>
              </w:numPr>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燃气管路的检验项目为GB 35848—2024中5.2.2.2；</w:t>
            </w:r>
          </w:p>
          <w:p>
            <w:pPr>
              <w:keepNext w:val="0"/>
              <w:keepLines w:val="0"/>
              <w:pageBreakBefore w:val="0"/>
              <w:widowControl w:val="0"/>
              <w:numPr>
                <w:ilvl w:val="0"/>
                <w:numId w:val="1"/>
              </w:numPr>
              <w:kinsoku/>
              <w:wordWrap/>
              <w:overflowPunct/>
              <w:topLinePunct w:val="0"/>
              <w:autoSpaceDE/>
              <w:autoSpaceDN/>
              <w:bidi w:val="0"/>
              <w:adjustRightInd/>
              <w:spacing w:line="480" w:lineRule="exact"/>
              <w:ind w:left="0" w:leftChars="0" w:firstLine="0" w:firstLineChars="0"/>
              <w:jc w:val="left"/>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燃气系统零部件—一般要求的检验项目为GB 35848—2024中5.3.1.15；</w:t>
            </w:r>
          </w:p>
          <w:p>
            <w:pPr>
              <w:keepNext w:val="0"/>
              <w:keepLines w:val="0"/>
              <w:pageBreakBefore w:val="0"/>
              <w:widowControl w:val="0"/>
              <w:numPr>
                <w:ilvl w:val="0"/>
                <w:numId w:val="1"/>
              </w:numPr>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熄火保护装置的检验项目为GB 35848—2024中5.3.3.1.1、5.5.5；</w:t>
            </w:r>
          </w:p>
          <w:p>
            <w:pPr>
              <w:keepNext w:val="0"/>
              <w:keepLines w:val="0"/>
              <w:pageBreakBefore w:val="0"/>
              <w:widowControl w:val="0"/>
              <w:numPr>
                <w:ilvl w:val="0"/>
                <w:numId w:val="1"/>
              </w:numPr>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热效率的检验项目仅针对中餐燃气炒菜灶、炊用燃气大锅灶和燃气蒸箱三类商用燃气燃烧器具产品；</w:t>
            </w:r>
          </w:p>
          <w:p>
            <w:pPr>
              <w:keepNext w:val="0"/>
              <w:keepLines w:val="0"/>
              <w:pageBreakBefore w:val="0"/>
              <w:widowControl w:val="0"/>
              <w:numPr>
                <w:ilvl w:val="0"/>
                <w:numId w:val="1"/>
              </w:numPr>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能源合理利用的检验项目仅针对除中餐燃气炒菜灶、炊用燃气大锅灶和燃气蒸箱三类以外的其他商用燃气燃烧器具产品。</w:t>
            </w:r>
          </w:p>
        </w:tc>
      </w:tr>
    </w:tbl>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执行企业标准、团体标准、地方标准的产品，检验项目参照上述内容执行。</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三、判定规则</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楷体_GB2312" w:hAnsi="楷体_GB2312" w:eastAsia="楷体_GB2312" w:cs="楷体_GB2312"/>
          <w:sz w:val="28"/>
          <w:szCs w:val="28"/>
          <w:highlight w:val="none"/>
          <w:lang w:eastAsia="zh-CN"/>
        </w:rPr>
      </w:pPr>
      <w:r>
        <w:rPr>
          <w:rFonts w:hint="eastAsia" w:ascii="楷体_GB2312" w:hAnsi="楷体_GB2312" w:eastAsia="楷体_GB2312" w:cs="楷体_GB2312"/>
          <w:sz w:val="28"/>
          <w:szCs w:val="28"/>
          <w:highlight w:val="none"/>
          <w:lang w:eastAsia="zh-CN"/>
        </w:rPr>
        <w:t>（一）依据标准</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GB 35848—2024 商用燃气燃烧器具</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GB 30531—2014 商用燃气灶具能效限定值及能效等级</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highlight w:val="none"/>
        </w:rPr>
        <w:t>现行有效的</w:t>
      </w:r>
      <w:r>
        <w:rPr>
          <w:rFonts w:hint="eastAsia" w:ascii="仿宋_GB2312" w:hAnsi="仿宋_GB2312" w:eastAsia="仿宋_GB2312" w:cs="仿宋_GB2312"/>
          <w:sz w:val="28"/>
          <w:szCs w:val="28"/>
        </w:rPr>
        <w:t>企业标准、团体标准、地方标准及产品明示质量要求</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_GB2312" w:hAnsi="仿宋_GB2312" w:cs="仿宋_GB2312"/>
          <w:sz w:val="28"/>
          <w:szCs w:val="28"/>
          <w:lang w:eastAsia="zh-CN"/>
        </w:rPr>
      </w:pPr>
      <w:r>
        <w:rPr>
          <w:rFonts w:hint="eastAsia" w:ascii="仿宋_GB2312" w:hAnsi="仿宋_GB2312" w:eastAsia="仿宋_GB2312" w:cs="仿宋_GB2312"/>
          <w:sz w:val="28"/>
          <w:szCs w:val="28"/>
        </w:rPr>
        <w:t>若被检产品明示的质量要求缺少本细则中检验项目依据的推荐性标准要求时，该项目不参与判定</w:t>
      </w:r>
      <w:r>
        <w:rPr>
          <w:rFonts w:hint="eastAsia" w:ascii="仿宋_GB2312" w:hAnsi="仿宋_GB2312" w:cs="仿宋_GB2312"/>
          <w:sz w:val="28"/>
          <w:szCs w:val="28"/>
          <w:lang w:eastAsia="zh-CN"/>
        </w:rPr>
        <w:t>。</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C93BD"/>
    <w:multiLevelType w:val="singleLevel"/>
    <w:tmpl w:val="2F4C93B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C3D05"/>
    <w:rsid w:val="3D2C0E24"/>
    <w:rsid w:val="40EC3D05"/>
    <w:rsid w:val="DF6BD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outlineLvl w:val="0"/>
    </w:pPr>
    <w:rPr>
      <w:rFonts w:ascii="Times New Roman" w:hAnsi="Times New Roman" w:eastAsia="方正小标宋简体"/>
      <w:kern w:val="44"/>
      <w:sz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1 标题一级（黑体三号）"/>
    <w:qFormat/>
    <w:uiPriority w:val="0"/>
    <w:pPr>
      <w:widowControl w:val="0"/>
      <w:spacing w:line="560" w:lineRule="exact"/>
      <w:ind w:firstLine="200" w:firstLineChars="200"/>
      <w:jc w:val="both"/>
    </w:pPr>
    <w:rPr>
      <w:rFonts w:hint="eastAsia" w:ascii="黑体" w:hAnsi="黑体" w:eastAsia="黑体" w:cs="黑体"/>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954</Words>
  <Characters>1152</Characters>
  <Lines>0</Lines>
  <Paragraphs>0</Paragraphs>
  <TotalTime>4</TotalTime>
  <ScaleCrop>false</ScaleCrop>
  <LinksUpToDate>false</LinksUpToDate>
  <CharactersWithSpaces>1173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2026-04-21T14:25:00Z</dcterms:created>
  <dc:creator>王华燕</dc:creator>
  <cp:lastModifiedBy>admin1</cp:lastModifiedBy>
  <dcterms:modified xsi:type="dcterms:W3CDTF">2026-05-18T11:25:41Z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1A8F5E8B45FF44098335ED3E4F6D19C9_11</vt:lpwstr>
  </property>
  <property fmtid="{D5CDD505-2E9C-101B-9397-08002B2CF9AE}" pid="4" name="KSOTemplateDocerSaveRecord">
    <vt:lpwstr>eyJoZGlkIjoiZDRiYjVjNWI5MzAzZTZmMWUwMWJlOWMwMWQxNmZkMjMiLCJ1c2VySWQiOiIxNDU1NzgxMzYwIn0=</vt:lpwstr>
  </property>
</Properties>
</file>