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39CA" w:rsidRPr="00F51055" w:rsidRDefault="00F739CA" w:rsidP="00F739CA">
      <w:pPr>
        <w:widowControl/>
        <w:spacing w:line="384" w:lineRule="auto"/>
        <w:jc w:val="center"/>
        <w:rPr>
          <w:rFonts w:ascii="Verdana" w:hAnsi="Verdana" w:cs="宋体"/>
          <w:color w:val="000000"/>
          <w:kern w:val="0"/>
          <w:szCs w:val="21"/>
        </w:rPr>
      </w:pPr>
      <w:r>
        <w:rPr>
          <w:rFonts w:ascii="Verdana" w:hAnsi="Verdana" w:cs="宋体"/>
          <w:noProof/>
          <w:color w:val="000000"/>
          <w:kern w:val="0"/>
          <w:szCs w:val="21"/>
        </w:rPr>
        <w:drawing>
          <wp:inline distT="0" distB="0" distL="0" distR="0">
            <wp:extent cx="3133725" cy="438150"/>
            <wp:effectExtent l="19050" t="0" r="0" b="0"/>
            <wp:docPr id="2" name="图片 2" descr="W020081006646504145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020081006646504145971"/>
                    <pic:cNvPicPr>
                      <a:picLocks noChangeAspect="1" noChangeArrowheads="1"/>
                    </pic:cNvPicPr>
                  </pic:nvPicPr>
                  <pic:blipFill>
                    <a:blip r:embed="rId6"/>
                    <a:srcRect/>
                    <a:stretch>
                      <a:fillRect/>
                    </a:stretch>
                  </pic:blipFill>
                  <pic:spPr bwMode="auto">
                    <a:xfrm>
                      <a:off x="0" y="0"/>
                      <a:ext cx="3133725" cy="438150"/>
                    </a:xfrm>
                    <a:prstGeom prst="rect">
                      <a:avLst/>
                    </a:prstGeom>
                    <a:noFill/>
                    <a:ln w="9525">
                      <a:noFill/>
                      <a:miter lim="800000"/>
                      <a:headEnd/>
                      <a:tailEnd/>
                    </a:ln>
                  </pic:spPr>
                </pic:pic>
              </a:graphicData>
            </a:graphic>
          </wp:inline>
        </w:drawing>
      </w:r>
    </w:p>
    <w:p w:rsidR="00F739CA" w:rsidRPr="00F51055" w:rsidRDefault="00F739CA" w:rsidP="00F739C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84" w:lineRule="auto"/>
        <w:jc w:val="center"/>
        <w:rPr>
          <w:rFonts w:ascii="宋体" w:hAnsi="宋体" w:cs="宋体"/>
          <w:color w:val="000000"/>
          <w:kern w:val="0"/>
          <w:sz w:val="24"/>
          <w:szCs w:val="24"/>
        </w:rPr>
      </w:pPr>
      <w:r w:rsidRPr="00F51055">
        <w:rPr>
          <w:rFonts w:ascii="宋体" w:hAnsi="宋体" w:cs="宋体"/>
          <w:b/>
          <w:bCs/>
          <w:color w:val="000000"/>
          <w:kern w:val="0"/>
          <w:sz w:val="27"/>
          <w:szCs w:val="27"/>
        </w:rPr>
        <w:t>第</w:t>
      </w:r>
      <w:r w:rsidRPr="00F51055">
        <w:rPr>
          <w:rFonts w:ascii="宋体" w:hAnsi="宋体" w:cs="宋体"/>
          <w:color w:val="000000"/>
          <w:kern w:val="0"/>
          <w:sz w:val="27"/>
          <w:szCs w:val="27"/>
        </w:rPr>
        <w:t xml:space="preserve">　</w:t>
      </w:r>
      <w:r w:rsidRPr="00F51055">
        <w:rPr>
          <w:rFonts w:ascii="宋体" w:hAnsi="宋体" w:cs="宋体"/>
          <w:color w:val="000000"/>
          <w:kern w:val="0"/>
          <w:sz w:val="24"/>
          <w:szCs w:val="24"/>
        </w:rPr>
        <w:t>105</w:t>
      </w:r>
      <w:r w:rsidRPr="00F51055">
        <w:rPr>
          <w:rFonts w:ascii="宋体" w:hAnsi="宋体" w:cs="宋体"/>
          <w:color w:val="000000"/>
          <w:kern w:val="0"/>
          <w:sz w:val="27"/>
          <w:szCs w:val="27"/>
        </w:rPr>
        <w:t xml:space="preserve">　</w:t>
      </w:r>
      <w:r w:rsidRPr="00F51055">
        <w:rPr>
          <w:rFonts w:ascii="宋体" w:hAnsi="宋体" w:cs="宋体"/>
          <w:b/>
          <w:bCs/>
          <w:color w:val="000000"/>
          <w:kern w:val="0"/>
          <w:sz w:val="27"/>
          <w:szCs w:val="27"/>
        </w:rPr>
        <w:t>号</w:t>
      </w:r>
    </w:p>
    <w:tbl>
      <w:tblPr>
        <w:tblW w:w="4000" w:type="pct"/>
        <w:jc w:val="center"/>
        <w:tblCellMar>
          <w:top w:w="15" w:type="dxa"/>
          <w:left w:w="15" w:type="dxa"/>
          <w:bottom w:w="15" w:type="dxa"/>
          <w:right w:w="15" w:type="dxa"/>
        </w:tblCellMar>
        <w:tblLook w:val="04A0"/>
      </w:tblPr>
      <w:tblGrid>
        <w:gridCol w:w="7280"/>
      </w:tblGrid>
      <w:tr w:rsidR="00F739CA" w:rsidRPr="00F51055" w:rsidTr="00C361C9">
        <w:trPr>
          <w:jc w:val="center"/>
        </w:trPr>
        <w:tc>
          <w:tcPr>
            <w:tcW w:w="0" w:type="auto"/>
            <w:vAlign w:val="center"/>
            <w:hideMark/>
          </w:tcPr>
          <w:p w:rsidR="00F739CA" w:rsidRPr="00F51055" w:rsidRDefault="00F739CA" w:rsidP="00C361C9">
            <w:pPr>
              <w:widowControl/>
              <w:jc w:val="left"/>
              <w:rPr>
                <w:rFonts w:ascii="Verdana" w:hAnsi="Verdana" w:cs="宋体"/>
                <w:color w:val="000000"/>
                <w:kern w:val="0"/>
                <w:sz w:val="24"/>
                <w:szCs w:val="24"/>
              </w:rPr>
            </w:pPr>
            <w:r w:rsidRPr="00F51055">
              <w:rPr>
                <w:rFonts w:ascii="Verdana" w:hAnsi="Verdana" w:cs="宋体"/>
                <w:color w:val="000000"/>
                <w:kern w:val="0"/>
                <w:sz w:val="24"/>
                <w:szCs w:val="24"/>
              </w:rPr>
              <w:t xml:space="preserve">　　《广东省突发气象灾害预警信号发布规定》已经</w:t>
            </w:r>
            <w:r w:rsidRPr="00F51055">
              <w:rPr>
                <w:rFonts w:ascii="Verdana" w:hAnsi="Verdana" w:cs="宋体"/>
                <w:color w:val="000000"/>
                <w:kern w:val="0"/>
                <w:sz w:val="24"/>
                <w:szCs w:val="24"/>
              </w:rPr>
              <w:t>2006</w:t>
            </w:r>
            <w:r w:rsidRPr="00F51055">
              <w:rPr>
                <w:rFonts w:ascii="Verdana" w:hAnsi="Verdana" w:cs="宋体"/>
                <w:color w:val="000000"/>
                <w:kern w:val="0"/>
                <w:sz w:val="24"/>
                <w:szCs w:val="24"/>
              </w:rPr>
              <w:t>年</w:t>
            </w:r>
            <w:r w:rsidRPr="00F51055">
              <w:rPr>
                <w:rFonts w:ascii="Verdana" w:hAnsi="Verdana" w:cs="宋体"/>
                <w:color w:val="000000"/>
                <w:kern w:val="0"/>
                <w:sz w:val="24"/>
                <w:szCs w:val="24"/>
              </w:rPr>
              <w:t>3</w:t>
            </w:r>
            <w:r w:rsidRPr="00F51055">
              <w:rPr>
                <w:rFonts w:ascii="Verdana" w:hAnsi="Verdana" w:cs="宋体"/>
                <w:color w:val="000000"/>
                <w:kern w:val="0"/>
                <w:sz w:val="24"/>
                <w:szCs w:val="24"/>
              </w:rPr>
              <w:t>月</w:t>
            </w:r>
            <w:r w:rsidRPr="00F51055">
              <w:rPr>
                <w:rFonts w:ascii="Verdana" w:hAnsi="Verdana" w:cs="宋体"/>
                <w:color w:val="000000"/>
                <w:kern w:val="0"/>
                <w:sz w:val="24"/>
                <w:szCs w:val="24"/>
              </w:rPr>
              <w:t>27</w:t>
            </w:r>
            <w:r w:rsidRPr="00F51055">
              <w:rPr>
                <w:rFonts w:ascii="Verdana" w:hAnsi="Verdana" w:cs="宋体"/>
                <w:color w:val="000000"/>
                <w:kern w:val="0"/>
                <w:sz w:val="24"/>
                <w:szCs w:val="24"/>
              </w:rPr>
              <w:t>日广东省人民政府第十届</w:t>
            </w:r>
            <w:r w:rsidRPr="00F51055">
              <w:rPr>
                <w:rFonts w:ascii="Verdana" w:hAnsi="Verdana" w:cs="宋体"/>
                <w:color w:val="000000"/>
                <w:kern w:val="0"/>
                <w:sz w:val="24"/>
                <w:szCs w:val="24"/>
              </w:rPr>
              <w:t>89</w:t>
            </w:r>
            <w:r w:rsidRPr="00F51055">
              <w:rPr>
                <w:rFonts w:ascii="Verdana" w:hAnsi="Verdana" w:cs="宋体"/>
                <w:color w:val="000000"/>
                <w:kern w:val="0"/>
                <w:sz w:val="24"/>
                <w:szCs w:val="24"/>
              </w:rPr>
              <w:t>次常务会议通过，现予发布，自</w:t>
            </w:r>
            <w:r w:rsidRPr="00F51055">
              <w:rPr>
                <w:rFonts w:ascii="Verdana" w:hAnsi="Verdana" w:cs="宋体"/>
                <w:color w:val="000000"/>
                <w:kern w:val="0"/>
                <w:sz w:val="24"/>
                <w:szCs w:val="24"/>
              </w:rPr>
              <w:t>2006</w:t>
            </w:r>
            <w:r w:rsidRPr="00F51055">
              <w:rPr>
                <w:rFonts w:ascii="Verdana" w:hAnsi="Verdana" w:cs="宋体"/>
                <w:color w:val="000000"/>
                <w:kern w:val="0"/>
                <w:sz w:val="24"/>
                <w:szCs w:val="24"/>
              </w:rPr>
              <w:t>年</w:t>
            </w:r>
            <w:r w:rsidRPr="00F51055">
              <w:rPr>
                <w:rFonts w:ascii="Verdana" w:hAnsi="Verdana" w:cs="宋体"/>
                <w:color w:val="000000"/>
                <w:kern w:val="0"/>
                <w:sz w:val="24"/>
                <w:szCs w:val="24"/>
              </w:rPr>
              <w:t>6</w:t>
            </w:r>
            <w:r w:rsidRPr="00F51055">
              <w:rPr>
                <w:rFonts w:ascii="Verdana" w:hAnsi="Verdana" w:cs="宋体"/>
                <w:color w:val="000000"/>
                <w:kern w:val="0"/>
                <w:sz w:val="24"/>
                <w:szCs w:val="24"/>
              </w:rPr>
              <w:t>月</w:t>
            </w:r>
            <w:r w:rsidRPr="00F51055">
              <w:rPr>
                <w:rFonts w:ascii="Verdana" w:hAnsi="Verdana" w:cs="宋体"/>
                <w:color w:val="000000"/>
                <w:kern w:val="0"/>
                <w:sz w:val="24"/>
                <w:szCs w:val="24"/>
              </w:rPr>
              <w:t>1</w:t>
            </w:r>
            <w:r w:rsidRPr="00F51055">
              <w:rPr>
                <w:rFonts w:ascii="Verdana" w:hAnsi="Verdana" w:cs="宋体"/>
                <w:color w:val="000000"/>
                <w:kern w:val="0"/>
                <w:sz w:val="24"/>
                <w:szCs w:val="24"/>
              </w:rPr>
              <w:t>日起施行。</w:t>
            </w:r>
            <w:r w:rsidRPr="00F51055">
              <w:rPr>
                <w:rFonts w:ascii="Verdana" w:hAnsi="Verdana" w:cs="宋体"/>
                <w:color w:val="000000"/>
                <w:kern w:val="0"/>
                <w:sz w:val="24"/>
                <w:szCs w:val="24"/>
              </w:rPr>
              <w:t xml:space="preserve"> </w:t>
            </w:r>
          </w:p>
        </w:tc>
      </w:tr>
    </w:tbl>
    <w:p w:rsidR="00F739CA" w:rsidRPr="00F51055" w:rsidRDefault="00F739CA" w:rsidP="00F739CA">
      <w:pPr>
        <w:widowControl/>
        <w:spacing w:line="384" w:lineRule="auto"/>
        <w:jc w:val="center"/>
        <w:rPr>
          <w:rFonts w:ascii="Verdana" w:hAnsi="Verdana" w:cs="宋体"/>
          <w:vanish/>
          <w:color w:val="000000"/>
          <w:kern w:val="0"/>
          <w:szCs w:val="21"/>
        </w:rPr>
      </w:pPr>
    </w:p>
    <w:tbl>
      <w:tblPr>
        <w:tblW w:w="0" w:type="auto"/>
        <w:jc w:val="center"/>
        <w:tblCellMar>
          <w:top w:w="15" w:type="dxa"/>
          <w:left w:w="15" w:type="dxa"/>
          <w:bottom w:w="15" w:type="dxa"/>
          <w:right w:w="15" w:type="dxa"/>
        </w:tblCellMar>
        <w:tblLook w:val="04A0"/>
      </w:tblPr>
      <w:tblGrid>
        <w:gridCol w:w="6120"/>
        <w:gridCol w:w="1830"/>
      </w:tblGrid>
      <w:tr w:rsidR="00F739CA" w:rsidRPr="00F51055" w:rsidTr="00C361C9">
        <w:trPr>
          <w:jc w:val="center"/>
        </w:trPr>
        <w:tc>
          <w:tcPr>
            <w:tcW w:w="0" w:type="auto"/>
            <w:vAlign w:val="center"/>
            <w:hideMark/>
          </w:tcPr>
          <w:p w:rsidR="00F739CA" w:rsidRPr="00F51055" w:rsidRDefault="00F739CA" w:rsidP="00C361C9">
            <w:pPr>
              <w:widowControl/>
              <w:jc w:val="left"/>
              <w:rPr>
                <w:rFonts w:ascii="Verdana" w:hAnsi="Verdana" w:cs="宋体"/>
                <w:color w:val="000000"/>
                <w:kern w:val="0"/>
                <w:sz w:val="24"/>
                <w:szCs w:val="24"/>
              </w:rPr>
            </w:pPr>
            <w:r>
              <w:rPr>
                <w:rFonts w:ascii="Verdana" w:hAnsi="Verdana" w:cs="宋体"/>
                <w:color w:val="000000"/>
                <w:kern w:val="0"/>
                <w:sz w:val="24"/>
                <w:szCs w:val="24"/>
              </w:rPr>
              <w:t xml:space="preserve">　　　　　　　　　　　　　　　　　　　　　　</w:t>
            </w:r>
            <w:r>
              <w:rPr>
                <w:rFonts w:ascii="Verdana" w:hAnsi="Verdana" w:cs="宋体"/>
                <w:color w:val="000000"/>
                <w:kern w:val="0"/>
                <w:sz w:val="27"/>
                <w:szCs w:val="27"/>
              </w:rPr>
              <w:t xml:space="preserve">省　</w:t>
            </w:r>
            <w:r w:rsidRPr="00F51055">
              <w:rPr>
                <w:rFonts w:ascii="Verdana" w:hAnsi="Verdana" w:cs="宋体"/>
                <w:color w:val="000000"/>
                <w:kern w:val="0"/>
                <w:sz w:val="27"/>
                <w:szCs w:val="27"/>
              </w:rPr>
              <w:t xml:space="preserve">长　　</w:t>
            </w:r>
          </w:p>
        </w:tc>
        <w:tc>
          <w:tcPr>
            <w:tcW w:w="0" w:type="auto"/>
            <w:vAlign w:val="center"/>
            <w:hideMark/>
          </w:tcPr>
          <w:p w:rsidR="00F739CA" w:rsidRPr="00F51055" w:rsidRDefault="00F739CA" w:rsidP="00C361C9">
            <w:pPr>
              <w:widowControl/>
              <w:jc w:val="left"/>
              <w:rPr>
                <w:rFonts w:ascii="Verdana" w:hAnsi="Verdana" w:cs="宋体"/>
                <w:color w:val="000000"/>
                <w:kern w:val="0"/>
                <w:sz w:val="24"/>
                <w:szCs w:val="24"/>
              </w:rPr>
            </w:pPr>
            <w:r>
              <w:rPr>
                <w:rFonts w:ascii="Verdana" w:hAnsi="Verdana" w:cs="宋体"/>
                <w:noProof/>
                <w:color w:val="000000"/>
                <w:kern w:val="0"/>
                <w:sz w:val="24"/>
                <w:szCs w:val="24"/>
              </w:rPr>
              <w:drawing>
                <wp:inline distT="0" distB="0" distL="0" distR="0">
                  <wp:extent cx="1123950" cy="638175"/>
                  <wp:effectExtent l="19050" t="0" r="0" b="0"/>
                  <wp:docPr id="1" name="图片 1" descr="W020081006646504149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020081006646504149566"/>
                          <pic:cNvPicPr>
                            <a:picLocks noChangeAspect="1" noChangeArrowheads="1"/>
                          </pic:cNvPicPr>
                        </pic:nvPicPr>
                        <pic:blipFill>
                          <a:blip r:embed="rId7"/>
                          <a:srcRect/>
                          <a:stretch>
                            <a:fillRect/>
                          </a:stretch>
                        </pic:blipFill>
                        <pic:spPr bwMode="auto">
                          <a:xfrm>
                            <a:off x="0" y="0"/>
                            <a:ext cx="1123950" cy="638175"/>
                          </a:xfrm>
                          <a:prstGeom prst="rect">
                            <a:avLst/>
                          </a:prstGeom>
                          <a:noFill/>
                          <a:ln w="9525">
                            <a:noFill/>
                            <a:miter lim="800000"/>
                            <a:headEnd/>
                            <a:tailEnd/>
                          </a:ln>
                        </pic:spPr>
                      </pic:pic>
                    </a:graphicData>
                  </a:graphic>
                </wp:inline>
              </w:drawing>
            </w:r>
          </w:p>
        </w:tc>
      </w:tr>
    </w:tbl>
    <w:p w:rsidR="00F739CA" w:rsidRPr="00F51055" w:rsidRDefault="00F739CA" w:rsidP="00F739CA">
      <w:pPr>
        <w:widowControl/>
        <w:spacing w:line="384" w:lineRule="auto"/>
        <w:jc w:val="center"/>
        <w:rPr>
          <w:rFonts w:ascii="Verdana" w:hAnsi="Verdana" w:cs="宋体"/>
          <w:vanish/>
          <w:color w:val="000000"/>
          <w:kern w:val="0"/>
          <w:szCs w:val="21"/>
        </w:rPr>
      </w:pPr>
    </w:p>
    <w:tbl>
      <w:tblPr>
        <w:tblW w:w="4000" w:type="pct"/>
        <w:jc w:val="center"/>
        <w:tblCellMar>
          <w:top w:w="15" w:type="dxa"/>
          <w:left w:w="15" w:type="dxa"/>
          <w:bottom w:w="15" w:type="dxa"/>
          <w:right w:w="15" w:type="dxa"/>
        </w:tblCellMar>
        <w:tblLook w:val="04A0"/>
      </w:tblPr>
      <w:tblGrid>
        <w:gridCol w:w="7280"/>
      </w:tblGrid>
      <w:tr w:rsidR="00F739CA" w:rsidRPr="00F739CA" w:rsidTr="00C361C9">
        <w:trPr>
          <w:jc w:val="center"/>
        </w:trPr>
        <w:tc>
          <w:tcPr>
            <w:tcW w:w="0" w:type="auto"/>
            <w:vAlign w:val="center"/>
            <w:hideMark/>
          </w:tcPr>
          <w:p w:rsidR="00F739CA" w:rsidRPr="00F51055" w:rsidRDefault="00F739CA" w:rsidP="00C361C9">
            <w:pPr>
              <w:widowControl/>
              <w:jc w:val="center"/>
              <w:rPr>
                <w:rFonts w:ascii="Verdana" w:hAnsi="Verdana" w:cs="宋体"/>
                <w:color w:val="000000"/>
                <w:kern w:val="0"/>
                <w:sz w:val="24"/>
                <w:szCs w:val="24"/>
              </w:rPr>
            </w:pPr>
            <w:r>
              <w:rPr>
                <w:rFonts w:ascii="Verdana" w:hAnsi="Verdana" w:cs="宋体"/>
                <w:color w:val="000000"/>
                <w:kern w:val="0"/>
                <w:sz w:val="24"/>
                <w:szCs w:val="24"/>
              </w:rPr>
              <w:t xml:space="preserve">　　　　　　　　　　　　　　　　　　</w:t>
            </w:r>
            <w:r>
              <w:rPr>
                <w:rFonts w:ascii="Verdana" w:hAnsi="Verdana" w:cs="宋体" w:hint="eastAsia"/>
                <w:color w:val="000000"/>
                <w:kern w:val="0"/>
                <w:sz w:val="24"/>
                <w:szCs w:val="24"/>
              </w:rPr>
              <w:t xml:space="preserve">      </w:t>
            </w:r>
            <w:r w:rsidRPr="00F51055">
              <w:rPr>
                <w:rFonts w:ascii="Verdana" w:hAnsi="Verdana" w:cs="宋体"/>
                <w:color w:val="000000"/>
                <w:kern w:val="0"/>
                <w:sz w:val="24"/>
                <w:szCs w:val="24"/>
              </w:rPr>
              <w:t>二</w:t>
            </w:r>
            <w:r w:rsidRPr="00F51055">
              <w:rPr>
                <w:rFonts w:ascii="Arial" w:hAnsi="Arial" w:cs="Arial"/>
                <w:color w:val="000000"/>
                <w:kern w:val="0"/>
                <w:sz w:val="24"/>
                <w:szCs w:val="24"/>
              </w:rPr>
              <w:t>○○</w:t>
            </w:r>
            <w:r w:rsidRPr="00F51055">
              <w:rPr>
                <w:rFonts w:ascii="Verdana" w:hAnsi="Verdana" w:cs="宋体"/>
                <w:color w:val="000000"/>
                <w:kern w:val="0"/>
                <w:sz w:val="24"/>
                <w:szCs w:val="24"/>
              </w:rPr>
              <w:t>六年四月十三日</w:t>
            </w:r>
            <w:r w:rsidRPr="00F51055">
              <w:rPr>
                <w:rFonts w:ascii="Verdana" w:hAnsi="Verdana" w:cs="宋体"/>
                <w:color w:val="000000"/>
                <w:kern w:val="0"/>
                <w:sz w:val="24"/>
                <w:szCs w:val="24"/>
              </w:rPr>
              <w:t xml:space="preserve"> </w:t>
            </w:r>
          </w:p>
        </w:tc>
      </w:tr>
    </w:tbl>
    <w:p w:rsidR="00F739CA" w:rsidRPr="00F51055" w:rsidRDefault="00F739CA" w:rsidP="00F739CA">
      <w:pPr>
        <w:widowControl/>
        <w:spacing w:line="384" w:lineRule="auto"/>
        <w:jc w:val="center"/>
        <w:rPr>
          <w:rFonts w:ascii="Verdana" w:hAnsi="Verdana" w:cs="宋体"/>
          <w:vanish/>
          <w:color w:val="000000"/>
          <w:kern w:val="0"/>
          <w:szCs w:val="21"/>
        </w:rPr>
      </w:pPr>
    </w:p>
    <w:tbl>
      <w:tblPr>
        <w:tblW w:w="4000" w:type="pct"/>
        <w:jc w:val="center"/>
        <w:tblCellMar>
          <w:top w:w="15" w:type="dxa"/>
          <w:left w:w="15" w:type="dxa"/>
          <w:bottom w:w="15" w:type="dxa"/>
          <w:right w:w="15" w:type="dxa"/>
        </w:tblCellMar>
        <w:tblLook w:val="04A0"/>
      </w:tblPr>
      <w:tblGrid>
        <w:gridCol w:w="7280"/>
      </w:tblGrid>
      <w:tr w:rsidR="00F739CA" w:rsidRPr="00F51055" w:rsidTr="00C361C9">
        <w:trPr>
          <w:jc w:val="center"/>
        </w:trPr>
        <w:tc>
          <w:tcPr>
            <w:tcW w:w="0" w:type="auto"/>
            <w:vAlign w:val="center"/>
            <w:hideMark/>
          </w:tcPr>
          <w:p w:rsidR="00F739CA" w:rsidRPr="00F51055" w:rsidRDefault="00F739CA" w:rsidP="00C361C9">
            <w:pPr>
              <w:widowControl/>
              <w:jc w:val="left"/>
              <w:rPr>
                <w:rFonts w:ascii="Verdana" w:hAnsi="Verdana" w:cs="宋体"/>
                <w:b/>
                <w:bCs/>
                <w:color w:val="000000"/>
                <w:kern w:val="0"/>
                <w:sz w:val="36"/>
                <w:szCs w:val="36"/>
              </w:rPr>
            </w:pPr>
            <w:r w:rsidRPr="00F51055">
              <w:rPr>
                <w:rFonts w:ascii="Verdana" w:hAnsi="Verdana" w:cs="宋体"/>
                <w:b/>
                <w:bCs/>
                <w:color w:val="000000"/>
                <w:kern w:val="0"/>
                <w:sz w:val="36"/>
                <w:szCs w:val="36"/>
              </w:rPr>
              <w:t xml:space="preserve"> </w:t>
            </w:r>
          </w:p>
          <w:p w:rsidR="00F739CA" w:rsidRPr="00F51055" w:rsidRDefault="00F739CA" w:rsidP="00C361C9">
            <w:pPr>
              <w:widowControl/>
              <w:jc w:val="center"/>
              <w:rPr>
                <w:rFonts w:ascii="Verdana" w:hAnsi="Verdana" w:cs="宋体"/>
                <w:b/>
                <w:bCs/>
                <w:color w:val="000000"/>
                <w:kern w:val="0"/>
                <w:sz w:val="36"/>
                <w:szCs w:val="36"/>
              </w:rPr>
            </w:pPr>
            <w:r w:rsidRPr="00F51055">
              <w:rPr>
                <w:rFonts w:ascii="Verdana" w:hAnsi="Verdana" w:cs="宋体"/>
                <w:b/>
                <w:bCs/>
                <w:color w:val="000000"/>
                <w:kern w:val="0"/>
                <w:sz w:val="36"/>
                <w:szCs w:val="36"/>
              </w:rPr>
              <w:t>广东省突发气象灾害预警信号发布规定</w:t>
            </w:r>
          </w:p>
          <w:p w:rsidR="00F739CA" w:rsidRPr="00F51055" w:rsidRDefault="00F739CA" w:rsidP="00C361C9">
            <w:pPr>
              <w:widowControl/>
              <w:jc w:val="left"/>
              <w:rPr>
                <w:rFonts w:ascii="Verdana" w:hAnsi="Verdana" w:cs="宋体"/>
                <w:color w:val="000000"/>
                <w:kern w:val="0"/>
                <w:sz w:val="24"/>
                <w:szCs w:val="24"/>
              </w:rPr>
            </w:pP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 xml:space="preserve">　第一条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为防御和减轻突发气象灾害，保护人民生命财产安全，根据《中华人民共和国气象法》，结合本省实际，制定本规定。</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第二条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本规定的预警信号（见附件）是我省防御突发气象灾害的统一信号。</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第三条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突发气象灾害预警信号由县级以上气象主管机构所属的气象台站统一发布。任何组织和个人不得向公众传播非气象主管机构所属气象台站提供的预警信号。</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第四条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各级广播电台、电视台等媒体和有关电信运营企业应当及时播发气象主管机构所属气象台站发布（包括重新确认或更新）的突发气象灾害预警信号。基础电信运营企业应当确保通过其公用通信网络传递的预警信号传递畅通。播发预警信号的具体办法，由省广播电影电视、通信行业管理部门会同省气象主管机构制定。</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第五条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各级人民政府应当加强对突发灾害性天气监测预报系统、预警信号播发系统和防御系统基础设施的建设，不断提高本地的预警水平、播发质量和防御能力。</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第六条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各级人民政府及有关部门应当参照本规定中的防御指引（见附件），结合当地和本部门情况，制订防御突发气象灾害的具体措施。</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第七条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各级人民政府及有关部门应当根据本规定编印有关突发气象灾害预警信号以及防御措施的宣传手册，各种传播媒体必须采取</w:t>
            </w:r>
            <w:r w:rsidRPr="00F51055">
              <w:rPr>
                <w:rFonts w:ascii="Verdana" w:hAnsi="Verdana" w:cs="宋体"/>
                <w:color w:val="000000"/>
                <w:kern w:val="0"/>
                <w:sz w:val="24"/>
                <w:szCs w:val="24"/>
              </w:rPr>
              <w:lastRenderedPageBreak/>
              <w:t>各种不同手段深入进行宣传。</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第八条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单位或者个人应当按照本规定以及当地人民政府或者有关主管部门的规定，采取措施，积极防御，避免或者减少灾害损失。</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r w:rsidRPr="00F51055">
              <w:rPr>
                <w:rFonts w:ascii="Verdana" w:hAnsi="Verdana" w:cs="宋体"/>
                <w:b/>
                <w:bCs/>
                <w:color w:val="000000"/>
                <w:kern w:val="0"/>
                <w:sz w:val="24"/>
                <w:szCs w:val="24"/>
              </w:rPr>
              <w:t>第九条</w:t>
            </w:r>
            <w:r w:rsidRPr="00F51055">
              <w:rPr>
                <w:rFonts w:ascii="Verdana" w:hAnsi="Verdana" w:cs="宋体"/>
                <w:color w:val="000000"/>
                <w:kern w:val="0"/>
                <w:sz w:val="24"/>
                <w:szCs w:val="24"/>
              </w:rPr>
              <w:t xml:space="preserve"> </w:t>
            </w:r>
            <w:r w:rsidRPr="00F51055">
              <w:rPr>
                <w:rFonts w:ascii="Verdana" w:hAnsi="Verdana" w:cs="宋体"/>
                <w:color w:val="000000"/>
                <w:kern w:val="0"/>
                <w:sz w:val="24"/>
                <w:szCs w:val="24"/>
              </w:rPr>
              <w:t>本规定自</w:t>
            </w:r>
            <w:r w:rsidRPr="00F51055">
              <w:rPr>
                <w:rFonts w:ascii="Verdana" w:hAnsi="Verdana" w:cs="宋体"/>
                <w:color w:val="000000"/>
                <w:kern w:val="0"/>
                <w:sz w:val="24"/>
                <w:szCs w:val="24"/>
              </w:rPr>
              <w:t>2006</w:t>
            </w:r>
            <w:r w:rsidRPr="00F51055">
              <w:rPr>
                <w:rFonts w:ascii="Verdana" w:hAnsi="Verdana" w:cs="宋体"/>
                <w:color w:val="000000"/>
                <w:kern w:val="0"/>
                <w:sz w:val="24"/>
                <w:szCs w:val="24"/>
              </w:rPr>
              <w:t>年</w:t>
            </w:r>
            <w:r w:rsidRPr="00F51055">
              <w:rPr>
                <w:rFonts w:ascii="Verdana" w:hAnsi="Verdana" w:cs="宋体"/>
                <w:color w:val="000000"/>
                <w:kern w:val="0"/>
                <w:sz w:val="24"/>
                <w:szCs w:val="24"/>
              </w:rPr>
              <w:t>6</w:t>
            </w:r>
            <w:r w:rsidRPr="00F51055">
              <w:rPr>
                <w:rFonts w:ascii="Verdana" w:hAnsi="Verdana" w:cs="宋体"/>
                <w:color w:val="000000"/>
                <w:kern w:val="0"/>
                <w:sz w:val="24"/>
                <w:szCs w:val="24"/>
              </w:rPr>
              <w:t>月</w:t>
            </w:r>
            <w:r w:rsidRPr="00F51055">
              <w:rPr>
                <w:rFonts w:ascii="Verdana" w:hAnsi="Verdana" w:cs="宋体"/>
                <w:color w:val="000000"/>
                <w:kern w:val="0"/>
                <w:sz w:val="24"/>
                <w:szCs w:val="24"/>
              </w:rPr>
              <w:t>1</w:t>
            </w:r>
            <w:r w:rsidRPr="00F51055">
              <w:rPr>
                <w:rFonts w:ascii="Verdana" w:hAnsi="Verdana" w:cs="宋体"/>
                <w:color w:val="000000"/>
                <w:kern w:val="0"/>
                <w:sz w:val="24"/>
                <w:szCs w:val="24"/>
              </w:rPr>
              <w:t>日起施行。各地同类预警信号与本规定不一致的，以本规定为准。广东省人民政府</w:t>
            </w:r>
            <w:r w:rsidRPr="00F51055">
              <w:rPr>
                <w:rFonts w:ascii="Verdana" w:hAnsi="Verdana" w:cs="宋体"/>
                <w:color w:val="000000"/>
                <w:kern w:val="0"/>
                <w:sz w:val="24"/>
                <w:szCs w:val="24"/>
              </w:rPr>
              <w:t>2000</w:t>
            </w:r>
            <w:r w:rsidRPr="00F51055">
              <w:rPr>
                <w:rFonts w:ascii="Verdana" w:hAnsi="Verdana" w:cs="宋体"/>
                <w:color w:val="000000"/>
                <w:kern w:val="0"/>
                <w:sz w:val="24"/>
                <w:szCs w:val="24"/>
              </w:rPr>
              <w:t>年</w:t>
            </w:r>
            <w:r w:rsidRPr="00F51055">
              <w:rPr>
                <w:rFonts w:ascii="Verdana" w:hAnsi="Verdana" w:cs="宋体"/>
                <w:color w:val="000000"/>
                <w:kern w:val="0"/>
                <w:sz w:val="24"/>
                <w:szCs w:val="24"/>
              </w:rPr>
              <w:t>9</w:t>
            </w:r>
            <w:r w:rsidRPr="00F51055">
              <w:rPr>
                <w:rFonts w:ascii="Verdana" w:hAnsi="Verdana" w:cs="宋体"/>
                <w:color w:val="000000"/>
                <w:kern w:val="0"/>
                <w:sz w:val="24"/>
                <w:szCs w:val="24"/>
              </w:rPr>
              <w:t>月</w:t>
            </w:r>
            <w:r w:rsidRPr="00F51055">
              <w:rPr>
                <w:rFonts w:ascii="Verdana" w:hAnsi="Verdana" w:cs="宋体"/>
                <w:color w:val="000000"/>
                <w:kern w:val="0"/>
                <w:sz w:val="24"/>
                <w:szCs w:val="24"/>
              </w:rPr>
              <w:t>18</w:t>
            </w:r>
            <w:r w:rsidRPr="00F51055">
              <w:rPr>
                <w:rFonts w:ascii="Verdana" w:hAnsi="Verdana" w:cs="宋体"/>
                <w:color w:val="000000"/>
                <w:kern w:val="0"/>
                <w:sz w:val="24"/>
                <w:szCs w:val="24"/>
              </w:rPr>
              <w:t>日发布的《广东省台风、暴雨、寒冷预警信号发布规定》同时废止。</w:t>
            </w:r>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附件：广东省突发气象灾害预警信号及防御指引</w:t>
            </w:r>
            <w:hyperlink r:id="rId8" w:history="1">
              <w:r w:rsidRPr="00F51055">
                <w:rPr>
                  <w:rFonts w:ascii="Verdana" w:hAnsi="Verdana" w:cs="宋体"/>
                  <w:color w:val="222222"/>
                  <w:kern w:val="0"/>
                  <w:sz w:val="24"/>
                  <w:szCs w:val="24"/>
                </w:rPr>
                <w:t xml:space="preserve">（详情请看《广东省人民政府公报　</w:t>
              </w:r>
              <w:r w:rsidRPr="00F51055">
                <w:rPr>
                  <w:rFonts w:ascii="Verdana" w:hAnsi="Verdana" w:cs="宋体"/>
                  <w:color w:val="222222"/>
                  <w:kern w:val="0"/>
                  <w:sz w:val="24"/>
                  <w:szCs w:val="24"/>
                </w:rPr>
                <w:t>2006</w:t>
              </w:r>
              <w:r w:rsidRPr="00F51055">
                <w:rPr>
                  <w:rFonts w:ascii="Verdana" w:hAnsi="Verdana" w:cs="宋体"/>
                  <w:color w:val="222222"/>
                  <w:kern w:val="0"/>
                  <w:sz w:val="24"/>
                  <w:szCs w:val="24"/>
                </w:rPr>
                <w:t>年第</w:t>
              </w:r>
              <w:r w:rsidRPr="00F51055">
                <w:rPr>
                  <w:rFonts w:ascii="Verdana" w:hAnsi="Verdana" w:cs="宋体"/>
                  <w:color w:val="222222"/>
                  <w:kern w:val="0"/>
                  <w:sz w:val="24"/>
                  <w:szCs w:val="24"/>
                </w:rPr>
                <w:t>14</w:t>
              </w:r>
              <w:r w:rsidRPr="00F51055">
                <w:rPr>
                  <w:rFonts w:ascii="Verdana" w:hAnsi="Verdana" w:cs="宋体"/>
                  <w:color w:val="222222"/>
                  <w:kern w:val="0"/>
                  <w:sz w:val="24"/>
                  <w:szCs w:val="24"/>
                </w:rPr>
                <w:t>期》电子版）</w:t>
              </w:r>
            </w:hyperlink>
          </w:p>
          <w:p w:rsidR="00F739CA" w:rsidRPr="00F51055" w:rsidRDefault="00F739CA" w:rsidP="00C361C9">
            <w:pPr>
              <w:widowControl/>
              <w:spacing w:before="100" w:beforeAutospacing="1" w:after="100" w:afterAutospacing="1"/>
              <w:jc w:val="left"/>
              <w:rPr>
                <w:rFonts w:ascii="Verdana" w:hAnsi="Verdana" w:cs="宋体"/>
                <w:color w:val="000000"/>
                <w:kern w:val="0"/>
                <w:sz w:val="24"/>
                <w:szCs w:val="24"/>
              </w:rPr>
            </w:pPr>
            <w:r w:rsidRPr="00F51055">
              <w:rPr>
                <w:rFonts w:ascii="Verdana" w:hAnsi="Verdana" w:cs="宋体"/>
                <w:color w:val="000000"/>
                <w:kern w:val="0"/>
                <w:sz w:val="24"/>
                <w:szCs w:val="24"/>
              </w:rPr>
              <w:t xml:space="preserve">　　</w:t>
            </w:r>
          </w:p>
        </w:tc>
      </w:tr>
    </w:tbl>
    <w:p w:rsidR="00E26F48" w:rsidRPr="00F739CA" w:rsidRDefault="00E26F48"/>
    <w:sectPr w:rsidR="00E26F48" w:rsidRPr="00F739CA" w:rsidSect="00F739CA">
      <w:pgSz w:w="11906" w:h="16838"/>
      <w:pgMar w:top="1418"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F48" w:rsidRDefault="00E26F48" w:rsidP="00F739CA">
      <w:r>
        <w:separator/>
      </w:r>
    </w:p>
  </w:endnote>
  <w:endnote w:type="continuationSeparator" w:id="1">
    <w:p w:rsidR="00E26F48" w:rsidRDefault="00E26F48" w:rsidP="00F739C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F48" w:rsidRDefault="00E26F48" w:rsidP="00F739CA">
      <w:r>
        <w:separator/>
      </w:r>
    </w:p>
  </w:footnote>
  <w:footnote w:type="continuationSeparator" w:id="1">
    <w:p w:rsidR="00E26F48" w:rsidRDefault="00E26F48" w:rsidP="00F739C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39CA"/>
    <w:rsid w:val="00E26F48"/>
    <w:rsid w:val="00F73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9C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39C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739CA"/>
    <w:rPr>
      <w:sz w:val="18"/>
      <w:szCs w:val="18"/>
    </w:rPr>
  </w:style>
  <w:style w:type="paragraph" w:styleId="a4">
    <w:name w:val="footer"/>
    <w:basedOn w:val="a"/>
    <w:link w:val="Char0"/>
    <w:uiPriority w:val="99"/>
    <w:semiHidden/>
    <w:unhideWhenUsed/>
    <w:rsid w:val="00F739C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739CA"/>
    <w:rPr>
      <w:sz w:val="18"/>
      <w:szCs w:val="18"/>
    </w:rPr>
  </w:style>
  <w:style w:type="paragraph" w:styleId="a5">
    <w:name w:val="Balloon Text"/>
    <w:basedOn w:val="a"/>
    <w:link w:val="Char1"/>
    <w:uiPriority w:val="99"/>
    <w:semiHidden/>
    <w:unhideWhenUsed/>
    <w:rsid w:val="00F739CA"/>
    <w:rPr>
      <w:sz w:val="18"/>
      <w:szCs w:val="18"/>
    </w:rPr>
  </w:style>
  <w:style w:type="character" w:customStyle="1" w:styleId="Char1">
    <w:name w:val="批注框文本 Char"/>
    <w:basedOn w:val="a0"/>
    <w:link w:val="a5"/>
    <w:uiPriority w:val="99"/>
    <w:semiHidden/>
    <w:rsid w:val="00F739C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d.gov.cn/govpub/zfgb/apabi/GBLW0614.ceb" TargetMode="Externa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147</Words>
  <Characters>842</Characters>
  <Application>Microsoft Office Word</Application>
  <DocSecurity>0</DocSecurity>
  <Lines>7</Lines>
  <Paragraphs>1</Paragraphs>
  <ScaleCrop>false</ScaleCrop>
  <Company/>
  <LinksUpToDate>false</LinksUpToDate>
  <CharactersWithSpaces>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2014-09-11T09:41:00Z</dcterms:created>
  <dcterms:modified xsi:type="dcterms:W3CDTF">2014-09-11T09:44:00Z</dcterms:modified>
</cp:coreProperties>
</file>