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9DE3C" w14:textId="77777777" w:rsidR="00963D8B" w:rsidRPr="00963D8B" w:rsidRDefault="00963D8B" w:rsidP="00963D8B">
      <w:pPr>
        <w:widowControl/>
        <w:jc w:val="center"/>
        <w:rPr>
          <w:rFonts w:ascii="宋体" w:eastAsia="宋体" w:hAnsi="宋体" w:cs="宋体"/>
          <w:kern w:val="0"/>
          <w:sz w:val="24"/>
          <w:szCs w:val="24"/>
        </w:rPr>
      </w:pPr>
      <w:r w:rsidRPr="00963D8B">
        <w:rPr>
          <w:rFonts w:ascii="宋体" w:eastAsia="宋体" w:hAnsi="宋体" w:cs="宋体"/>
          <w:noProof/>
          <w:kern w:val="0"/>
          <w:sz w:val="24"/>
          <w:szCs w:val="24"/>
        </w:rPr>
        <w:drawing>
          <wp:inline distT="0" distB="0" distL="0" distR="0" wp14:anchorId="0BDB0D1C" wp14:editId="6D92A145">
            <wp:extent cx="3133725" cy="438150"/>
            <wp:effectExtent l="0" t="0" r="9525" b="0"/>
            <wp:docPr id="1" name="图片 1" descr="http://zwgk.gd.gov.cn/006939748/201804/W0201804184970259309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wgk.gd.gov.cn/006939748/201804/W02018041849702593097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33725" cy="438150"/>
                    </a:xfrm>
                    <a:prstGeom prst="rect">
                      <a:avLst/>
                    </a:prstGeom>
                    <a:noFill/>
                    <a:ln>
                      <a:noFill/>
                    </a:ln>
                  </pic:spPr>
                </pic:pic>
              </a:graphicData>
            </a:graphic>
          </wp:inline>
        </w:drawing>
      </w:r>
    </w:p>
    <w:p w14:paraId="3EAF692E" w14:textId="77777777" w:rsidR="00963D8B" w:rsidRPr="00963D8B" w:rsidRDefault="00963D8B" w:rsidP="00963D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eastAsia="宋体" w:hAnsi="宋体" w:cs="宋体"/>
          <w:kern w:val="0"/>
          <w:sz w:val="24"/>
          <w:szCs w:val="24"/>
        </w:rPr>
      </w:pPr>
      <w:r w:rsidRPr="00963D8B">
        <w:rPr>
          <w:rFonts w:ascii="宋体" w:eastAsia="宋体" w:hAnsi="宋体" w:cs="宋体"/>
          <w:kern w:val="0"/>
          <w:sz w:val="24"/>
          <w:szCs w:val="24"/>
        </w:rPr>
        <w:t> </w:t>
      </w:r>
    </w:p>
    <w:p w14:paraId="6A62EB31" w14:textId="77777777" w:rsidR="00963D8B" w:rsidRPr="00963D8B" w:rsidRDefault="00963D8B" w:rsidP="00963D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eastAsia="宋体" w:hAnsi="宋体" w:cs="宋体"/>
          <w:kern w:val="0"/>
          <w:sz w:val="24"/>
          <w:szCs w:val="24"/>
        </w:rPr>
      </w:pPr>
      <w:r w:rsidRPr="00963D8B">
        <w:rPr>
          <w:rFonts w:ascii="宋体" w:eastAsia="宋体" w:hAnsi="宋体" w:cs="宋体"/>
          <w:b/>
          <w:bCs/>
          <w:kern w:val="0"/>
          <w:sz w:val="27"/>
          <w:szCs w:val="27"/>
        </w:rPr>
        <w:t>第</w:t>
      </w:r>
      <w:r w:rsidRPr="00963D8B">
        <w:rPr>
          <w:rFonts w:ascii="宋体" w:eastAsia="宋体" w:hAnsi="宋体" w:cs="宋体"/>
          <w:kern w:val="0"/>
          <w:sz w:val="27"/>
          <w:szCs w:val="27"/>
        </w:rPr>
        <w:t xml:space="preserve">　254　</w:t>
      </w:r>
      <w:r w:rsidRPr="00963D8B">
        <w:rPr>
          <w:rFonts w:ascii="宋体" w:eastAsia="宋体" w:hAnsi="宋体" w:cs="宋体"/>
          <w:b/>
          <w:bCs/>
          <w:kern w:val="0"/>
          <w:sz w:val="27"/>
          <w:szCs w:val="27"/>
        </w:rPr>
        <w:t>号</w:t>
      </w:r>
    </w:p>
    <w:tbl>
      <w:tblPr>
        <w:tblW w:w="4944" w:type="pct"/>
        <w:jc w:val="center"/>
        <w:tblCellSpacing w:w="15" w:type="dxa"/>
        <w:tblCellMar>
          <w:top w:w="15" w:type="dxa"/>
          <w:left w:w="15" w:type="dxa"/>
          <w:bottom w:w="15" w:type="dxa"/>
          <w:right w:w="15" w:type="dxa"/>
        </w:tblCellMar>
        <w:tblLook w:val="04A0" w:firstRow="1" w:lastRow="0" w:firstColumn="1" w:lastColumn="0" w:noHBand="0" w:noVBand="1"/>
      </w:tblPr>
      <w:tblGrid>
        <w:gridCol w:w="8409"/>
      </w:tblGrid>
      <w:tr w:rsidR="00963D8B" w:rsidRPr="00963D8B" w14:paraId="2580CA1D" w14:textId="77777777" w:rsidTr="00B50EC0">
        <w:trPr>
          <w:trHeight w:val="1530"/>
          <w:tblCellSpacing w:w="15" w:type="dxa"/>
          <w:jc w:val="center"/>
        </w:trPr>
        <w:tc>
          <w:tcPr>
            <w:tcW w:w="0" w:type="auto"/>
            <w:vAlign w:val="center"/>
            <w:hideMark/>
          </w:tcPr>
          <w:p w14:paraId="6FE59CB3"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56B9806D"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《广东省气象灾害防御重点单位气象安全管理办法》已经2018年2月1日广东省人民政府第十三届1次常务会议通过，现予公布，自2018年6月1日起施行。</w:t>
            </w:r>
          </w:p>
        </w:tc>
      </w:tr>
    </w:tbl>
    <w:p w14:paraId="58D67F51" w14:textId="77777777" w:rsidR="00963D8B" w:rsidRPr="00963D8B" w:rsidRDefault="00963D8B" w:rsidP="00963D8B">
      <w:pPr>
        <w:widowControl/>
        <w:jc w:val="center"/>
        <w:rPr>
          <w:rFonts w:ascii="宋体" w:eastAsia="宋体" w:hAnsi="宋体" w:cs="宋体"/>
          <w:vanish/>
          <w:kern w:val="0"/>
          <w:sz w:val="24"/>
          <w:szCs w:val="24"/>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729"/>
        <w:gridCol w:w="2775"/>
      </w:tblGrid>
      <w:tr w:rsidR="00963D8B" w:rsidRPr="00963D8B" w14:paraId="62A5187F" w14:textId="77777777" w:rsidTr="00963D8B">
        <w:trPr>
          <w:tblCellSpacing w:w="15" w:type="dxa"/>
          <w:jc w:val="center"/>
        </w:trPr>
        <w:tc>
          <w:tcPr>
            <w:tcW w:w="0" w:type="auto"/>
            <w:vAlign w:val="center"/>
            <w:hideMark/>
          </w:tcPr>
          <w:p w14:paraId="37DF3CE3" w14:textId="6B126750" w:rsidR="00963D8B" w:rsidRPr="00963D8B" w:rsidRDefault="00963D8B" w:rsidP="00963D8B">
            <w:pPr>
              <w:widowControl/>
              <w:wordWrap w:val="0"/>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kern w:val="0"/>
                <w:sz w:val="27"/>
                <w:szCs w:val="27"/>
              </w:rPr>
              <w:t xml:space="preserve">　　</w:t>
            </w:r>
            <w:r w:rsidR="00B50EC0">
              <w:rPr>
                <w:rFonts w:ascii="宋体" w:eastAsia="宋体" w:hAnsi="宋体" w:cs="宋体" w:hint="eastAsia"/>
                <w:kern w:val="0"/>
                <w:sz w:val="27"/>
                <w:szCs w:val="27"/>
              </w:rPr>
              <w:t xml:space="preserve"> </w:t>
            </w:r>
            <w:r w:rsidR="00B50EC0">
              <w:rPr>
                <w:rFonts w:ascii="宋体" w:eastAsia="宋体" w:hAnsi="宋体" w:cs="宋体"/>
                <w:kern w:val="0"/>
                <w:sz w:val="27"/>
                <w:szCs w:val="27"/>
              </w:rPr>
              <w:t xml:space="preserve">                  </w:t>
            </w:r>
            <w:r w:rsidRPr="00963D8B">
              <w:rPr>
                <w:rFonts w:ascii="宋体" w:eastAsia="宋体" w:hAnsi="宋体" w:cs="宋体" w:hint="eastAsia"/>
                <w:kern w:val="0"/>
                <w:sz w:val="27"/>
                <w:szCs w:val="27"/>
              </w:rPr>
              <w:t xml:space="preserve">省　　长　　</w:t>
            </w:r>
          </w:p>
        </w:tc>
        <w:tc>
          <w:tcPr>
            <w:tcW w:w="0" w:type="auto"/>
            <w:vAlign w:val="center"/>
            <w:hideMark/>
          </w:tcPr>
          <w:p w14:paraId="0A2FB0FA" w14:textId="77777777" w:rsidR="00963D8B" w:rsidRPr="00963D8B" w:rsidRDefault="00963D8B" w:rsidP="00963D8B">
            <w:pPr>
              <w:widowControl/>
              <w:wordWrap w:val="0"/>
              <w:jc w:val="left"/>
              <w:rPr>
                <w:rFonts w:ascii="宋体" w:eastAsia="宋体" w:hAnsi="宋体" w:cs="宋体"/>
                <w:kern w:val="0"/>
                <w:sz w:val="24"/>
                <w:szCs w:val="24"/>
              </w:rPr>
            </w:pPr>
            <w:r w:rsidRPr="00963D8B">
              <w:rPr>
                <w:rFonts w:ascii="宋体" w:eastAsia="宋体" w:hAnsi="宋体" w:cs="宋体"/>
                <w:noProof/>
                <w:kern w:val="0"/>
                <w:sz w:val="24"/>
                <w:szCs w:val="24"/>
              </w:rPr>
              <w:drawing>
                <wp:inline distT="0" distB="0" distL="0" distR="0" wp14:anchorId="2D41B374" wp14:editId="4C8E2575">
                  <wp:extent cx="1714500" cy="1171575"/>
                  <wp:effectExtent l="0" t="0" r="0" b="9525"/>
                  <wp:docPr id="2" name="图片 2" descr="http://zwgk.gd.gov.cn/006939748/201804/W020180418497026095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wgk.gd.gov.cn/006939748/201804/W02018041849702609562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1171575"/>
                          </a:xfrm>
                          <a:prstGeom prst="rect">
                            <a:avLst/>
                          </a:prstGeom>
                          <a:noFill/>
                          <a:ln>
                            <a:noFill/>
                          </a:ln>
                        </pic:spPr>
                      </pic:pic>
                    </a:graphicData>
                  </a:graphic>
                </wp:inline>
              </w:drawing>
            </w:r>
          </w:p>
        </w:tc>
      </w:tr>
    </w:tbl>
    <w:p w14:paraId="72A9AA62" w14:textId="77777777" w:rsidR="00963D8B" w:rsidRPr="00963D8B" w:rsidRDefault="00963D8B" w:rsidP="00963D8B">
      <w:pPr>
        <w:widowControl/>
        <w:jc w:val="center"/>
        <w:rPr>
          <w:rFonts w:ascii="宋体" w:eastAsia="宋体" w:hAnsi="宋体" w:cs="宋体"/>
          <w:kern w:val="0"/>
          <w:sz w:val="24"/>
          <w:szCs w:val="24"/>
        </w:rPr>
      </w:pPr>
      <w:r w:rsidRPr="00963D8B">
        <w:rPr>
          <w:rFonts w:ascii="宋体" w:eastAsia="宋体" w:hAnsi="宋体" w:cs="宋体"/>
          <w:kern w:val="0"/>
          <w:sz w:val="24"/>
          <w:szCs w:val="24"/>
        </w:rPr>
        <w:t xml:space="preserve">    </w:t>
      </w:r>
    </w:p>
    <w:tbl>
      <w:tblPr>
        <w:tblW w:w="4583" w:type="pct"/>
        <w:jc w:val="center"/>
        <w:tblCellSpacing w:w="15" w:type="dxa"/>
        <w:tblCellMar>
          <w:top w:w="15" w:type="dxa"/>
          <w:left w:w="15" w:type="dxa"/>
          <w:bottom w:w="15" w:type="dxa"/>
          <w:right w:w="15" w:type="dxa"/>
        </w:tblCellMar>
        <w:tblLook w:val="04A0" w:firstRow="1" w:lastRow="0" w:firstColumn="1" w:lastColumn="0" w:noHBand="0" w:noVBand="1"/>
      </w:tblPr>
      <w:tblGrid>
        <w:gridCol w:w="7795"/>
      </w:tblGrid>
      <w:tr w:rsidR="00963D8B" w:rsidRPr="00963D8B" w14:paraId="2D6E9A4B" w14:textId="77777777" w:rsidTr="00B50EC0">
        <w:trPr>
          <w:trHeight w:val="375"/>
          <w:tblCellSpacing w:w="15" w:type="dxa"/>
          <w:jc w:val="center"/>
        </w:trPr>
        <w:tc>
          <w:tcPr>
            <w:tcW w:w="0" w:type="auto"/>
            <w:vAlign w:val="center"/>
            <w:hideMark/>
          </w:tcPr>
          <w:p w14:paraId="18AEC6DE" w14:textId="70D56732" w:rsidR="00963D8B" w:rsidRDefault="00963D8B" w:rsidP="00963D8B">
            <w:pPr>
              <w:widowControl/>
              <w:wordWrap w:val="0"/>
              <w:jc w:val="center"/>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007E12EF">
              <w:rPr>
                <w:rFonts w:ascii="宋体" w:eastAsia="宋体" w:hAnsi="宋体" w:cs="宋体" w:hint="eastAsia"/>
                <w:kern w:val="0"/>
                <w:sz w:val="24"/>
                <w:szCs w:val="24"/>
              </w:rPr>
              <w:t xml:space="preserve"> </w:t>
            </w:r>
            <w:r w:rsidR="007E12EF">
              <w:rPr>
                <w:rFonts w:ascii="宋体" w:eastAsia="宋体" w:hAnsi="宋体" w:cs="宋体"/>
                <w:kern w:val="0"/>
                <w:sz w:val="24"/>
                <w:szCs w:val="24"/>
              </w:rPr>
              <w:t xml:space="preserve">       </w:t>
            </w:r>
            <w:r w:rsidRPr="00963D8B">
              <w:rPr>
                <w:rFonts w:ascii="宋体" w:eastAsia="宋体" w:hAnsi="宋体" w:cs="宋体" w:hint="eastAsia"/>
                <w:kern w:val="0"/>
                <w:sz w:val="24"/>
                <w:szCs w:val="24"/>
              </w:rPr>
              <w:t>2018年4月12日</w:t>
            </w:r>
          </w:p>
          <w:p w14:paraId="7274BA5A" w14:textId="77777777" w:rsidR="0021025D" w:rsidRDefault="0021025D" w:rsidP="00963D8B">
            <w:pPr>
              <w:widowControl/>
              <w:wordWrap w:val="0"/>
              <w:jc w:val="center"/>
              <w:rPr>
                <w:rFonts w:ascii="宋体" w:eastAsia="宋体" w:hAnsi="宋体" w:cs="宋体"/>
                <w:kern w:val="0"/>
                <w:sz w:val="24"/>
                <w:szCs w:val="24"/>
              </w:rPr>
            </w:pPr>
          </w:p>
          <w:p w14:paraId="71FA612B" w14:textId="040FEFF2" w:rsidR="0021025D" w:rsidRPr="00963D8B" w:rsidRDefault="0021025D" w:rsidP="00963D8B">
            <w:pPr>
              <w:widowControl/>
              <w:wordWrap w:val="0"/>
              <w:jc w:val="center"/>
              <w:rPr>
                <w:rFonts w:ascii="宋体" w:eastAsia="宋体" w:hAnsi="宋体" w:cs="宋体"/>
                <w:kern w:val="0"/>
                <w:sz w:val="24"/>
                <w:szCs w:val="24"/>
              </w:rPr>
            </w:pPr>
          </w:p>
        </w:tc>
      </w:tr>
    </w:tbl>
    <w:p w14:paraId="072209D7" w14:textId="77777777" w:rsidR="00963D8B" w:rsidRPr="00963D8B" w:rsidRDefault="00963D8B" w:rsidP="00963D8B">
      <w:pPr>
        <w:widowControl/>
        <w:jc w:val="center"/>
        <w:rPr>
          <w:rFonts w:ascii="宋体" w:eastAsia="宋体" w:hAnsi="宋体" w:cs="宋体"/>
          <w:vanish/>
          <w:kern w:val="0"/>
          <w:sz w:val="24"/>
          <w:szCs w:val="24"/>
        </w:rPr>
      </w:pPr>
    </w:p>
    <w:tbl>
      <w:tblPr>
        <w:tblW w:w="5084" w:type="pct"/>
        <w:jc w:val="center"/>
        <w:tblCellSpacing w:w="15" w:type="dxa"/>
        <w:tblCellMar>
          <w:top w:w="15" w:type="dxa"/>
          <w:left w:w="15" w:type="dxa"/>
          <w:bottom w:w="15" w:type="dxa"/>
          <w:right w:w="15" w:type="dxa"/>
        </w:tblCellMar>
        <w:tblLook w:val="04A0" w:firstRow="1" w:lastRow="0" w:firstColumn="1" w:lastColumn="0" w:noHBand="0" w:noVBand="1"/>
      </w:tblPr>
      <w:tblGrid>
        <w:gridCol w:w="8647"/>
      </w:tblGrid>
      <w:tr w:rsidR="00963D8B" w:rsidRPr="00963D8B" w14:paraId="0429FDA5" w14:textId="77777777" w:rsidTr="0021025D">
        <w:trPr>
          <w:tblCellSpacing w:w="15" w:type="dxa"/>
          <w:jc w:val="center"/>
        </w:trPr>
        <w:tc>
          <w:tcPr>
            <w:tcW w:w="4965" w:type="pct"/>
            <w:vAlign w:val="center"/>
            <w:hideMark/>
          </w:tcPr>
          <w:p w14:paraId="3FE0215F"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kern w:val="0"/>
                <w:sz w:val="24"/>
                <w:szCs w:val="24"/>
              </w:rPr>
              <w:t> </w:t>
            </w:r>
            <w:r w:rsidRPr="00963D8B">
              <w:rPr>
                <w:rFonts w:ascii="宋体" w:eastAsia="宋体" w:hAnsi="宋体" w:cs="宋体" w:hint="eastAsia"/>
                <w:kern w:val="0"/>
                <w:sz w:val="24"/>
                <w:szCs w:val="24"/>
              </w:rPr>
              <w:br/>
            </w:r>
            <w:r w:rsidRPr="00963D8B">
              <w:rPr>
                <w:rFonts w:ascii="宋体" w:eastAsia="宋体" w:hAnsi="宋体" w:cs="宋体" w:hint="eastAsia"/>
                <w:b/>
                <w:bCs/>
                <w:kern w:val="0"/>
                <w:sz w:val="24"/>
                <w:szCs w:val="24"/>
              </w:rPr>
              <w:t>广东省气象灾害防御重点单位气象安全管理办法</w:t>
            </w:r>
            <w:bookmarkStart w:id="0" w:name="_GoBack"/>
            <w:bookmarkEnd w:id="0"/>
          </w:p>
          <w:p w14:paraId="146D100F"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kern w:val="0"/>
                <w:sz w:val="24"/>
                <w:szCs w:val="24"/>
              </w:rPr>
              <w:br/>
            </w:r>
            <w:r w:rsidRPr="00963D8B">
              <w:rPr>
                <w:rFonts w:ascii="宋体" w:eastAsia="宋体" w:hAnsi="宋体" w:cs="宋体" w:hint="eastAsia"/>
                <w:b/>
                <w:bCs/>
                <w:kern w:val="0"/>
                <w:sz w:val="24"/>
                <w:szCs w:val="24"/>
              </w:rPr>
              <w:t>第一章　总　则</w:t>
            </w:r>
          </w:p>
          <w:p w14:paraId="370DBB0F"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24CDFD5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第一条</w:t>
            </w:r>
            <w:r w:rsidRPr="00963D8B">
              <w:rPr>
                <w:rFonts w:ascii="宋体" w:eastAsia="宋体" w:hAnsi="宋体" w:cs="宋体" w:hint="eastAsia"/>
                <w:kern w:val="0"/>
                <w:sz w:val="24"/>
                <w:szCs w:val="24"/>
              </w:rPr>
              <w:t xml:space="preserve">　为了加强对气象灾害防御重点单位的管理，避免、减轻气象灾害造成的损失，保障人民生命财产安全，根据《广东省气象灾害防御条例》等法规，结合本省实际，制定本办法。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第二条</w:t>
            </w:r>
            <w:r w:rsidRPr="00963D8B">
              <w:rPr>
                <w:rFonts w:ascii="宋体" w:eastAsia="宋体" w:hAnsi="宋体" w:cs="宋体" w:hint="eastAsia"/>
                <w:kern w:val="0"/>
                <w:sz w:val="24"/>
                <w:szCs w:val="24"/>
              </w:rPr>
              <w:t xml:space="preserve">　本办法适用于本省行政区域内气象灾害防御重点单位的管理及监督检查。 </w:t>
            </w:r>
            <w:r w:rsidRPr="00963D8B">
              <w:rPr>
                <w:rFonts w:ascii="宋体" w:eastAsia="宋体" w:hAnsi="宋体" w:cs="宋体" w:hint="eastAsia"/>
                <w:kern w:val="0"/>
                <w:sz w:val="24"/>
                <w:szCs w:val="24"/>
              </w:rPr>
              <w:br/>
              <w:t xml:space="preserve">　　本办法所称气象灾害防御重点单位（以下简称重点单位），是指在发生台风、暴雨、雷电、大风、高温、寒冷等灾害性天气时，容易直接或者间接造成人员伤亡、较大财产损失或者发生生产安全事故的单位。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第三条</w:t>
            </w:r>
            <w:r w:rsidRPr="00963D8B">
              <w:rPr>
                <w:rFonts w:ascii="宋体" w:eastAsia="宋体" w:hAnsi="宋体" w:cs="宋体" w:hint="eastAsia"/>
                <w:kern w:val="0"/>
                <w:sz w:val="24"/>
                <w:szCs w:val="24"/>
              </w:rPr>
              <w:t xml:space="preserve">　市、县、区人民政府负责确定并公布本行政区域内的重点单位。县级以上人民政府应当加强对重点单位管理工作的组织领导和经费保障。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第四条</w:t>
            </w:r>
            <w:r w:rsidRPr="00963D8B">
              <w:rPr>
                <w:rFonts w:ascii="宋体" w:eastAsia="宋体" w:hAnsi="宋体" w:cs="宋体" w:hint="eastAsia"/>
                <w:kern w:val="0"/>
                <w:sz w:val="24"/>
                <w:szCs w:val="24"/>
              </w:rPr>
              <w:t xml:space="preserve">　县级以上气象主管机构应当加强对重点单位的指导和监督管理，健全气象灾害防御标准和规则。县级以上人民政府有关部门在各自职责范围内做好对重点单位气象灾害防御的指导和监督管理工作。</w:t>
            </w:r>
          </w:p>
          <w:p w14:paraId="0D7D237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lastRenderedPageBreak/>
              <w:t> </w:t>
            </w:r>
          </w:p>
          <w:p w14:paraId="14C54CF1"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b/>
                <w:bCs/>
                <w:kern w:val="0"/>
                <w:sz w:val="24"/>
                <w:szCs w:val="24"/>
              </w:rPr>
              <w:t>第二章　重点单位的确定</w:t>
            </w:r>
          </w:p>
          <w:p w14:paraId="70257770"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6864053D"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第五条</w:t>
            </w:r>
            <w:r w:rsidRPr="00963D8B">
              <w:rPr>
                <w:rFonts w:ascii="宋体" w:eastAsia="宋体" w:hAnsi="宋体" w:cs="宋体" w:hint="eastAsia"/>
                <w:kern w:val="0"/>
                <w:sz w:val="24"/>
                <w:szCs w:val="24"/>
              </w:rPr>
              <w:t xml:space="preserve">　市、县、区人民政府确定重点单位应当综合考虑以下因素：</w:t>
            </w:r>
          </w:p>
          <w:p w14:paraId="6029D13F"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（一）单位所处区域的气象灾害风险等级；</w:t>
            </w:r>
          </w:p>
          <w:p w14:paraId="3F4D40CB"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（二）单位的位置及其所处区域的地形、地质、地貌、气象、环境等条件；</w:t>
            </w:r>
          </w:p>
          <w:p w14:paraId="11BB7C9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（三）单位的重要性、生产特性；</w:t>
            </w:r>
          </w:p>
          <w:p w14:paraId="60A7ACAE"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（四）遭受灾害性天气时可能造成的损失程度。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第六条</w:t>
            </w:r>
            <w:r w:rsidRPr="00963D8B">
              <w:rPr>
                <w:rFonts w:ascii="宋体" w:eastAsia="宋体" w:hAnsi="宋体" w:cs="宋体" w:hint="eastAsia"/>
                <w:kern w:val="0"/>
                <w:sz w:val="24"/>
                <w:szCs w:val="24"/>
              </w:rPr>
              <w:t xml:space="preserve">　下列单位可以确定为重点单位：</w:t>
            </w:r>
          </w:p>
          <w:p w14:paraId="1B988AC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（一）学校（含幼儿园）、医院以及火车站、民用机场、轨道交通、高速公路、客运车站和客运码头等人员密集场所的经营管理单位；</w:t>
            </w:r>
          </w:p>
          <w:p w14:paraId="46106F33"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（二）易燃易爆、有毒有害等危险物品的生产、充装、储存、供应、运输或者销售单位；</w:t>
            </w:r>
          </w:p>
          <w:p w14:paraId="7F86C3E0"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（三）重大基础设施、大型工程、公共工程等在建工程的业主单位；</w:t>
            </w:r>
          </w:p>
          <w:p w14:paraId="70156C1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（四）电力、燃气、供水、通信、广电等对国计民生有重大影响的企事业单位；</w:t>
            </w:r>
          </w:p>
          <w:p w14:paraId="00E0E183"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（五）旅游景区、主题公园、风景区的经营管理单位，重点文物保护单位；</w:t>
            </w:r>
          </w:p>
          <w:p w14:paraId="4E381DC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（六）渔业捕捞、船舶运输、渔港、海上平台、跨海桥梁等的经营管理单位；</w:t>
            </w:r>
          </w:p>
          <w:p w14:paraId="59DA53AC"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（七）大型生产、大型制造业单位或者大型劳动密集型企业；</w:t>
            </w:r>
          </w:p>
          <w:p w14:paraId="27C8DBA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（八）其他因气象灾害容易造成人员伤亡、较大财产损失或者发生生产安全事故的单位。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第七条</w:t>
            </w:r>
            <w:r w:rsidRPr="00963D8B">
              <w:rPr>
                <w:rFonts w:ascii="宋体" w:eastAsia="宋体" w:hAnsi="宋体" w:cs="宋体" w:hint="eastAsia"/>
                <w:kern w:val="0"/>
                <w:sz w:val="24"/>
                <w:szCs w:val="24"/>
              </w:rPr>
              <w:t xml:space="preserve">　本办法第六条所列单位符合下列条件之一的，应当确定为重点单位：</w:t>
            </w:r>
          </w:p>
          <w:p w14:paraId="5F9E89C6"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（一）曾经发生气象灾害或者次生、衍生灾害，造成人员伤亡或者较大财产损失的单位；</w:t>
            </w:r>
          </w:p>
          <w:p w14:paraId="60186C6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（二）在气象灾害极高风险区划内的大型企业；</w:t>
            </w:r>
          </w:p>
          <w:p w14:paraId="2403DF2C"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lastRenderedPageBreak/>
              <w:t xml:space="preserve">　　（三）同时对三种以上灾害性天气高敏感的单位。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第八条</w:t>
            </w:r>
            <w:r w:rsidRPr="00963D8B">
              <w:rPr>
                <w:rFonts w:ascii="宋体" w:eastAsia="宋体" w:hAnsi="宋体" w:cs="宋体" w:hint="eastAsia"/>
                <w:kern w:val="0"/>
                <w:sz w:val="24"/>
                <w:szCs w:val="24"/>
              </w:rPr>
              <w:t xml:space="preserve">　市、县、区气象主管机构应当会同同级人民政府相关部门，根据本办法第五条、第六条、第七条的规定拟定重点单位名录。 </w:t>
            </w:r>
            <w:r w:rsidRPr="00963D8B">
              <w:rPr>
                <w:rFonts w:ascii="宋体" w:eastAsia="宋体" w:hAnsi="宋体" w:cs="宋体" w:hint="eastAsia"/>
                <w:kern w:val="0"/>
                <w:sz w:val="24"/>
                <w:szCs w:val="24"/>
              </w:rPr>
              <w:br/>
              <w:t xml:space="preserve">　　市、县、区气象主管机构应当组织专家或者委托第三方专业机构对拟定的重点单位进行评审，评审结果报同级人民政府，由同级人民政府确定后向社会公布。 </w:t>
            </w:r>
            <w:r w:rsidRPr="00963D8B">
              <w:rPr>
                <w:rFonts w:ascii="宋体" w:eastAsia="宋体" w:hAnsi="宋体" w:cs="宋体" w:hint="eastAsia"/>
                <w:kern w:val="0"/>
                <w:sz w:val="24"/>
                <w:szCs w:val="24"/>
              </w:rPr>
              <w:br/>
              <w:t xml:space="preserve">　　重点单位名录应当每两年更新一次。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第九条</w:t>
            </w:r>
            <w:r w:rsidRPr="00963D8B">
              <w:rPr>
                <w:rFonts w:ascii="宋体" w:eastAsia="宋体" w:hAnsi="宋体" w:cs="宋体" w:hint="eastAsia"/>
                <w:kern w:val="0"/>
                <w:sz w:val="24"/>
                <w:szCs w:val="24"/>
              </w:rPr>
              <w:t xml:space="preserve">　重点单位的性质、规模、所处位置等发生重大改变，不再符合本办法第五条、第六条、第七条规定的，经当地市、县、区气象主管机构组织核实后，应当及时将该重点单位移出重点单位名录。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第十条</w:t>
            </w:r>
            <w:r w:rsidRPr="00963D8B">
              <w:rPr>
                <w:rFonts w:ascii="宋体" w:eastAsia="宋体" w:hAnsi="宋体" w:cs="宋体" w:hint="eastAsia"/>
                <w:kern w:val="0"/>
                <w:sz w:val="24"/>
                <w:szCs w:val="24"/>
              </w:rPr>
              <w:t xml:space="preserve">　县级以上气象主管机构应当建立重点单位信息库，内容包括单位名称、地址、需要防御的灾害种类、气象灾害防御责任人、应急管理人等。信息库内容应当根据重点单位反馈信息及时更新。 </w:t>
            </w:r>
            <w:r w:rsidRPr="00963D8B">
              <w:rPr>
                <w:rFonts w:ascii="宋体" w:eastAsia="宋体" w:hAnsi="宋体" w:cs="宋体" w:hint="eastAsia"/>
                <w:kern w:val="0"/>
                <w:sz w:val="24"/>
                <w:szCs w:val="24"/>
              </w:rPr>
              <w:br/>
              <w:t xml:space="preserve">　　县级以上气象主管机构应当建立信息共享机制，与重点单位之间实现预报预警信息、灾情信息等内容的互联互通。</w:t>
            </w:r>
          </w:p>
          <w:p w14:paraId="43956B7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5648447D"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b/>
                <w:bCs/>
                <w:kern w:val="0"/>
                <w:sz w:val="24"/>
                <w:szCs w:val="24"/>
              </w:rPr>
              <w:t>第三章　重点单位气象灾害防御</w:t>
            </w:r>
          </w:p>
          <w:p w14:paraId="2D785936"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7D03325F"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第十一条</w:t>
            </w:r>
            <w:r w:rsidRPr="00963D8B">
              <w:rPr>
                <w:rFonts w:ascii="宋体" w:eastAsia="宋体" w:hAnsi="宋体" w:cs="宋体" w:hint="eastAsia"/>
                <w:kern w:val="0"/>
                <w:sz w:val="24"/>
                <w:szCs w:val="24"/>
              </w:rPr>
              <w:t xml:space="preserve">　重点单位应当根据易造成影响的气象灾害种类，建立灾害风险防控机制，加强防风、防涝、防雷等工程设施建设，提高经营场所、设施设备、生产工具、机械装置等的防灾抗灾能力。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第十二条</w:t>
            </w:r>
            <w:r w:rsidRPr="00963D8B">
              <w:rPr>
                <w:rFonts w:ascii="宋体" w:eastAsia="宋体" w:hAnsi="宋体" w:cs="宋体" w:hint="eastAsia"/>
                <w:kern w:val="0"/>
                <w:sz w:val="24"/>
                <w:szCs w:val="24"/>
              </w:rPr>
              <w:t xml:space="preserve">　重点单位的主要负责人是本单位气象灾害防御责任人，对本单位的气象灾害防御负全面责任。 </w:t>
            </w:r>
            <w:r w:rsidRPr="00963D8B">
              <w:rPr>
                <w:rFonts w:ascii="宋体" w:eastAsia="宋体" w:hAnsi="宋体" w:cs="宋体" w:hint="eastAsia"/>
                <w:kern w:val="0"/>
                <w:sz w:val="24"/>
                <w:szCs w:val="24"/>
              </w:rPr>
              <w:br/>
              <w:t xml:space="preserve">　　重点单位应当确定气象灾害应急管理人，并报当地气象主管机构。气象灾害应急管理人应当具备一定的气象灾害风险管理能力。 </w:t>
            </w:r>
            <w:r w:rsidRPr="00963D8B">
              <w:rPr>
                <w:rFonts w:ascii="宋体" w:eastAsia="宋体" w:hAnsi="宋体" w:cs="宋体" w:hint="eastAsia"/>
                <w:kern w:val="0"/>
                <w:sz w:val="24"/>
                <w:szCs w:val="24"/>
              </w:rPr>
              <w:br/>
              <w:t xml:space="preserve">　　重点单位应当建立灾害性天气发生期间的值班制度，并落实值班人员的岗位责任。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第十三条</w:t>
            </w:r>
            <w:r w:rsidRPr="00963D8B">
              <w:rPr>
                <w:rFonts w:ascii="宋体" w:eastAsia="宋体" w:hAnsi="宋体" w:cs="宋体" w:hint="eastAsia"/>
                <w:kern w:val="0"/>
                <w:sz w:val="24"/>
                <w:szCs w:val="24"/>
              </w:rPr>
              <w:t xml:space="preserve">　气象灾害防御责任人应当履行下列气象灾害防御职责：</w:t>
            </w:r>
          </w:p>
          <w:p w14:paraId="7EB06AD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（一）组织制定气象灾害防御制度并督促实施；</w:t>
            </w:r>
          </w:p>
          <w:p w14:paraId="50FF6530"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（二）保障本单位气象灾害防御相关工作所必需的经费；</w:t>
            </w:r>
          </w:p>
          <w:p w14:paraId="70D9CD5C"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（三）在灾害性天气影响或者气象灾害发生期间，指挥开展气象灾害防御及自救互救等工作；</w:t>
            </w:r>
          </w:p>
          <w:p w14:paraId="6EA823F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（四）法律、法规规定的其他气象灾害防御职责。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第十四条</w:t>
            </w:r>
            <w:r w:rsidRPr="00963D8B">
              <w:rPr>
                <w:rFonts w:ascii="宋体" w:eastAsia="宋体" w:hAnsi="宋体" w:cs="宋体" w:hint="eastAsia"/>
                <w:kern w:val="0"/>
                <w:sz w:val="24"/>
                <w:szCs w:val="24"/>
              </w:rPr>
              <w:t xml:space="preserve">　气象灾害应急管理人应当履行下列气象灾害防御职责：</w:t>
            </w:r>
          </w:p>
          <w:p w14:paraId="43791AD7"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（一）组织制定本单位气象灾害应急预案，开展应急预案演练及知识培训。 </w:t>
            </w:r>
            <w:r w:rsidRPr="00963D8B">
              <w:rPr>
                <w:rFonts w:ascii="宋体" w:eastAsia="宋体" w:hAnsi="宋体" w:cs="宋体" w:hint="eastAsia"/>
                <w:kern w:val="0"/>
                <w:sz w:val="24"/>
                <w:szCs w:val="24"/>
              </w:rPr>
              <w:br/>
              <w:t xml:space="preserve">　　（二）根据所在地易发气象灾害类型及其对本单位的危害，组织开展气象灾</w:t>
            </w:r>
            <w:r w:rsidRPr="00963D8B">
              <w:rPr>
                <w:rFonts w:ascii="宋体" w:eastAsia="宋体" w:hAnsi="宋体" w:cs="宋体" w:hint="eastAsia"/>
                <w:kern w:val="0"/>
                <w:sz w:val="24"/>
                <w:szCs w:val="24"/>
              </w:rPr>
              <w:lastRenderedPageBreak/>
              <w:t xml:space="preserve">害隐患排查，确定防御重点部位，设置安全标志，保障气象信息接收与传播等设施正常运行；定期开展巡查，对检查发现的隐患，提出整改意见，并督促落实整改。 </w:t>
            </w:r>
            <w:r w:rsidRPr="00963D8B">
              <w:rPr>
                <w:rFonts w:ascii="宋体" w:eastAsia="宋体" w:hAnsi="宋体" w:cs="宋体" w:hint="eastAsia"/>
                <w:kern w:val="0"/>
                <w:sz w:val="24"/>
                <w:szCs w:val="24"/>
              </w:rPr>
              <w:br/>
              <w:t xml:space="preserve">　　（三）在灾害性天气影响或者气象灾害发生期间，开展气象灾害防御及救援等工作，气象灾害发生以后，及时收集灾情。 </w:t>
            </w:r>
            <w:r w:rsidRPr="00963D8B">
              <w:rPr>
                <w:rFonts w:ascii="宋体" w:eastAsia="宋体" w:hAnsi="宋体" w:cs="宋体" w:hint="eastAsia"/>
                <w:kern w:val="0"/>
                <w:sz w:val="24"/>
                <w:szCs w:val="24"/>
              </w:rPr>
              <w:br/>
              <w:t xml:space="preserve">　　（四）建立健全本单位气象灾害防御档案。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第十五条</w:t>
            </w:r>
            <w:r w:rsidRPr="00963D8B">
              <w:rPr>
                <w:rFonts w:ascii="宋体" w:eastAsia="宋体" w:hAnsi="宋体" w:cs="宋体" w:hint="eastAsia"/>
                <w:kern w:val="0"/>
                <w:sz w:val="24"/>
                <w:szCs w:val="24"/>
              </w:rPr>
              <w:t xml:space="preserve">　重点单位应当制定完善气象灾害应急预案，或者在单位综合应急预案中包含气象灾害防御内容。 </w:t>
            </w:r>
            <w:r w:rsidRPr="00963D8B">
              <w:rPr>
                <w:rFonts w:ascii="宋体" w:eastAsia="宋体" w:hAnsi="宋体" w:cs="宋体" w:hint="eastAsia"/>
                <w:kern w:val="0"/>
                <w:sz w:val="24"/>
                <w:szCs w:val="24"/>
              </w:rPr>
              <w:br/>
              <w:t xml:space="preserve">　　重点单位应当每年至少组织一次气象灾害应急演练，并做好记录和存档。 </w:t>
            </w:r>
            <w:r w:rsidRPr="00963D8B">
              <w:rPr>
                <w:rFonts w:ascii="宋体" w:eastAsia="宋体" w:hAnsi="宋体" w:cs="宋体" w:hint="eastAsia"/>
                <w:kern w:val="0"/>
                <w:sz w:val="24"/>
                <w:szCs w:val="24"/>
              </w:rPr>
              <w:br/>
              <w:t xml:space="preserve">　　重点单位应当开展气象灾害防御知识培训，对相关岗位的员工每年至少培训一次，新员工上岗前应当接受气象灾害防御知识培训。 </w:t>
            </w:r>
            <w:r w:rsidRPr="00963D8B">
              <w:rPr>
                <w:rFonts w:ascii="宋体" w:eastAsia="宋体" w:hAnsi="宋体" w:cs="宋体" w:hint="eastAsia"/>
                <w:kern w:val="0"/>
                <w:sz w:val="24"/>
                <w:szCs w:val="24"/>
              </w:rPr>
              <w:br/>
              <w:t xml:space="preserve">　　县级以上气象主管机构应当对重点单位预案编制、应急演练和培训给予指导。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第十六条</w:t>
            </w:r>
            <w:r w:rsidRPr="00963D8B">
              <w:rPr>
                <w:rFonts w:ascii="宋体" w:eastAsia="宋体" w:hAnsi="宋体" w:cs="宋体" w:hint="eastAsia"/>
                <w:kern w:val="0"/>
                <w:sz w:val="24"/>
                <w:szCs w:val="24"/>
              </w:rPr>
              <w:t xml:space="preserve">　重点单位应当结合本单位实际情况，设置电视、甚高频广播、电话机、手机、传真机、计算机或者电子显示屏等接收终端，接收气象灾害预报预警信息。 </w:t>
            </w:r>
            <w:r w:rsidRPr="00963D8B">
              <w:rPr>
                <w:rFonts w:ascii="宋体" w:eastAsia="宋体" w:hAnsi="宋体" w:cs="宋体" w:hint="eastAsia"/>
                <w:kern w:val="0"/>
                <w:sz w:val="24"/>
                <w:szCs w:val="24"/>
              </w:rPr>
              <w:br/>
              <w:t xml:space="preserve">　　县级以上气象主管机构应当提高气象灾害预报预警能力和水平，利用信息共享机制，及时向重点单位发送灾害性天气警报和气象灾害预警信号。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第十七条</w:t>
            </w:r>
            <w:r w:rsidRPr="00963D8B">
              <w:rPr>
                <w:rFonts w:ascii="宋体" w:eastAsia="宋体" w:hAnsi="宋体" w:cs="宋体" w:hint="eastAsia"/>
                <w:kern w:val="0"/>
                <w:sz w:val="24"/>
                <w:szCs w:val="24"/>
              </w:rPr>
              <w:t xml:space="preserve">　重点单位接收到灾害性天气警报和气象灾害预警信号时，应当及时通过有效途径在单位内部传播预警信息，开展隐患排查，安排相关人员进入岗位，根据预案及时启动应急响应。 </w:t>
            </w:r>
            <w:r w:rsidRPr="00963D8B">
              <w:rPr>
                <w:rFonts w:ascii="宋体" w:eastAsia="宋体" w:hAnsi="宋体" w:cs="宋体" w:hint="eastAsia"/>
                <w:kern w:val="0"/>
                <w:sz w:val="24"/>
                <w:szCs w:val="24"/>
              </w:rPr>
              <w:br/>
              <w:t xml:space="preserve">　　发生气象灾害或者由其造成的生产安全事故，可能危及相邻区域安全时，重点单位应当立即向所在地人民政府有关部门报告情况，并服从政府有关部门的指挥、调度。鼓励重点单位积极参与抢险救援和灾后秩序恢复工作。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第十八条</w:t>
            </w:r>
            <w:r w:rsidRPr="00963D8B">
              <w:rPr>
                <w:rFonts w:ascii="宋体" w:eastAsia="宋体" w:hAnsi="宋体" w:cs="宋体" w:hint="eastAsia"/>
                <w:kern w:val="0"/>
                <w:sz w:val="24"/>
                <w:szCs w:val="24"/>
              </w:rPr>
              <w:t xml:space="preserve">　灾害性天气警报和气象灾害预警信号生效期间，重点单位应当根据本单位实际，按照相应的防御指引或者标准规范，采取防御措施。 </w:t>
            </w:r>
            <w:r w:rsidRPr="00963D8B">
              <w:rPr>
                <w:rFonts w:ascii="宋体" w:eastAsia="宋体" w:hAnsi="宋体" w:cs="宋体" w:hint="eastAsia"/>
                <w:kern w:val="0"/>
                <w:sz w:val="24"/>
                <w:szCs w:val="24"/>
              </w:rPr>
              <w:br/>
              <w:t xml:space="preserve">　　不同类别的重点单位还应当采取下列重点防御措施：</w:t>
            </w:r>
          </w:p>
          <w:p w14:paraId="18078F0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（一）人员密集场所及劳动密集型企业等重点单位接收到台风、暴雨、雷电等预报预警信息时，应当对因天气原因滞留的人员提供临时安全避险场所或者采取相应的安全措施。 </w:t>
            </w:r>
            <w:r w:rsidRPr="00963D8B">
              <w:rPr>
                <w:rFonts w:ascii="宋体" w:eastAsia="宋体" w:hAnsi="宋体" w:cs="宋体" w:hint="eastAsia"/>
                <w:kern w:val="0"/>
                <w:sz w:val="24"/>
                <w:szCs w:val="24"/>
              </w:rPr>
              <w:br/>
              <w:t xml:space="preserve">　　（二）在建工程重点单位接收到台风、雷雨大风、雷电预报预警信息时，应当采取加固措施，加强工棚、脚手架、井架等设施和塔吊、龙门吊、升降机等机械、电器设备的安全防护，受影响较大的区域应当停止高空作业和户外施工；接收到暴雨预报预警信息时，应当暂停户外作业，切断低洼地带有危险的室外电源，及时疏通地下排水管道或者加设临时排水措施，地下工程施工要严密监视地质变化和施工支撑体系变化。 </w:t>
            </w:r>
            <w:r w:rsidRPr="00963D8B">
              <w:rPr>
                <w:rFonts w:ascii="宋体" w:eastAsia="宋体" w:hAnsi="宋体" w:cs="宋体" w:hint="eastAsia"/>
                <w:kern w:val="0"/>
                <w:sz w:val="24"/>
                <w:szCs w:val="24"/>
              </w:rPr>
              <w:br/>
              <w:t xml:space="preserve">　　（三）易燃易爆类重点单位接收到台风、雷雨大风、雷电预报预警信息时，应当采取停止户外作业、切断危险电源等防御措施，并及时调整生产作业；接收到高温预报预警信息时，应当对生产、充装、储存设施和运输工具采取隔热降温措施，必要时停止户外露天作业。 </w:t>
            </w:r>
            <w:r w:rsidRPr="00963D8B">
              <w:rPr>
                <w:rFonts w:ascii="宋体" w:eastAsia="宋体" w:hAnsi="宋体" w:cs="宋体" w:hint="eastAsia"/>
                <w:kern w:val="0"/>
                <w:sz w:val="24"/>
                <w:szCs w:val="24"/>
              </w:rPr>
              <w:br/>
              <w:t xml:space="preserve">　　（四）旅游景区、主题公园、风景区、重点文物保护单位等重点单位接收到台风、暴雨、大风、雷电等预报预警信息时，应当及时向游客发出警示信息，适时采取关闭相关区域、停止营业、组织人员避险等措施。 </w:t>
            </w:r>
            <w:r w:rsidRPr="00963D8B">
              <w:rPr>
                <w:rFonts w:ascii="宋体" w:eastAsia="宋体" w:hAnsi="宋体" w:cs="宋体" w:hint="eastAsia"/>
                <w:kern w:val="0"/>
                <w:sz w:val="24"/>
                <w:szCs w:val="24"/>
              </w:rPr>
              <w:br/>
            </w:r>
            <w:r w:rsidRPr="00963D8B">
              <w:rPr>
                <w:rFonts w:ascii="宋体" w:eastAsia="宋体" w:hAnsi="宋体" w:cs="宋体" w:hint="eastAsia"/>
                <w:kern w:val="0"/>
                <w:sz w:val="24"/>
                <w:szCs w:val="24"/>
              </w:rPr>
              <w:lastRenderedPageBreak/>
              <w:t xml:space="preserve">　　（五）在海域、水域从事捕捞、运输、开采等生产经营活动的重点单位接收到台风、暴雨等预报预警信息时，应当及时组织船舶和相关人员采取停止作业、回港避风等措施，确保人员安全。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第十九条</w:t>
            </w:r>
            <w:r w:rsidRPr="00963D8B">
              <w:rPr>
                <w:rFonts w:ascii="宋体" w:eastAsia="宋体" w:hAnsi="宋体" w:cs="宋体" w:hint="eastAsia"/>
                <w:kern w:val="0"/>
                <w:sz w:val="24"/>
                <w:szCs w:val="24"/>
              </w:rPr>
              <w:t xml:space="preserve">　重点单位应当结合本单位的特点组织定期巡查。定期巡查应当包括以下内容：</w:t>
            </w:r>
          </w:p>
          <w:p w14:paraId="7507197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（一）气象灾害防御重点部位管理情况；</w:t>
            </w:r>
          </w:p>
          <w:p w14:paraId="2C6807B4"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（二）气象灾害隐患整改及防范措施的落实情况；</w:t>
            </w:r>
          </w:p>
          <w:p w14:paraId="2DFC3D6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（三）雷电防护装置检测及维护保养情况；</w:t>
            </w:r>
          </w:p>
          <w:p w14:paraId="40CCC7C0"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（四）其他需要巡查的内容。 </w:t>
            </w:r>
            <w:r w:rsidRPr="00963D8B">
              <w:rPr>
                <w:rFonts w:ascii="宋体" w:eastAsia="宋体" w:hAnsi="宋体" w:cs="宋体" w:hint="eastAsia"/>
                <w:kern w:val="0"/>
                <w:sz w:val="24"/>
                <w:szCs w:val="24"/>
              </w:rPr>
              <w:br/>
              <w:t xml:space="preserve">　　定期巡查应当做好记录。记录内容应当包括巡查时间、巡查人员、巡查内容和部位、巡查结果及处置情况等，巡查记录由巡查人员签字确认。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第二十条</w:t>
            </w:r>
            <w:r w:rsidRPr="00963D8B">
              <w:rPr>
                <w:rFonts w:ascii="宋体" w:eastAsia="宋体" w:hAnsi="宋体" w:cs="宋体" w:hint="eastAsia"/>
                <w:kern w:val="0"/>
                <w:sz w:val="24"/>
                <w:szCs w:val="24"/>
              </w:rPr>
              <w:t xml:space="preserve">　重点单位应当按照有关法律法规和标准的要求，委托有资质的雷电防护装置检测机构对本单位的建筑物、构筑物雷电防护装置进行检测，检测报告存档备查。 </w:t>
            </w:r>
            <w:r w:rsidRPr="00963D8B">
              <w:rPr>
                <w:rFonts w:ascii="宋体" w:eastAsia="宋体" w:hAnsi="宋体" w:cs="宋体" w:hint="eastAsia"/>
                <w:kern w:val="0"/>
                <w:sz w:val="24"/>
                <w:szCs w:val="24"/>
              </w:rPr>
              <w:br/>
              <w:t xml:space="preserve">　　重点单位的爆炸和火灾危险环境场所雷电防护装置应当每半年检测一次，其他场所的雷电防护装置应当每年检测一次。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第二十一条</w:t>
            </w:r>
            <w:r w:rsidRPr="00963D8B">
              <w:rPr>
                <w:rFonts w:ascii="宋体" w:eastAsia="宋体" w:hAnsi="宋体" w:cs="宋体" w:hint="eastAsia"/>
                <w:kern w:val="0"/>
                <w:sz w:val="24"/>
                <w:szCs w:val="24"/>
              </w:rPr>
              <w:t xml:space="preserve">　气象灾害发生后，重点单位应当及时向当地县级以上人民政府民政主管部门、气象主管机构等报告受灾情况。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第二十二条</w:t>
            </w:r>
            <w:r w:rsidRPr="00963D8B">
              <w:rPr>
                <w:rFonts w:ascii="宋体" w:eastAsia="宋体" w:hAnsi="宋体" w:cs="宋体" w:hint="eastAsia"/>
                <w:kern w:val="0"/>
                <w:sz w:val="24"/>
                <w:szCs w:val="24"/>
              </w:rPr>
              <w:t xml:space="preserve">　重点单位应当建立健全气象灾害防御档案，并统一保管。气象灾害防御档案应当包括以下内容：</w:t>
            </w:r>
          </w:p>
          <w:p w14:paraId="0B17EC17"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（一）单位基本情况和易受影响的主要气象灾害种类，灾害风险点与危险源的具体部位；</w:t>
            </w:r>
          </w:p>
          <w:p w14:paraId="2FC8F1F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（二）明确气象灾害防御工作管理部门及气象灾害防御责任人、气象灾害应急管理人的相关文件资料；</w:t>
            </w:r>
          </w:p>
          <w:p w14:paraId="4AF67E3F"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（三）气象灾害防御工作制度，包括气象灾害应急预案、巡查办法、应急演练计划、值班制度等；</w:t>
            </w:r>
          </w:p>
          <w:p w14:paraId="6D560C9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（四）雷电防护装置设计、施工、检测等相关文件、资料；</w:t>
            </w:r>
          </w:p>
          <w:p w14:paraId="192E685C"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（五）气象灾害应急演练和气象灾害防御知识培训记录、定期巡查记录及隐患排查、整改情况记录，防御设施、装置、器材等的检修记录；</w:t>
            </w:r>
          </w:p>
          <w:p w14:paraId="2466410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（六）气象灾害发生及应急处置情况；</w:t>
            </w:r>
          </w:p>
          <w:p w14:paraId="01D883F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（七）其他需要归档的资料。</w:t>
            </w:r>
          </w:p>
          <w:p w14:paraId="6A4AF12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5811F98D"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b/>
                <w:bCs/>
                <w:kern w:val="0"/>
                <w:sz w:val="24"/>
                <w:szCs w:val="24"/>
              </w:rPr>
              <w:lastRenderedPageBreak/>
              <w:t>第四章　服务与监督</w:t>
            </w:r>
          </w:p>
          <w:p w14:paraId="449F704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33A38719"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第二十三条</w:t>
            </w:r>
            <w:r w:rsidRPr="00963D8B">
              <w:rPr>
                <w:rFonts w:ascii="宋体" w:eastAsia="宋体" w:hAnsi="宋体" w:cs="宋体" w:hint="eastAsia"/>
                <w:kern w:val="0"/>
                <w:sz w:val="24"/>
                <w:szCs w:val="24"/>
              </w:rPr>
              <w:t xml:space="preserve">　重点单位因保险理赔需要出具气象灾害证明的，灾害发生地县级以上气象主管机构所属的服务部门应当免费为其出具。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第二十四条</w:t>
            </w:r>
            <w:r w:rsidRPr="00963D8B">
              <w:rPr>
                <w:rFonts w:ascii="宋体" w:eastAsia="宋体" w:hAnsi="宋体" w:cs="宋体" w:hint="eastAsia"/>
                <w:kern w:val="0"/>
                <w:sz w:val="24"/>
                <w:szCs w:val="24"/>
              </w:rPr>
              <w:t xml:space="preserve">　农业生产类重点单位可以根据自身生产需求，设置温度、湿度、降雨、日照等气象要素的监测设备，并将监测数据传输到当地气象主管机构。县级以上气象主管机构或者其所属服务部门应当予以指导，并对可能影响农产品气候品质的气象灾害防御措施提出建议。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第二十五条</w:t>
            </w:r>
            <w:r w:rsidRPr="00963D8B">
              <w:rPr>
                <w:rFonts w:ascii="宋体" w:eastAsia="宋体" w:hAnsi="宋体" w:cs="宋体" w:hint="eastAsia"/>
                <w:kern w:val="0"/>
                <w:sz w:val="24"/>
                <w:szCs w:val="24"/>
              </w:rPr>
              <w:t xml:space="preserve">　旅游经营类重点单位可以根据自身生产经营需求，设置温度、湿度、降雨、紫外线、能见度、负氧离子、人体舒适度等气象监测设备，并将监测数据传输到当地气象主管机构。县级以上气象主管机构或者其所属服务部门应当予以指导。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第二十六条</w:t>
            </w:r>
            <w:r w:rsidRPr="00963D8B">
              <w:rPr>
                <w:rFonts w:ascii="宋体" w:eastAsia="宋体" w:hAnsi="宋体" w:cs="宋体" w:hint="eastAsia"/>
                <w:kern w:val="0"/>
                <w:sz w:val="24"/>
                <w:szCs w:val="24"/>
              </w:rPr>
              <w:t xml:space="preserve">　鼓励相关行业协会、气象信息服务单位开展重点单位生产活动与气象因子关系研究，并有针对性地为重点单位提供气象服务，提高气象灾害防御能力。 </w:t>
            </w:r>
            <w:r w:rsidRPr="00963D8B">
              <w:rPr>
                <w:rFonts w:ascii="宋体" w:eastAsia="宋体" w:hAnsi="宋体" w:cs="宋体" w:hint="eastAsia"/>
                <w:kern w:val="0"/>
                <w:sz w:val="24"/>
                <w:szCs w:val="24"/>
              </w:rPr>
              <w:br/>
              <w:t xml:space="preserve">　　重点单位可以根据经营、生产活动需要，定制个性化的气象服务。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第二十七条</w:t>
            </w:r>
            <w:r w:rsidRPr="00963D8B">
              <w:rPr>
                <w:rFonts w:ascii="宋体" w:eastAsia="宋体" w:hAnsi="宋体" w:cs="宋体" w:hint="eastAsia"/>
                <w:kern w:val="0"/>
                <w:sz w:val="24"/>
                <w:szCs w:val="24"/>
              </w:rPr>
              <w:t xml:space="preserve">　鼓励相关行业协会建立重点单位评价机制，依照标准规范对重点单位防御气象灾害的能力和水平进行评定和公布。 </w:t>
            </w:r>
            <w:r w:rsidRPr="00963D8B">
              <w:rPr>
                <w:rFonts w:ascii="宋体" w:eastAsia="宋体" w:hAnsi="宋体" w:cs="宋体" w:hint="eastAsia"/>
                <w:kern w:val="0"/>
                <w:sz w:val="24"/>
                <w:szCs w:val="24"/>
              </w:rPr>
              <w:br/>
              <w:t xml:space="preserve">　　鼓励重点单位参加气象灾害防御能力和水平评价。鼓励保险机构将重点单位的气象灾害防御能力和水平评价结果纳入相关保险费率风险评估因素之一。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第二十八条</w:t>
            </w:r>
            <w:r w:rsidRPr="00963D8B">
              <w:rPr>
                <w:rFonts w:ascii="宋体" w:eastAsia="宋体" w:hAnsi="宋体" w:cs="宋体" w:hint="eastAsia"/>
                <w:kern w:val="0"/>
                <w:sz w:val="24"/>
                <w:szCs w:val="24"/>
              </w:rPr>
              <w:t xml:space="preserve">　县级以上气象主管机构应当对重点单位履行气象灾害防御职责情况组织专项检查或者抽查，并对检查结果予以通报。必要时可以会同经济与信息化、教育、国土资源、住房城乡建设、安全生产监管、旅游等部门开展联合检查。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第二十九条</w:t>
            </w:r>
            <w:r w:rsidRPr="00963D8B">
              <w:rPr>
                <w:rFonts w:ascii="宋体" w:eastAsia="宋体" w:hAnsi="宋体" w:cs="宋体" w:hint="eastAsia"/>
                <w:kern w:val="0"/>
                <w:sz w:val="24"/>
                <w:szCs w:val="24"/>
              </w:rPr>
              <w:t xml:space="preserve">　对重点单位监督检查应当包括以下内容：</w:t>
            </w:r>
          </w:p>
          <w:p w14:paraId="2382971C"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（一）气象灾害防御工作制度建设情况；</w:t>
            </w:r>
          </w:p>
          <w:p w14:paraId="63EBDC8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（二）气象灾害预报预警信息接收终端建设和运行情况；</w:t>
            </w:r>
          </w:p>
          <w:p w14:paraId="6A77C1DD"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（三）制定完善气象灾害应急预案及开展应急演练、培训情况；</w:t>
            </w:r>
          </w:p>
          <w:p w14:paraId="0F553C8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（四）开展气象灾害防御定期巡查、隐患排查及整改情况；</w:t>
            </w:r>
          </w:p>
          <w:p w14:paraId="54003A4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（五）雷电防护装置检测情况；</w:t>
            </w:r>
          </w:p>
          <w:p w14:paraId="27C8557D"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（六）灾害性天气应急处置及灾情上报情况；</w:t>
            </w:r>
          </w:p>
          <w:p w14:paraId="4B846FE1"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（七）气象灾害防御档案建立情况；</w:t>
            </w:r>
          </w:p>
          <w:p w14:paraId="32C4F1EA"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（八）法律法规和规章规定的应当实施监督检查的其他情况。</w:t>
            </w:r>
          </w:p>
          <w:p w14:paraId="48817C6B"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lastRenderedPageBreak/>
              <w:t> </w:t>
            </w:r>
          </w:p>
          <w:p w14:paraId="2A8EE99E"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b/>
                <w:bCs/>
                <w:kern w:val="0"/>
                <w:sz w:val="24"/>
                <w:szCs w:val="24"/>
              </w:rPr>
              <w:t>第五章　法律责任</w:t>
            </w:r>
          </w:p>
          <w:p w14:paraId="47A51695"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23603736"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第三十条</w:t>
            </w:r>
            <w:r w:rsidRPr="00963D8B">
              <w:rPr>
                <w:rFonts w:ascii="宋体" w:eastAsia="宋体" w:hAnsi="宋体" w:cs="宋体" w:hint="eastAsia"/>
                <w:kern w:val="0"/>
                <w:sz w:val="24"/>
                <w:szCs w:val="24"/>
              </w:rPr>
              <w:t xml:space="preserve">　重点单位违反本办法第十一条至第二十二条规定，未履行气象灾害防御职责的，由市、县、区气象主管机构责令改正；存在气象灾害隐患的，责令限期整改；构成违反治安管理行为的，由公安机关依法给予处罚；涉嫌犯罪的，移送司法机关处理。 </w:t>
            </w:r>
            <w:r w:rsidRPr="00963D8B">
              <w:rPr>
                <w:rFonts w:ascii="宋体" w:eastAsia="宋体" w:hAnsi="宋体" w:cs="宋体" w:hint="eastAsia"/>
                <w:kern w:val="0"/>
                <w:sz w:val="24"/>
                <w:szCs w:val="24"/>
              </w:rPr>
              <w:br/>
              <w:t xml:space="preserve">　　</w:t>
            </w:r>
            <w:r w:rsidRPr="00963D8B">
              <w:rPr>
                <w:rFonts w:ascii="宋体" w:eastAsia="宋体" w:hAnsi="宋体" w:cs="宋体" w:hint="eastAsia"/>
                <w:b/>
                <w:bCs/>
                <w:kern w:val="0"/>
                <w:sz w:val="24"/>
                <w:szCs w:val="24"/>
              </w:rPr>
              <w:t>第三十一条</w:t>
            </w:r>
            <w:r w:rsidRPr="00963D8B">
              <w:rPr>
                <w:rFonts w:ascii="宋体" w:eastAsia="宋体" w:hAnsi="宋体" w:cs="宋体" w:hint="eastAsia"/>
                <w:kern w:val="0"/>
                <w:sz w:val="24"/>
                <w:szCs w:val="24"/>
              </w:rPr>
              <w:t xml:space="preserve">　各级人民政府、气象主管机构和其他有关主管部门及其工作人员违反本办法规定，未依法履行职责的，由上级机关或者监察机关责令改正；情节严重的，对直接负责的主管人员和其他直接责任人员依法给予处分；涉嫌犯罪的，移送司法机关处理。</w:t>
            </w:r>
          </w:p>
          <w:p w14:paraId="3D32C75E"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60173631" w14:textId="77777777" w:rsidR="00963D8B" w:rsidRPr="00963D8B" w:rsidRDefault="00963D8B" w:rsidP="00963D8B">
            <w:pPr>
              <w:widowControl/>
              <w:wordWrap w:val="0"/>
              <w:spacing w:before="100" w:beforeAutospacing="1" w:after="100" w:afterAutospacing="1"/>
              <w:jc w:val="center"/>
              <w:rPr>
                <w:rFonts w:ascii="宋体" w:eastAsia="宋体" w:hAnsi="宋体" w:cs="宋体"/>
                <w:kern w:val="0"/>
                <w:sz w:val="24"/>
                <w:szCs w:val="24"/>
              </w:rPr>
            </w:pPr>
            <w:r w:rsidRPr="00963D8B">
              <w:rPr>
                <w:rFonts w:ascii="宋体" w:eastAsia="宋体" w:hAnsi="宋体" w:cs="宋体" w:hint="eastAsia"/>
                <w:b/>
                <w:bCs/>
                <w:kern w:val="0"/>
                <w:sz w:val="24"/>
                <w:szCs w:val="24"/>
              </w:rPr>
              <w:t>第六章　附　则</w:t>
            </w:r>
          </w:p>
          <w:p w14:paraId="7586D5DB"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w:t>
            </w:r>
          </w:p>
          <w:p w14:paraId="50C72D84" w14:textId="77777777" w:rsidR="00963D8B" w:rsidRPr="00963D8B" w:rsidRDefault="00963D8B" w:rsidP="00963D8B">
            <w:pPr>
              <w:widowControl/>
              <w:wordWrap w:val="0"/>
              <w:spacing w:before="100" w:beforeAutospacing="1" w:after="100" w:afterAutospacing="1"/>
              <w:jc w:val="left"/>
              <w:rPr>
                <w:rFonts w:ascii="宋体" w:eastAsia="宋体" w:hAnsi="宋体" w:cs="宋体"/>
                <w:kern w:val="0"/>
                <w:sz w:val="24"/>
                <w:szCs w:val="24"/>
              </w:rPr>
            </w:pPr>
            <w:r w:rsidRPr="00963D8B">
              <w:rPr>
                <w:rFonts w:ascii="宋体" w:eastAsia="宋体" w:hAnsi="宋体" w:cs="宋体" w:hint="eastAsia"/>
                <w:kern w:val="0"/>
                <w:sz w:val="24"/>
                <w:szCs w:val="24"/>
              </w:rPr>
              <w:t xml:space="preserve">　　</w:t>
            </w:r>
            <w:r w:rsidRPr="00963D8B">
              <w:rPr>
                <w:rFonts w:ascii="宋体" w:eastAsia="宋体" w:hAnsi="宋体" w:cs="宋体" w:hint="eastAsia"/>
                <w:b/>
                <w:bCs/>
                <w:kern w:val="0"/>
                <w:sz w:val="24"/>
                <w:szCs w:val="24"/>
              </w:rPr>
              <w:t>第三十二条</w:t>
            </w:r>
            <w:r w:rsidRPr="00963D8B">
              <w:rPr>
                <w:rFonts w:ascii="宋体" w:eastAsia="宋体" w:hAnsi="宋体" w:cs="宋体" w:hint="eastAsia"/>
                <w:kern w:val="0"/>
                <w:sz w:val="24"/>
                <w:szCs w:val="24"/>
              </w:rPr>
              <w:t xml:space="preserve">　本办法自2018年6月1日起施行。</w:t>
            </w:r>
          </w:p>
        </w:tc>
      </w:tr>
    </w:tbl>
    <w:p w14:paraId="5F4130F0" w14:textId="031E0BAE" w:rsidR="00854FC7" w:rsidRDefault="00963D8B">
      <w:r w:rsidRPr="00963D8B">
        <w:rPr>
          <w:rFonts w:ascii="宋体" w:eastAsia="宋体" w:hAnsi="宋体" w:cs="宋体"/>
          <w:kern w:val="0"/>
          <w:sz w:val="24"/>
          <w:szCs w:val="24"/>
        </w:rPr>
        <w:lastRenderedPageBreak/>
        <w:br/>
      </w:r>
    </w:p>
    <w:sectPr w:rsidR="00854FC7" w:rsidSect="00586028">
      <w:pgSz w:w="11906" w:h="16838"/>
      <w:pgMar w:top="1418" w:right="1701" w:bottom="1418"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7B7"/>
    <w:rsid w:val="0021025D"/>
    <w:rsid w:val="00354F1D"/>
    <w:rsid w:val="00586028"/>
    <w:rsid w:val="007E12EF"/>
    <w:rsid w:val="00854FC7"/>
    <w:rsid w:val="008575AF"/>
    <w:rsid w:val="00963D8B"/>
    <w:rsid w:val="00B50EC0"/>
    <w:rsid w:val="00FE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2173"/>
  <w15:chartTrackingRefBased/>
  <w15:docId w15:val="{E61F9540-B8A4-4AEE-83D3-2AA473D54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6028"/>
    <w:rPr>
      <w:sz w:val="18"/>
      <w:szCs w:val="18"/>
    </w:rPr>
  </w:style>
  <w:style w:type="character" w:customStyle="1" w:styleId="a4">
    <w:name w:val="批注框文本 字符"/>
    <w:basedOn w:val="a0"/>
    <w:link w:val="a3"/>
    <w:uiPriority w:val="99"/>
    <w:semiHidden/>
    <w:rsid w:val="005860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5672">
      <w:bodyDiv w:val="1"/>
      <w:marLeft w:val="0"/>
      <w:marRight w:val="0"/>
      <w:marTop w:val="0"/>
      <w:marBottom w:val="0"/>
      <w:divBdr>
        <w:top w:val="none" w:sz="0" w:space="0" w:color="auto"/>
        <w:left w:val="none" w:sz="0" w:space="0" w:color="auto"/>
        <w:bottom w:val="none" w:sz="0" w:space="0" w:color="auto"/>
        <w:right w:val="none" w:sz="0" w:space="0" w:color="auto"/>
      </w:divBdr>
      <w:divsChild>
        <w:div w:id="1365667651">
          <w:marLeft w:val="0"/>
          <w:marRight w:val="0"/>
          <w:marTop w:val="0"/>
          <w:marBottom w:val="0"/>
          <w:divBdr>
            <w:top w:val="none" w:sz="0" w:space="0" w:color="auto"/>
            <w:left w:val="none" w:sz="0" w:space="0" w:color="auto"/>
            <w:bottom w:val="none" w:sz="0" w:space="0" w:color="auto"/>
            <w:right w:val="none" w:sz="0" w:space="0" w:color="auto"/>
          </w:divBdr>
          <w:divsChild>
            <w:div w:id="264269807">
              <w:marLeft w:val="0"/>
              <w:marRight w:val="0"/>
              <w:marTop w:val="0"/>
              <w:marBottom w:val="0"/>
              <w:divBdr>
                <w:top w:val="none" w:sz="0" w:space="0" w:color="auto"/>
                <w:left w:val="none" w:sz="0" w:space="0" w:color="auto"/>
                <w:bottom w:val="none" w:sz="0" w:space="0" w:color="auto"/>
                <w:right w:val="none" w:sz="0" w:space="0" w:color="auto"/>
              </w:divBdr>
              <w:divsChild>
                <w:div w:id="2100251487">
                  <w:marLeft w:val="0"/>
                  <w:marRight w:val="0"/>
                  <w:marTop w:val="0"/>
                  <w:marBottom w:val="0"/>
                  <w:divBdr>
                    <w:top w:val="none" w:sz="0" w:space="0" w:color="auto"/>
                    <w:left w:val="none" w:sz="0" w:space="0" w:color="auto"/>
                    <w:bottom w:val="none" w:sz="0" w:space="0" w:color="auto"/>
                    <w:right w:val="none" w:sz="0" w:space="0" w:color="auto"/>
                  </w:divBdr>
                  <w:divsChild>
                    <w:div w:id="53189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799</Words>
  <Characters>4557</Characters>
  <Application>Microsoft Office Word</Application>
  <DocSecurity>0</DocSecurity>
  <Lines>37</Lines>
  <Paragraphs>10</Paragraphs>
  <ScaleCrop>false</ScaleCrop>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453514297@qq.com</dc:creator>
  <cp:keywords/>
  <dc:description/>
  <cp:lastModifiedBy>453514297@qq.com</cp:lastModifiedBy>
  <cp:revision>9</cp:revision>
  <cp:lastPrinted>2018-04-18T12:39:00Z</cp:lastPrinted>
  <dcterms:created xsi:type="dcterms:W3CDTF">2018-04-18T12:18:00Z</dcterms:created>
  <dcterms:modified xsi:type="dcterms:W3CDTF">2018-04-18T12:43:00Z</dcterms:modified>
</cp:coreProperties>
</file>