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79" w:lineRule="exact"/>
        <w:ind w:left="898"/>
        <w:jc w:val="both"/>
        <w:textAlignment w:val="baseline"/>
        <w:outlineLvl w:val="0"/>
        <w:rPr>
          <w:color w:val="000000" w:themeColor="text1"/>
          <w:sz w:val="44"/>
          <w:szCs w:val="44"/>
          <w14:textFill>
            <w14:solidFill>
              <w14:schemeClr w14:val="tx1"/>
            </w14:solidFill>
          </w14:textFill>
        </w:rPr>
      </w:pPr>
      <w:bookmarkStart w:id="0" w:name="_GoBack"/>
      <w:bookmarkEnd w:id="0"/>
      <w:r>
        <w:rPr>
          <w:rFonts w:ascii="方正小标宋简体" w:hAnsi="方正小标宋简体" w:eastAsia="方正小标宋简体" w:cs="方正小标宋简体"/>
          <w:color w:val="000000" w:themeColor="text1"/>
          <w:spacing w:val="9"/>
          <w:sz w:val="44"/>
          <w:szCs w:val="44"/>
          <w14:textFill>
            <w14:solidFill>
              <w14:schemeClr w14:val="tx1"/>
            </w14:solidFill>
          </w14:textFill>
        </w:rPr>
        <w:t>珠海市物业管理行业专家库管理办法</w:t>
      </w:r>
    </w:p>
    <w:p>
      <w:pPr>
        <w:pStyle w:val="4"/>
        <w:keepNext w:val="0"/>
        <w:keepLines w:val="0"/>
        <w:pageBreakBefore w:val="0"/>
        <w:widowControl/>
        <w:kinsoku w:val="0"/>
        <w:wordWrap/>
        <w:overflowPunct/>
        <w:topLinePunct w:val="0"/>
        <w:autoSpaceDE w:val="0"/>
        <w:autoSpaceDN w:val="0"/>
        <w:bidi w:val="0"/>
        <w:adjustRightInd w:val="0"/>
        <w:snapToGrid w:val="0"/>
        <w:spacing w:line="579" w:lineRule="exact"/>
        <w:jc w:val="both"/>
        <w:textAlignment w:val="baseline"/>
        <w:rPr>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79" w:lineRule="exact"/>
        <w:ind w:left="0"/>
        <w:jc w:val="center"/>
        <w:textAlignment w:val="baseline"/>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pacing w:val="2"/>
          <w:sz w:val="32"/>
          <w:szCs w:val="32"/>
          <w14:textFill>
            <w14:solidFill>
              <w14:schemeClr w14:val="tx1"/>
            </w14:solidFill>
          </w14:textFill>
        </w:rPr>
        <w:t>第一章</w:t>
      </w:r>
      <w:r>
        <w:rPr>
          <w:rFonts w:ascii="黑体" w:hAnsi="黑体" w:eastAsia="黑体" w:cs="黑体"/>
          <w:color w:val="000000" w:themeColor="text1"/>
          <w:spacing w:val="22"/>
          <w:sz w:val="32"/>
          <w:szCs w:val="32"/>
          <w14:textFill>
            <w14:solidFill>
              <w14:schemeClr w14:val="tx1"/>
            </w14:solidFill>
          </w14:textFill>
        </w:rPr>
        <w:t xml:space="preserve"> </w:t>
      </w:r>
      <w:r>
        <w:rPr>
          <w:rFonts w:ascii="黑体" w:hAnsi="黑体" w:eastAsia="黑体" w:cs="黑体"/>
          <w:color w:val="000000" w:themeColor="text1"/>
          <w:spacing w:val="2"/>
          <w:sz w:val="32"/>
          <w:szCs w:val="32"/>
          <w14:textFill>
            <w14:solidFill>
              <w14:schemeClr w14:val="tx1"/>
            </w14:solidFill>
          </w14:textFill>
        </w:rPr>
        <w:t>总</w:t>
      </w:r>
      <w:r>
        <w:rPr>
          <w:rFonts w:hint="eastAsia" w:ascii="黑体" w:hAnsi="黑体" w:eastAsia="黑体" w:cs="黑体"/>
          <w:color w:val="000000" w:themeColor="text1"/>
          <w:spacing w:val="2"/>
          <w:sz w:val="32"/>
          <w:szCs w:val="32"/>
          <w:lang w:val="en-US" w:eastAsia="zh-CN"/>
          <w14:textFill>
            <w14:solidFill>
              <w14:schemeClr w14:val="tx1"/>
            </w14:solidFill>
          </w14:textFill>
        </w:rPr>
        <w:t xml:space="preserve">  </w:t>
      </w:r>
      <w:r>
        <w:rPr>
          <w:rFonts w:ascii="黑体" w:hAnsi="黑体" w:eastAsia="黑体" w:cs="黑体"/>
          <w:color w:val="000000" w:themeColor="text1"/>
          <w:spacing w:val="2"/>
          <w:sz w:val="32"/>
          <w:szCs w:val="32"/>
          <w14:textFill>
            <w14:solidFill>
              <w14:schemeClr w14:val="tx1"/>
            </w14:solidFill>
          </w14:textFill>
        </w:rPr>
        <w:t>则</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pacing w:val="4"/>
          <w:sz w:val="32"/>
          <w:szCs w:val="32"/>
          <w14:textFill>
            <w14:solidFill>
              <w14:schemeClr w14:val="tx1"/>
            </w14:solidFill>
          </w14:textFill>
        </w:rPr>
        <w:t>第一条</w:t>
      </w:r>
      <w:r>
        <w:rPr>
          <w:rFonts w:hint="eastAsia" w:ascii="仿宋" w:hAnsi="仿宋" w:eastAsia="仿宋" w:cs="仿宋"/>
          <w:color w:val="000000" w:themeColor="text1"/>
          <w:spacing w:val="4"/>
          <w:sz w:val="32"/>
          <w:szCs w:val="32"/>
          <w14:textFill>
            <w14:solidFill>
              <w14:schemeClr w14:val="tx1"/>
            </w14:solidFill>
          </w14:textFill>
        </w:rPr>
        <w:t xml:space="preserve">  </w:t>
      </w:r>
      <w:r>
        <w:rPr>
          <w:rFonts w:ascii="仿宋" w:hAnsi="仿宋" w:eastAsia="仿宋" w:cs="仿宋"/>
          <w:color w:val="000000" w:themeColor="text1"/>
          <w:spacing w:val="4"/>
          <w:sz w:val="32"/>
          <w:szCs w:val="32"/>
          <w14:textFill>
            <w14:solidFill>
              <w14:schemeClr w14:val="tx1"/>
            </w14:solidFill>
          </w14:textFill>
        </w:rPr>
        <w:t>为规范我市物业管理专家库管理工作，充分发挥行</w:t>
      </w:r>
      <w:r>
        <w:rPr>
          <w:rFonts w:ascii="仿宋" w:hAnsi="仿宋" w:eastAsia="仿宋" w:cs="仿宋"/>
          <w:color w:val="000000" w:themeColor="text1"/>
          <w:spacing w:val="5"/>
          <w:sz w:val="32"/>
          <w:szCs w:val="32"/>
          <w14:textFill>
            <w14:solidFill>
              <w14:schemeClr w14:val="tx1"/>
            </w14:solidFill>
          </w14:textFill>
        </w:rPr>
        <w:t>业专家在物业服务管理活动中的专业优势，完善物业服务教育培训、咨询评估、考评论证、招标投标机制，促进我市物业管理行业健康有序发展，根据法律、法规、规章、规范性文件等相关规</w:t>
      </w:r>
      <w:r>
        <w:rPr>
          <w:rFonts w:ascii="仿宋" w:hAnsi="仿宋" w:eastAsia="仿宋" w:cs="仿宋"/>
          <w:color w:val="000000" w:themeColor="text1"/>
          <w:spacing w:val="7"/>
          <w:sz w:val="32"/>
          <w:szCs w:val="32"/>
          <w14:textFill>
            <w14:solidFill>
              <w14:schemeClr w14:val="tx1"/>
            </w14:solidFill>
          </w14:textFill>
        </w:rPr>
        <w:t>定，结合我市实际，制定本办法。</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pacing w:val="4"/>
          <w:sz w:val="32"/>
          <w:szCs w:val="32"/>
          <w14:textFill>
            <w14:solidFill>
              <w14:schemeClr w14:val="tx1"/>
            </w14:solidFill>
          </w14:textFill>
        </w:rPr>
        <w:t>第二条</w:t>
      </w:r>
      <w:r>
        <w:rPr>
          <w:rFonts w:hint="eastAsia" w:ascii="仿宋" w:hAnsi="仿宋" w:eastAsia="仿宋" w:cs="仿宋"/>
          <w:color w:val="000000" w:themeColor="text1"/>
          <w:spacing w:val="4"/>
          <w:sz w:val="32"/>
          <w:szCs w:val="32"/>
          <w14:textFill>
            <w14:solidFill>
              <w14:schemeClr w14:val="tx1"/>
            </w14:solidFill>
          </w14:textFill>
        </w:rPr>
        <w:t xml:space="preserve">  </w:t>
      </w:r>
      <w:r>
        <w:rPr>
          <w:rFonts w:ascii="仿宋" w:hAnsi="仿宋" w:eastAsia="仿宋" w:cs="仿宋"/>
          <w:color w:val="000000" w:themeColor="text1"/>
          <w:spacing w:val="4"/>
          <w:sz w:val="32"/>
          <w:szCs w:val="32"/>
          <w14:textFill>
            <w14:solidFill>
              <w14:schemeClr w14:val="tx1"/>
            </w14:solidFill>
          </w14:textFill>
        </w:rPr>
        <w:t>本办法适用于珠海市级物业管理行业专家库（以下</w:t>
      </w:r>
      <w:r>
        <w:rPr>
          <w:rFonts w:ascii="仿宋" w:hAnsi="仿宋" w:eastAsia="仿宋" w:cs="仿宋"/>
          <w:color w:val="000000" w:themeColor="text1"/>
          <w:spacing w:val="5"/>
          <w:sz w:val="32"/>
          <w:szCs w:val="32"/>
          <w14:textFill>
            <w14:solidFill>
              <w14:schemeClr w14:val="tx1"/>
            </w14:solidFill>
          </w14:textFill>
        </w:rPr>
        <w:t>简称专家库）的组建、使用、管理，以及相关专家（以下</w:t>
      </w:r>
      <w:r>
        <w:rPr>
          <w:rFonts w:ascii="仿宋" w:hAnsi="仿宋" w:eastAsia="仿宋" w:cs="仿宋"/>
          <w:color w:val="000000" w:themeColor="text1"/>
          <w:spacing w:val="4"/>
          <w:sz w:val="32"/>
          <w:szCs w:val="32"/>
          <w14:textFill>
            <w14:solidFill>
              <w14:schemeClr w14:val="tx1"/>
            </w14:solidFill>
          </w14:textFill>
        </w:rPr>
        <w:t>简称专</w:t>
      </w:r>
      <w:r>
        <w:rPr>
          <w:rFonts w:ascii="仿宋" w:hAnsi="仿宋" w:eastAsia="仿宋" w:cs="仿宋"/>
          <w:color w:val="000000" w:themeColor="text1"/>
          <w:spacing w:val="8"/>
          <w:sz w:val="32"/>
          <w:szCs w:val="32"/>
          <w14:textFill>
            <w14:solidFill>
              <w14:schemeClr w14:val="tx1"/>
            </w14:solidFill>
          </w14:textFill>
        </w:rPr>
        <w:t>家）的聘任、抽取、培训、考核和监督等活动。</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pacing w:val="4"/>
          <w:sz w:val="32"/>
          <w:szCs w:val="32"/>
          <w14:textFill>
            <w14:solidFill>
              <w14:schemeClr w14:val="tx1"/>
            </w14:solidFill>
          </w14:textFill>
        </w:rPr>
        <w:t>第三条</w:t>
      </w:r>
      <w:r>
        <w:rPr>
          <w:rFonts w:hint="eastAsia" w:ascii="仿宋" w:hAnsi="仿宋" w:eastAsia="仿宋" w:cs="仿宋"/>
          <w:color w:val="000000" w:themeColor="text1"/>
          <w:spacing w:val="4"/>
          <w:sz w:val="32"/>
          <w:szCs w:val="32"/>
          <w14:textFill>
            <w14:solidFill>
              <w14:schemeClr w14:val="tx1"/>
            </w14:solidFill>
          </w14:textFill>
        </w:rPr>
        <w:t xml:space="preserve">  </w:t>
      </w:r>
      <w:r>
        <w:rPr>
          <w:rFonts w:ascii="仿宋" w:hAnsi="仿宋" w:eastAsia="仿宋" w:cs="仿宋"/>
          <w:color w:val="000000" w:themeColor="text1"/>
          <w:spacing w:val="4"/>
          <w:sz w:val="32"/>
          <w:szCs w:val="32"/>
          <w14:textFill>
            <w14:solidFill>
              <w14:schemeClr w14:val="tx1"/>
            </w14:solidFill>
          </w14:textFill>
        </w:rPr>
        <w:t>本办法所称的专家是指具备物业服务技能、物业行</w:t>
      </w:r>
      <w:r>
        <w:rPr>
          <w:rFonts w:ascii="仿宋" w:hAnsi="仿宋" w:eastAsia="仿宋" w:cs="仿宋"/>
          <w:color w:val="000000" w:themeColor="text1"/>
          <w:spacing w:val="5"/>
          <w:sz w:val="32"/>
          <w:szCs w:val="32"/>
          <w14:textFill>
            <w14:solidFill>
              <w14:schemeClr w14:val="tx1"/>
            </w14:solidFill>
          </w14:textFill>
        </w:rPr>
        <w:t>业管理、物业政策法规理论、实务等专业特长，主要来源于物业服务企业、高校、政府机关、企事业单位和社会团体等组织，经珠海市级物业管理行业专家资格评审小组认定、市物业行政主管</w:t>
      </w:r>
      <w:r>
        <w:rPr>
          <w:rFonts w:ascii="仿宋" w:hAnsi="仿宋" w:eastAsia="仿宋" w:cs="仿宋"/>
          <w:color w:val="000000" w:themeColor="text1"/>
          <w:spacing w:val="7"/>
          <w:sz w:val="32"/>
          <w:szCs w:val="32"/>
          <w14:textFill>
            <w14:solidFill>
              <w14:schemeClr w14:val="tx1"/>
            </w14:solidFill>
          </w14:textFill>
        </w:rPr>
        <w:t>部门聘任并入选专家库的专家。</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5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pacing w:val="4"/>
          <w:sz w:val="32"/>
          <w:szCs w:val="32"/>
          <w14:textFill>
            <w14:solidFill>
              <w14:schemeClr w14:val="tx1"/>
            </w14:solidFill>
          </w14:textFill>
        </w:rPr>
        <w:t>第四条</w:t>
      </w:r>
      <w:r>
        <w:rPr>
          <w:rFonts w:hint="eastAsia" w:ascii="仿宋" w:hAnsi="仿宋" w:eastAsia="仿宋" w:cs="仿宋"/>
          <w:color w:val="000000" w:themeColor="text1"/>
          <w:spacing w:val="4"/>
          <w:sz w:val="32"/>
          <w:szCs w:val="32"/>
          <w14:textFill>
            <w14:solidFill>
              <w14:schemeClr w14:val="tx1"/>
            </w14:solidFill>
          </w14:textFill>
        </w:rPr>
        <w:t xml:space="preserve">  </w:t>
      </w:r>
      <w:r>
        <w:rPr>
          <w:rFonts w:ascii="仿宋" w:hAnsi="仿宋" w:eastAsia="仿宋" w:cs="仿宋"/>
          <w:color w:val="000000" w:themeColor="text1"/>
          <w:spacing w:val="4"/>
          <w:sz w:val="32"/>
          <w:szCs w:val="32"/>
          <w14:textFill>
            <w14:solidFill>
              <w14:schemeClr w14:val="tx1"/>
            </w14:solidFill>
          </w14:textFill>
        </w:rPr>
        <w:t>专家库的组建、管理，应当遵循“公开择优、入库</w:t>
      </w:r>
      <w:r>
        <w:rPr>
          <w:rFonts w:ascii="仿宋" w:hAnsi="仿宋" w:eastAsia="仿宋" w:cs="仿宋"/>
          <w:color w:val="000000" w:themeColor="text1"/>
          <w:spacing w:val="6"/>
          <w:sz w:val="32"/>
          <w:szCs w:val="32"/>
          <w14:textFill>
            <w14:solidFill>
              <w14:schemeClr w14:val="tx1"/>
            </w14:solidFill>
          </w14:textFill>
        </w:rPr>
        <w:t>核准、集中管理、资源共享、规范使用”的原则。</w:t>
      </w:r>
    </w:p>
    <w:p>
      <w:pPr>
        <w:widowControl w:val="0"/>
        <w:kinsoku/>
        <w:autoSpaceDE/>
        <w:autoSpaceDN/>
        <w:spacing w:line="579" w:lineRule="exact"/>
        <w:ind w:left="0" w:right="0" w:firstLine="658" w:firstLineChars="200"/>
        <w:jc w:val="both"/>
        <w:textAlignment w:val="auto"/>
        <w:rPr>
          <w:rFonts w:ascii="仿宋" w:hAnsi="仿宋" w:eastAsia="仿宋" w:cs="仿宋"/>
          <w:color w:val="000000" w:themeColor="text1"/>
          <w:spacing w:val="-8"/>
          <w:sz w:val="32"/>
          <w:szCs w:val="32"/>
          <w14:textFill>
            <w14:solidFill>
              <w14:schemeClr w14:val="tx1"/>
            </w14:solidFill>
          </w14:textFill>
        </w:rPr>
      </w:pPr>
      <w:r>
        <w:rPr>
          <w:rFonts w:hint="eastAsia" w:ascii="仿宋" w:hAnsi="仿宋" w:eastAsia="仿宋" w:cs="仿宋"/>
          <w:b/>
          <w:bCs/>
          <w:color w:val="000000" w:themeColor="text1"/>
          <w:spacing w:val="4"/>
          <w:sz w:val="32"/>
          <w:szCs w:val="32"/>
          <w14:textFill>
            <w14:solidFill>
              <w14:schemeClr w14:val="tx1"/>
            </w14:solidFill>
          </w14:textFill>
        </w:rPr>
        <w:t>第五条</w:t>
      </w:r>
      <w:r>
        <w:rPr>
          <w:rFonts w:hint="eastAsia" w:ascii="仿宋" w:hAnsi="仿宋" w:eastAsia="仿宋" w:cs="仿宋"/>
          <w:color w:val="000000" w:themeColor="text1"/>
          <w:spacing w:val="16"/>
          <w:sz w:val="32"/>
          <w:szCs w:val="32"/>
          <w14:textFill>
            <w14:solidFill>
              <w14:schemeClr w14:val="tx1"/>
            </w14:solidFill>
          </w14:textFill>
        </w:rPr>
        <w:t xml:space="preserve">  </w:t>
      </w:r>
      <w:r>
        <w:rPr>
          <w:rFonts w:ascii="仿宋" w:hAnsi="仿宋" w:eastAsia="仿宋" w:cs="仿宋"/>
          <w:color w:val="000000" w:themeColor="text1"/>
          <w:spacing w:val="16"/>
          <w:sz w:val="32"/>
          <w:szCs w:val="32"/>
          <w14:textFill>
            <w14:solidFill>
              <w14:schemeClr w14:val="tx1"/>
            </w14:solidFill>
          </w14:textFill>
        </w:rPr>
        <w:t>市物业行政主管部门是珠海市物业管理行业专家</w:t>
      </w:r>
      <w:r>
        <w:rPr>
          <w:rFonts w:ascii="仿宋" w:hAnsi="仿宋" w:eastAsia="仿宋" w:cs="仿宋"/>
          <w:color w:val="000000" w:themeColor="text1"/>
          <w:spacing w:val="5"/>
          <w:sz w:val="32"/>
          <w:szCs w:val="32"/>
          <w14:textFill>
            <w14:solidFill>
              <w14:schemeClr w14:val="tx1"/>
            </w14:solidFill>
          </w14:textFill>
        </w:rPr>
        <w:t>库的主管部门，统一组建、使用、管理专家库，主要履行下列职</w:t>
      </w:r>
      <w:r>
        <w:rPr>
          <w:rFonts w:ascii="仿宋" w:hAnsi="仿宋" w:eastAsia="仿宋" w:cs="仿宋"/>
          <w:color w:val="000000" w:themeColor="text1"/>
          <w:spacing w:val="-8"/>
          <w:sz w:val="32"/>
          <w:szCs w:val="32"/>
          <w14:textFill>
            <w14:solidFill>
              <w14:schemeClr w14:val="tx1"/>
            </w14:solidFill>
          </w14:textFill>
        </w:rPr>
        <w:t>责：</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pacing w:val="4"/>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（一）负责对申请人或被推荐人进行培训、组织考试</w:t>
      </w:r>
      <w:r>
        <w:rPr>
          <w:rFonts w:hint="eastAsia" w:ascii="仿宋" w:hAnsi="仿宋" w:eastAsia="仿宋" w:cs="仿宋"/>
          <w:color w:val="000000" w:themeColor="text1"/>
          <w:spacing w:val="4"/>
          <w:sz w:val="32"/>
          <w:szCs w:val="32"/>
          <w:lang w:eastAsia="zh-CN"/>
          <w14:textFill>
            <w14:solidFill>
              <w14:schemeClr w14:val="tx1"/>
            </w14:solidFill>
          </w14:textFill>
        </w:rPr>
        <w:t>和</w:t>
      </w:r>
      <w:r>
        <w:rPr>
          <w:rFonts w:ascii="仿宋" w:hAnsi="仿宋" w:eastAsia="仿宋" w:cs="仿宋"/>
          <w:color w:val="000000" w:themeColor="text1"/>
          <w:spacing w:val="4"/>
          <w:sz w:val="32"/>
          <w:szCs w:val="32"/>
          <w14:textFill>
            <w14:solidFill>
              <w14:schemeClr w14:val="tx1"/>
            </w14:solidFill>
          </w14:textFill>
        </w:rPr>
        <w:t>评审，决定是否接受申请或者推荐，并向评审合格的申请人或被推荐人颁发物业管理专家证书；</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（二）负责组织专家进行物业管理、招投标业务和有关法律</w:t>
      </w:r>
      <w:r>
        <w:rPr>
          <w:rFonts w:ascii="仿宋" w:hAnsi="仿宋" w:eastAsia="仿宋" w:cs="仿宋"/>
          <w:color w:val="000000" w:themeColor="text1"/>
          <w:spacing w:val="6"/>
          <w:sz w:val="32"/>
          <w:szCs w:val="32"/>
          <w14:textFill>
            <w14:solidFill>
              <w14:schemeClr w14:val="tx1"/>
            </w14:solidFill>
          </w14:textFill>
        </w:rPr>
        <w:t>法规的培训、讲座和业务交流；</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（三）负责专家库的动态管理，根据工作需要和培训、考核</w:t>
      </w:r>
      <w:r>
        <w:rPr>
          <w:rFonts w:ascii="仿宋" w:hAnsi="仿宋" w:eastAsia="仿宋" w:cs="仿宋"/>
          <w:color w:val="000000" w:themeColor="text1"/>
          <w:spacing w:val="7"/>
          <w:sz w:val="32"/>
          <w:szCs w:val="32"/>
          <w14:textFill>
            <w14:solidFill>
              <w14:schemeClr w14:val="tx1"/>
            </w14:solidFill>
          </w14:textFill>
        </w:rPr>
        <w:t>等情况适时增补、解聘入库专家；</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（四）负责在册专家的日常管理。在珠海市智慧物业管理服</w:t>
      </w:r>
      <w:r>
        <w:rPr>
          <w:rFonts w:ascii="仿宋" w:hAnsi="仿宋" w:eastAsia="仿宋" w:cs="仿宋"/>
          <w:color w:val="000000" w:themeColor="text1"/>
          <w:spacing w:val="3"/>
          <w:sz w:val="32"/>
          <w:szCs w:val="32"/>
          <w14:textFill>
            <w14:solidFill>
              <w14:schemeClr w14:val="tx1"/>
            </w14:solidFill>
          </w14:textFill>
        </w:rPr>
        <w:t>务平台建立物业管理行业专家库动态监管平台，采用“一人一档”</w:t>
      </w:r>
      <w:r>
        <w:rPr>
          <w:rFonts w:ascii="仿宋" w:hAnsi="仿宋" w:eastAsia="仿宋" w:cs="仿宋"/>
          <w:color w:val="000000" w:themeColor="text1"/>
          <w:spacing w:val="5"/>
          <w:sz w:val="32"/>
          <w:szCs w:val="32"/>
          <w14:textFill>
            <w14:solidFill>
              <w14:schemeClr w14:val="tx1"/>
            </w14:solidFill>
          </w14:textFill>
        </w:rPr>
        <w:t>登记管理制度，对专家参与物业管理活动情况进行监督，进行分类登记，对其开展入库专家工作的情况记录入档。详细记载其参与物业服务企业信用评审、招投标评审、物业管理咨询、物业管理培训、物业服务质量评估或监理等具体活动行</w:t>
      </w:r>
      <w:r>
        <w:rPr>
          <w:rFonts w:ascii="仿宋" w:hAnsi="仿宋" w:eastAsia="仿宋" w:cs="仿宋"/>
          <w:color w:val="000000" w:themeColor="text1"/>
          <w:spacing w:val="10"/>
          <w:sz w:val="32"/>
          <w:szCs w:val="32"/>
          <w14:textFill>
            <w14:solidFill>
              <w14:schemeClr w14:val="tx1"/>
            </w14:solidFill>
          </w14:textFill>
        </w:rPr>
        <w:t>为，并进行网上公示，设立违规行为投诉电话和网上投诉信箱，</w:t>
      </w:r>
      <w:r>
        <w:rPr>
          <w:rFonts w:ascii="仿宋" w:hAnsi="仿宋" w:eastAsia="仿宋" w:cs="仿宋"/>
          <w:color w:val="000000" w:themeColor="text1"/>
          <w:spacing w:val="9"/>
          <w:sz w:val="32"/>
          <w:szCs w:val="32"/>
          <w14:textFill>
            <w14:solidFill>
              <w14:schemeClr w14:val="tx1"/>
            </w14:solidFill>
          </w14:textFill>
        </w:rPr>
        <w:t>对专家库成员的职业操守和信用情况实施监管</w:t>
      </w:r>
      <w:r>
        <w:rPr>
          <w:rFonts w:ascii="仿宋" w:hAnsi="仿宋" w:eastAsia="仿宋" w:cs="仿宋"/>
          <w:color w:val="000000" w:themeColor="text1"/>
          <w:spacing w:val="8"/>
          <w:sz w:val="32"/>
          <w:szCs w:val="32"/>
          <w14:textFill>
            <w14:solidFill>
              <w14:schemeClr w14:val="tx1"/>
            </w14:solidFill>
          </w14:textFill>
        </w:rPr>
        <w:t>；接受群众监督；</w:t>
      </w:r>
    </w:p>
    <w:p>
      <w:pPr>
        <w:keepNext w:val="0"/>
        <w:keepLines w:val="0"/>
        <w:pageBreakBefore w:val="0"/>
        <w:widowControl w:val="0"/>
        <w:kinsoku/>
        <w:wordWrap/>
        <w:overflowPunct/>
        <w:topLinePunct w:val="0"/>
        <w:autoSpaceDE/>
        <w:autoSpaceDN/>
        <w:bidi w:val="0"/>
        <w:adjustRightInd w:val="0"/>
        <w:snapToGrid w:val="0"/>
        <w:spacing w:line="579" w:lineRule="exact"/>
        <w:ind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（五）建立年度考核制度，每年对物业管理专家进行工作实</w:t>
      </w:r>
      <w:r>
        <w:rPr>
          <w:rFonts w:ascii="仿宋" w:hAnsi="仿宋" w:eastAsia="仿宋" w:cs="仿宋"/>
          <w:color w:val="000000" w:themeColor="text1"/>
          <w:spacing w:val="5"/>
          <w:sz w:val="32"/>
          <w:szCs w:val="32"/>
          <w14:textFill>
            <w14:solidFill>
              <w14:schemeClr w14:val="tx1"/>
            </w14:solidFill>
          </w14:textFill>
        </w:rPr>
        <w:t>绩、业务知识考核。因健康、业务能力、信用、离开物业管理行</w:t>
      </w:r>
      <w:r>
        <w:rPr>
          <w:rFonts w:ascii="仿宋" w:hAnsi="仿宋" w:eastAsia="仿宋" w:cs="仿宋"/>
          <w:color w:val="000000" w:themeColor="text1"/>
          <w:spacing w:val="8"/>
          <w:sz w:val="32"/>
          <w:szCs w:val="32"/>
          <w14:textFill>
            <w14:solidFill>
              <w14:schemeClr w14:val="tx1"/>
            </w14:solidFill>
          </w14:textFill>
        </w:rPr>
        <w:t>业等原因不能胜任工作的，专家资格取消；</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72"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8"/>
          <w:sz w:val="32"/>
          <w:szCs w:val="32"/>
          <w14:textFill>
            <w14:solidFill>
              <w14:schemeClr w14:val="tx1"/>
            </w14:solidFill>
          </w14:textFill>
        </w:rPr>
        <w:t>（六）依据本办法有关规定调查、处理专家违法违规行为。</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各区物业行政主管部门、</w:t>
      </w:r>
      <w:r>
        <w:rPr>
          <w:rFonts w:ascii="仿宋" w:hAnsi="仿宋" w:eastAsia="仿宋" w:cs="仿宋"/>
          <w:color w:val="000000" w:themeColor="text1"/>
          <w:spacing w:val="5"/>
          <w:sz w:val="32"/>
          <w:szCs w:val="32"/>
          <w14:textFill>
            <w14:solidFill>
              <w14:schemeClr w14:val="tx1"/>
            </w14:solidFill>
          </w14:textFill>
        </w:rPr>
        <w:t>市物业行业协会协助市物业行政主管部门做好</w:t>
      </w:r>
      <w:r>
        <w:rPr>
          <w:rFonts w:ascii="仿宋" w:hAnsi="仿宋" w:eastAsia="仿宋" w:cs="仿宋"/>
          <w:color w:val="000000" w:themeColor="text1"/>
          <w:spacing w:val="16"/>
          <w:sz w:val="32"/>
          <w:szCs w:val="32"/>
          <w14:textFill>
            <w14:solidFill>
              <w14:schemeClr w14:val="tx1"/>
            </w14:solidFill>
          </w14:textFill>
        </w:rPr>
        <w:t>专家入库初审，共同对专家违法违规行为进行查处等专家库组</w:t>
      </w:r>
      <w:r>
        <w:rPr>
          <w:rFonts w:ascii="仿宋" w:hAnsi="仿宋" w:eastAsia="仿宋" w:cs="仿宋"/>
          <w:color w:val="000000" w:themeColor="text1"/>
          <w:spacing w:val="5"/>
          <w:sz w:val="32"/>
          <w:szCs w:val="32"/>
          <w14:textFill>
            <w14:solidFill>
              <w14:schemeClr w14:val="tx1"/>
            </w14:solidFill>
          </w14:textFill>
        </w:rPr>
        <w:t>建、管理工作。</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70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17"/>
          <w:sz w:val="32"/>
          <w:szCs w:val="32"/>
          <w14:textFill>
            <w14:solidFill>
              <w14:schemeClr w14:val="tx1"/>
            </w14:solidFill>
          </w14:textFill>
        </w:rPr>
        <w:t>市物业行政主管部门可就上述某单项事项委托第</w:t>
      </w:r>
      <w:r>
        <w:rPr>
          <w:rFonts w:ascii="仿宋" w:hAnsi="仿宋" w:eastAsia="仿宋" w:cs="仿宋"/>
          <w:color w:val="000000" w:themeColor="text1"/>
          <w:spacing w:val="16"/>
          <w:sz w:val="32"/>
          <w:szCs w:val="32"/>
          <w14:textFill>
            <w14:solidFill>
              <w14:schemeClr w14:val="tx1"/>
            </w14:solidFill>
          </w14:textFill>
        </w:rPr>
        <w:t>三方机构</w:t>
      </w:r>
      <w:r>
        <w:rPr>
          <w:rFonts w:ascii="仿宋" w:hAnsi="仿宋" w:eastAsia="仿宋" w:cs="仿宋"/>
          <w:color w:val="000000" w:themeColor="text1"/>
          <w:spacing w:val="4"/>
          <w:sz w:val="32"/>
          <w:szCs w:val="32"/>
          <w14:textFill>
            <w14:solidFill>
              <w14:schemeClr w14:val="tx1"/>
            </w14:solidFill>
          </w14:textFill>
        </w:rPr>
        <w:t>实施具体操作。</w:t>
      </w:r>
    </w:p>
    <w:p>
      <w:pPr>
        <w:pStyle w:val="4"/>
        <w:keepNext w:val="0"/>
        <w:keepLines w:val="0"/>
        <w:pageBreakBefore w:val="0"/>
        <w:widowControl w:val="0"/>
        <w:kinsoku w:val="0"/>
        <w:wordWrap/>
        <w:overflowPunct/>
        <w:topLinePunct w:val="0"/>
        <w:autoSpaceDE w:val="0"/>
        <w:autoSpaceDN w:val="0"/>
        <w:bidi w:val="0"/>
        <w:adjustRightInd w:val="0"/>
        <w:snapToGrid w:val="0"/>
        <w:spacing w:line="579" w:lineRule="exact"/>
        <w:jc w:val="both"/>
        <w:textAlignment w:val="baseline"/>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val="0"/>
        <w:wordWrap/>
        <w:overflowPunct/>
        <w:topLinePunct w:val="0"/>
        <w:autoSpaceDE w:val="0"/>
        <w:autoSpaceDN w:val="0"/>
        <w:bidi w:val="0"/>
        <w:adjustRightInd w:val="0"/>
        <w:snapToGrid w:val="0"/>
        <w:spacing w:line="579" w:lineRule="exact"/>
        <w:ind w:left="0"/>
        <w:jc w:val="center"/>
        <w:textAlignment w:val="baseline"/>
        <w:rPr>
          <w:rFonts w:ascii="黑体" w:hAnsi="黑体" w:eastAsia="黑体" w:cs="黑体"/>
          <w:color w:val="000000" w:themeColor="text1"/>
          <w:spacing w:val="2"/>
          <w:sz w:val="32"/>
          <w:szCs w:val="32"/>
          <w14:textFill>
            <w14:solidFill>
              <w14:schemeClr w14:val="tx1"/>
            </w14:solidFill>
          </w14:textFill>
        </w:rPr>
      </w:pPr>
      <w:r>
        <w:rPr>
          <w:rFonts w:ascii="黑体" w:hAnsi="黑体" w:eastAsia="黑体" w:cs="黑体"/>
          <w:color w:val="000000" w:themeColor="text1"/>
          <w:spacing w:val="2"/>
          <w:sz w:val="32"/>
          <w:szCs w:val="32"/>
          <w14:textFill>
            <w14:solidFill>
              <w14:schemeClr w14:val="tx1"/>
            </w14:solidFill>
          </w14:textFill>
        </w:rPr>
        <w:t>第二章  专家库组建</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70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pacing w:val="16"/>
          <w:sz w:val="32"/>
          <w:szCs w:val="32"/>
          <w14:textFill>
            <w14:solidFill>
              <w14:schemeClr w14:val="tx1"/>
            </w14:solidFill>
          </w14:textFill>
        </w:rPr>
        <w:t>第六条</w:t>
      </w:r>
      <w:r>
        <w:rPr>
          <w:rFonts w:hint="eastAsia" w:ascii="仿宋" w:hAnsi="仿宋" w:eastAsia="仿宋" w:cs="仿宋"/>
          <w:color w:val="000000" w:themeColor="text1"/>
          <w:spacing w:val="16"/>
          <w:sz w:val="32"/>
          <w:szCs w:val="32"/>
          <w14:textFill>
            <w14:solidFill>
              <w14:schemeClr w14:val="tx1"/>
            </w14:solidFill>
          </w14:textFill>
        </w:rPr>
        <w:t xml:space="preserve">  </w:t>
      </w:r>
      <w:r>
        <w:rPr>
          <w:rFonts w:ascii="仿宋" w:hAnsi="仿宋" w:eastAsia="仿宋" w:cs="仿宋"/>
          <w:color w:val="000000" w:themeColor="text1"/>
          <w:spacing w:val="16"/>
          <w:sz w:val="32"/>
          <w:szCs w:val="32"/>
          <w14:textFill>
            <w14:solidFill>
              <w14:schemeClr w14:val="tx1"/>
            </w14:solidFill>
          </w14:textFill>
        </w:rPr>
        <w:t>专家库由市物业行政主管部门依法按照国家统一</w:t>
      </w:r>
      <w:r>
        <w:rPr>
          <w:rFonts w:ascii="仿宋" w:hAnsi="仿宋" w:eastAsia="仿宋" w:cs="仿宋"/>
          <w:color w:val="000000" w:themeColor="text1"/>
          <w:spacing w:val="6"/>
          <w:sz w:val="32"/>
          <w:szCs w:val="32"/>
          <w14:textFill>
            <w14:solidFill>
              <w14:schemeClr w14:val="tx1"/>
            </w14:solidFill>
          </w14:textFill>
        </w:rPr>
        <w:t>的专家分类标准统一组建，分类设置。</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专家库分为现场检查、技术保障、咨询管理三类专家。其中</w:t>
      </w:r>
      <w:r>
        <w:rPr>
          <w:rFonts w:ascii="仿宋" w:hAnsi="仿宋" w:eastAsia="仿宋" w:cs="仿宋"/>
          <w:color w:val="000000" w:themeColor="text1"/>
          <w:spacing w:val="5"/>
          <w:sz w:val="32"/>
          <w:szCs w:val="32"/>
          <w14:textFill>
            <w14:solidFill>
              <w14:schemeClr w14:val="tx1"/>
            </w14:solidFill>
          </w14:textFill>
        </w:rPr>
        <w:t>现场检查类专家分为文书资料（内业）、秩序环境（外业）、设施设备三小类专家。技术保障类专家是具备现场检查类专家条件的基础上，具有更高水平的资深行业专家。咨询管理类专家是物业管理行业中，受相关部门委托，以独立身份参与物业管理工作</w:t>
      </w:r>
      <w:r>
        <w:rPr>
          <w:rFonts w:ascii="仿宋" w:hAnsi="仿宋" w:eastAsia="仿宋" w:cs="仿宋"/>
          <w:color w:val="000000" w:themeColor="text1"/>
          <w:spacing w:val="9"/>
          <w:sz w:val="32"/>
          <w:szCs w:val="32"/>
          <w14:textFill>
            <w14:solidFill>
              <w14:schemeClr w14:val="tx1"/>
            </w14:solidFill>
          </w14:textFill>
        </w:rPr>
        <w:t>规划、重大项目咨询论证、重大物业纠纷调处</w:t>
      </w:r>
      <w:r>
        <w:rPr>
          <w:rFonts w:ascii="仿宋" w:hAnsi="仿宋" w:eastAsia="仿宋" w:cs="仿宋"/>
          <w:color w:val="000000" w:themeColor="text1"/>
          <w:spacing w:val="8"/>
          <w:sz w:val="32"/>
          <w:szCs w:val="32"/>
          <w14:textFill>
            <w14:solidFill>
              <w14:schemeClr w14:val="tx1"/>
            </w14:solidFill>
          </w14:textFill>
        </w:rPr>
        <w:t>等活动的专家。</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712"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18"/>
          <w:sz w:val="32"/>
          <w:szCs w:val="32"/>
          <w14:textFill>
            <w14:solidFill>
              <w14:schemeClr w14:val="tx1"/>
            </w14:solidFill>
          </w14:textFill>
        </w:rPr>
        <w:t>入库专家规模：原则上现场检查各小类专家</w:t>
      </w:r>
      <w:r>
        <w:rPr>
          <w:rFonts w:ascii="仿宋" w:hAnsi="仿宋" w:eastAsia="仿宋" w:cs="仿宋"/>
          <w:color w:val="000000" w:themeColor="text1"/>
          <w:spacing w:val="17"/>
          <w:sz w:val="32"/>
          <w:szCs w:val="32"/>
          <w14:textFill>
            <w14:solidFill>
              <w14:schemeClr w14:val="tx1"/>
            </w14:solidFill>
          </w14:textFill>
        </w:rPr>
        <w:t>控制在50-70</w:t>
      </w:r>
      <w:r>
        <w:rPr>
          <w:rFonts w:ascii="仿宋" w:hAnsi="仿宋" w:eastAsia="仿宋" w:cs="仿宋"/>
          <w:color w:val="000000" w:themeColor="text1"/>
          <w:spacing w:val="2"/>
          <w:sz w:val="32"/>
          <w:szCs w:val="32"/>
          <w14:textFill>
            <w14:solidFill>
              <w14:schemeClr w14:val="tx1"/>
            </w14:solidFill>
          </w14:textFill>
        </w:rPr>
        <w:t>人；技术保障类控制在15-20人；咨询管理类控制在10-15人。</w:t>
      </w:r>
      <w:r>
        <w:rPr>
          <w:rFonts w:ascii="仿宋" w:hAnsi="仿宋" w:eastAsia="仿宋" w:cs="仿宋"/>
          <w:color w:val="000000" w:themeColor="text1"/>
          <w:spacing w:val="5"/>
          <w:sz w:val="32"/>
          <w:szCs w:val="32"/>
          <w14:textFill>
            <w14:solidFill>
              <w14:schemeClr w14:val="tx1"/>
            </w14:solidFill>
          </w14:textFill>
        </w:rPr>
        <w:t>当入库专家不能满足实际工作需要时，可以依据本办法予以及时</w:t>
      </w:r>
      <w:r>
        <w:rPr>
          <w:rFonts w:ascii="仿宋" w:hAnsi="仿宋" w:eastAsia="仿宋" w:cs="仿宋"/>
          <w:color w:val="000000" w:themeColor="text1"/>
          <w:spacing w:val="-1"/>
          <w:sz w:val="32"/>
          <w:szCs w:val="32"/>
          <w14:textFill>
            <w14:solidFill>
              <w14:schemeClr w14:val="tx1"/>
            </w14:solidFill>
          </w14:textFill>
        </w:rPr>
        <w:t>增补。</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706" w:firstLineChars="200"/>
        <w:jc w:val="both"/>
        <w:textAlignment w:val="auto"/>
        <w:rPr>
          <w:rFonts w:ascii="仿宋" w:hAnsi="仿宋" w:eastAsia="仿宋" w:cs="仿宋"/>
          <w:color w:val="000000" w:themeColor="text1"/>
          <w:spacing w:val="-7"/>
          <w:sz w:val="32"/>
          <w:szCs w:val="32"/>
          <w14:textFill>
            <w14:solidFill>
              <w14:schemeClr w14:val="tx1"/>
            </w14:solidFill>
          </w14:textFill>
        </w:rPr>
      </w:pPr>
      <w:r>
        <w:rPr>
          <w:rFonts w:hint="eastAsia" w:ascii="仿宋" w:hAnsi="仿宋" w:eastAsia="仿宋" w:cs="仿宋"/>
          <w:b/>
          <w:bCs/>
          <w:color w:val="000000" w:themeColor="text1"/>
          <w:spacing w:val="16"/>
          <w:sz w:val="32"/>
          <w:szCs w:val="32"/>
          <w14:textFill>
            <w14:solidFill>
              <w14:schemeClr w14:val="tx1"/>
            </w14:solidFill>
          </w14:textFill>
        </w:rPr>
        <w:t>第七条</w:t>
      </w:r>
      <w:r>
        <w:rPr>
          <w:rFonts w:hint="eastAsia" w:ascii="仿宋" w:hAnsi="仿宋" w:eastAsia="仿宋" w:cs="仿宋"/>
          <w:color w:val="000000" w:themeColor="text1"/>
          <w:spacing w:val="6"/>
          <w:sz w:val="32"/>
          <w:szCs w:val="32"/>
          <w14:textFill>
            <w14:solidFill>
              <w14:schemeClr w14:val="tx1"/>
            </w14:solidFill>
          </w14:textFill>
        </w:rPr>
        <w:t xml:space="preserve">  </w:t>
      </w:r>
      <w:r>
        <w:rPr>
          <w:rFonts w:ascii="仿宋" w:hAnsi="仿宋" w:eastAsia="仿宋" w:cs="仿宋"/>
          <w:color w:val="000000" w:themeColor="text1"/>
          <w:spacing w:val="6"/>
          <w:sz w:val="32"/>
          <w:szCs w:val="32"/>
          <w14:textFill>
            <w14:solidFill>
              <w14:schemeClr w14:val="tx1"/>
            </w14:solidFill>
          </w14:textFill>
        </w:rPr>
        <w:t>专家库专家每届聘期3年，从市物业行政主管部门</w:t>
      </w:r>
      <w:r>
        <w:rPr>
          <w:rFonts w:ascii="仿宋" w:hAnsi="仿宋" w:eastAsia="仿宋" w:cs="仿宋"/>
          <w:color w:val="000000" w:themeColor="text1"/>
          <w:spacing w:val="5"/>
          <w:sz w:val="32"/>
          <w:szCs w:val="32"/>
          <w14:textFill>
            <w14:solidFill>
              <w14:schemeClr w14:val="tx1"/>
            </w14:solidFill>
          </w14:textFill>
        </w:rPr>
        <w:t>公告之日起算。聘期届满后，依据本规定重新认定、聘任新一届</w:t>
      </w:r>
      <w:r>
        <w:rPr>
          <w:rFonts w:ascii="仿宋" w:hAnsi="仿宋" w:eastAsia="仿宋" w:cs="仿宋"/>
          <w:color w:val="000000" w:themeColor="text1"/>
          <w:spacing w:val="14"/>
          <w:sz w:val="32"/>
          <w:szCs w:val="32"/>
          <w14:textFill>
            <w14:solidFill>
              <w14:schemeClr w14:val="tx1"/>
            </w14:solidFill>
          </w14:textFill>
        </w:rPr>
        <w:t>入库专家。届中增补的专家聘期与本届专家库专家聘期同步届</w:t>
      </w:r>
      <w:r>
        <w:rPr>
          <w:rFonts w:ascii="仿宋" w:hAnsi="仿宋" w:eastAsia="仿宋" w:cs="仿宋"/>
          <w:color w:val="000000" w:themeColor="text1"/>
          <w:spacing w:val="-7"/>
          <w:sz w:val="32"/>
          <w:szCs w:val="32"/>
          <w14:textFill>
            <w14:solidFill>
              <w14:schemeClr w14:val="tx1"/>
            </w14:solidFill>
          </w14:textFill>
        </w:rPr>
        <w:t>满。</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70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pacing w:val="16"/>
          <w:sz w:val="32"/>
          <w:szCs w:val="32"/>
          <w14:textFill>
            <w14:solidFill>
              <w14:schemeClr w14:val="tx1"/>
            </w14:solidFill>
          </w14:textFill>
        </w:rPr>
        <w:t>第八条</w:t>
      </w:r>
      <w:r>
        <w:rPr>
          <w:rFonts w:hint="eastAsia" w:ascii="仿宋" w:hAnsi="仿宋" w:eastAsia="仿宋" w:cs="仿宋"/>
          <w:color w:val="000000" w:themeColor="text1"/>
          <w:spacing w:val="8"/>
          <w:sz w:val="32"/>
          <w:szCs w:val="32"/>
          <w14:textFill>
            <w14:solidFill>
              <w14:schemeClr w14:val="tx1"/>
            </w14:solidFill>
          </w14:textFill>
        </w:rPr>
        <w:t xml:space="preserve">  </w:t>
      </w:r>
      <w:r>
        <w:rPr>
          <w:rFonts w:ascii="仿宋" w:hAnsi="仿宋" w:eastAsia="仿宋" w:cs="仿宋"/>
          <w:color w:val="000000" w:themeColor="text1"/>
          <w:spacing w:val="8"/>
          <w:sz w:val="32"/>
          <w:szCs w:val="32"/>
          <w14:textFill>
            <w14:solidFill>
              <w14:schemeClr w14:val="tx1"/>
            </w14:solidFill>
          </w14:textFill>
        </w:rPr>
        <w:t>入选专家库的专家，应当符合下列基本条件：</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64"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6"/>
          <w:sz w:val="32"/>
          <w:szCs w:val="32"/>
          <w14:textFill>
            <w14:solidFill>
              <w14:schemeClr w14:val="tx1"/>
            </w14:solidFill>
          </w14:textFill>
        </w:rPr>
        <w:t>（一）拥护党的路线、方针、政策，遵守国家法律、法规，</w:t>
      </w:r>
      <w:r>
        <w:rPr>
          <w:rFonts w:ascii="仿宋" w:hAnsi="仿宋" w:eastAsia="仿宋" w:cs="仿宋"/>
          <w:color w:val="000000" w:themeColor="text1"/>
          <w:spacing w:val="8"/>
          <w:sz w:val="32"/>
          <w:szCs w:val="32"/>
          <w14:textFill>
            <w14:solidFill>
              <w14:schemeClr w14:val="tx1"/>
            </w14:solidFill>
          </w14:textFill>
        </w:rPr>
        <w:t>接受行政主管部门的监督管理和指导；</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（二）有良好的职业道德、热心公益、廉洁自律；工作认真</w:t>
      </w:r>
      <w:r>
        <w:rPr>
          <w:rFonts w:ascii="仿宋" w:hAnsi="仿宋" w:eastAsia="仿宋" w:cs="仿宋"/>
          <w:color w:val="000000" w:themeColor="text1"/>
          <w:spacing w:val="7"/>
          <w:sz w:val="32"/>
          <w:szCs w:val="32"/>
          <w14:textFill>
            <w14:solidFill>
              <w14:schemeClr w14:val="tx1"/>
            </w14:solidFill>
          </w14:textFill>
        </w:rPr>
        <w:t>负责，无违法违纪和不良执业行为记录；</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（三）诚实守信，具有良好的职业道德和社会责任感，有良</w:t>
      </w:r>
      <w:r>
        <w:rPr>
          <w:rFonts w:ascii="仿宋" w:hAnsi="仿宋" w:eastAsia="仿宋" w:cs="仿宋"/>
          <w:color w:val="000000" w:themeColor="text1"/>
          <w:spacing w:val="5"/>
          <w:sz w:val="32"/>
          <w:szCs w:val="32"/>
          <w14:textFill>
            <w14:solidFill>
              <w14:schemeClr w14:val="tx1"/>
            </w14:solidFill>
          </w14:textFill>
        </w:rPr>
        <w:t>好的社会信用；</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（四）有较高的专业水平和协作能力，掌握和熟悉行业相关</w:t>
      </w:r>
      <w:r>
        <w:rPr>
          <w:rFonts w:ascii="仿宋" w:hAnsi="仿宋" w:eastAsia="仿宋" w:cs="仿宋"/>
          <w:color w:val="000000" w:themeColor="text1"/>
          <w:spacing w:val="5"/>
          <w:sz w:val="32"/>
          <w:szCs w:val="32"/>
          <w14:textFill>
            <w14:solidFill>
              <w14:schemeClr w14:val="tx1"/>
            </w14:solidFill>
          </w14:textFill>
        </w:rPr>
        <w:t>法律、法规和政策，以及行业规范和技术标准，具有丰富的物业管理服务和行业相关社会活动实践经验。积极参加行政主管部门</w:t>
      </w:r>
      <w:r>
        <w:rPr>
          <w:rFonts w:ascii="仿宋" w:hAnsi="仿宋" w:eastAsia="仿宋" w:cs="仿宋"/>
          <w:color w:val="000000" w:themeColor="text1"/>
          <w:spacing w:val="8"/>
          <w:sz w:val="32"/>
          <w:szCs w:val="32"/>
          <w14:textFill>
            <w14:solidFill>
              <w14:schemeClr w14:val="tx1"/>
            </w14:solidFill>
          </w14:textFill>
        </w:rPr>
        <w:t>和行业协会组织的培训或者其他活动；</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（五）具有胜任工作的身体状况，年龄一般在30周岁以上、70周岁以下；</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（六）自愿申请，具备必要的工作时间，服从市物业行政主</w:t>
      </w:r>
      <w:r>
        <w:rPr>
          <w:rFonts w:ascii="仿宋" w:hAnsi="仿宋" w:eastAsia="仿宋" w:cs="仿宋"/>
          <w:color w:val="000000" w:themeColor="text1"/>
          <w:spacing w:val="5"/>
          <w:sz w:val="32"/>
          <w:szCs w:val="32"/>
          <w14:textFill>
            <w14:solidFill>
              <w14:schemeClr w14:val="tx1"/>
            </w14:solidFill>
          </w14:textFill>
        </w:rPr>
        <w:t>管部门工作安排和管理。</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70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pacing w:val="16"/>
          <w:sz w:val="32"/>
          <w:szCs w:val="32"/>
          <w14:textFill>
            <w14:solidFill>
              <w14:schemeClr w14:val="tx1"/>
            </w14:solidFill>
          </w14:textFill>
        </w:rPr>
        <w:t>第九条</w:t>
      </w:r>
      <w:r>
        <w:rPr>
          <w:rFonts w:hint="eastAsia" w:ascii="仿宋" w:hAnsi="仿宋" w:eastAsia="仿宋" w:cs="仿宋"/>
          <w:color w:val="000000" w:themeColor="text1"/>
          <w:spacing w:val="4"/>
          <w:sz w:val="32"/>
          <w:szCs w:val="32"/>
          <w14:textFill>
            <w14:solidFill>
              <w14:schemeClr w14:val="tx1"/>
            </w14:solidFill>
          </w14:textFill>
        </w:rPr>
        <w:t xml:space="preserve">  </w:t>
      </w:r>
      <w:r>
        <w:rPr>
          <w:rFonts w:ascii="仿宋" w:hAnsi="仿宋" w:eastAsia="仿宋" w:cs="仿宋"/>
          <w:color w:val="000000" w:themeColor="text1"/>
          <w:spacing w:val="4"/>
          <w:sz w:val="32"/>
          <w:szCs w:val="32"/>
          <w14:textFill>
            <w14:solidFill>
              <w14:schemeClr w14:val="tx1"/>
            </w14:solidFill>
          </w14:textFill>
        </w:rPr>
        <w:t>入选专家库的专家，同时还应当分别符合分类设置</w:t>
      </w:r>
      <w:r>
        <w:rPr>
          <w:rFonts w:ascii="仿宋" w:hAnsi="仿宋" w:eastAsia="仿宋" w:cs="仿宋"/>
          <w:color w:val="000000" w:themeColor="text1"/>
          <w:spacing w:val="1"/>
          <w:sz w:val="32"/>
          <w:szCs w:val="32"/>
          <w14:textFill>
            <w14:solidFill>
              <w14:schemeClr w14:val="tx1"/>
            </w14:solidFill>
          </w14:textFill>
        </w:rPr>
        <w:t>的专业条件。</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72"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8"/>
          <w:sz w:val="32"/>
          <w:szCs w:val="32"/>
          <w14:textFill>
            <w14:solidFill>
              <w14:schemeClr w14:val="tx1"/>
            </w14:solidFill>
          </w14:textFill>
        </w:rPr>
        <w:t>（一）现场检查类专家应当符合下列专业条件之一：</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64" w:firstLineChars="200"/>
        <w:jc w:val="both"/>
        <w:textAlignment w:val="auto"/>
        <w:rPr>
          <w:rFonts w:ascii="仿宋" w:hAnsi="仿宋" w:eastAsia="仿宋" w:cs="仿宋"/>
          <w:color w:val="000000" w:themeColor="text1"/>
          <w:spacing w:val="5"/>
          <w:sz w:val="32"/>
          <w:szCs w:val="32"/>
          <w14:textFill>
            <w14:solidFill>
              <w14:schemeClr w14:val="tx1"/>
            </w14:solidFill>
          </w14:textFill>
        </w:rPr>
      </w:pPr>
      <w:r>
        <w:rPr>
          <w:rFonts w:ascii="仿宋" w:hAnsi="仿宋" w:eastAsia="仿宋" w:cs="仿宋"/>
          <w:color w:val="000000" w:themeColor="text1"/>
          <w:spacing w:val="6"/>
          <w:sz w:val="32"/>
          <w:szCs w:val="32"/>
          <w14:textFill>
            <w14:solidFill>
              <w14:schemeClr w14:val="tx1"/>
            </w14:solidFill>
          </w14:textFill>
        </w:rPr>
        <w:t>1.近5年内（从申请截止之日倒算</w:t>
      </w:r>
      <w:r>
        <w:rPr>
          <w:rFonts w:ascii="仿宋" w:hAnsi="仿宋" w:eastAsia="仿宋" w:cs="仿宋"/>
          <w:color w:val="000000" w:themeColor="text1"/>
          <w:spacing w:val="-20"/>
          <w:sz w:val="32"/>
          <w:szCs w:val="32"/>
          <w14:textFill>
            <w14:solidFill>
              <w14:schemeClr w14:val="tx1"/>
            </w14:solidFill>
          </w14:textFill>
        </w:rPr>
        <w:t>）（</w:t>
      </w:r>
      <w:r>
        <w:rPr>
          <w:rFonts w:ascii="仿宋" w:hAnsi="仿宋" w:eastAsia="仿宋" w:cs="仿宋"/>
          <w:color w:val="000000" w:themeColor="text1"/>
          <w:spacing w:val="6"/>
          <w:sz w:val="32"/>
          <w:szCs w:val="32"/>
          <w14:textFill>
            <w14:solidFill>
              <w14:schemeClr w14:val="tx1"/>
            </w14:solidFill>
          </w14:textFill>
        </w:rPr>
        <w:t>以下同）有不少于3</w:t>
      </w:r>
      <w:r>
        <w:rPr>
          <w:rFonts w:ascii="仿宋" w:hAnsi="仿宋" w:eastAsia="仿宋" w:cs="仿宋"/>
          <w:color w:val="000000" w:themeColor="text1"/>
          <w:spacing w:val="5"/>
          <w:sz w:val="32"/>
          <w:szCs w:val="32"/>
          <w14:textFill>
            <w14:solidFill>
              <w14:schemeClr w14:val="tx1"/>
            </w14:solidFill>
          </w14:textFill>
        </w:rPr>
        <w:t>年物业服务项目现场服务、管理经历或者物业服务企业、</w:t>
      </w:r>
      <w:r>
        <w:rPr>
          <w:rFonts w:ascii="仿宋" w:hAnsi="仿宋" w:eastAsia="仿宋" w:cs="仿宋"/>
          <w:color w:val="000000" w:themeColor="text1"/>
          <w:spacing w:val="4"/>
          <w:sz w:val="32"/>
          <w:szCs w:val="32"/>
          <w14:textFill>
            <w14:solidFill>
              <w14:schemeClr w14:val="tx1"/>
            </w14:solidFill>
          </w14:textFill>
        </w:rPr>
        <w:t>项目综</w:t>
      </w:r>
      <w:r>
        <w:rPr>
          <w:rFonts w:ascii="仿宋" w:hAnsi="仿宋" w:eastAsia="仿宋" w:cs="仿宋"/>
          <w:color w:val="000000" w:themeColor="text1"/>
          <w:spacing w:val="8"/>
          <w:sz w:val="32"/>
          <w:szCs w:val="32"/>
          <w14:textFill>
            <w14:solidFill>
              <w14:schemeClr w14:val="tx1"/>
            </w14:solidFill>
          </w14:textFill>
        </w:rPr>
        <w:t>合管理、品质管理经历，或者近3年内有不少于6次物业服务项</w:t>
      </w:r>
      <w:r>
        <w:rPr>
          <w:rFonts w:ascii="仿宋" w:hAnsi="仿宋" w:eastAsia="仿宋" w:cs="仿宋"/>
          <w:color w:val="000000" w:themeColor="text1"/>
          <w:spacing w:val="5"/>
          <w:sz w:val="32"/>
          <w:szCs w:val="32"/>
          <w14:textFill>
            <w14:solidFill>
              <w14:schemeClr w14:val="tx1"/>
            </w14:solidFill>
          </w14:textFill>
        </w:rPr>
        <w:t>目现场检查经历；</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2.行业从业满8年以上、担任企业领导职务满3年以上；或</w:t>
      </w:r>
      <w:r>
        <w:rPr>
          <w:rFonts w:ascii="仿宋" w:hAnsi="仿宋" w:eastAsia="仿宋" w:cs="仿宋"/>
          <w:color w:val="000000" w:themeColor="text1"/>
          <w:spacing w:val="3"/>
          <w:sz w:val="32"/>
          <w:szCs w:val="32"/>
          <w14:textFill>
            <w14:solidFill>
              <w14:schemeClr w14:val="tx1"/>
            </w14:solidFill>
          </w14:textFill>
        </w:rPr>
        <w:t>者担任企业工程技术部门或者项目经理满5年以上</w:t>
      </w:r>
      <w:r>
        <w:rPr>
          <w:rFonts w:ascii="仿宋" w:hAnsi="仿宋" w:eastAsia="仿宋" w:cs="仿宋"/>
          <w:color w:val="000000" w:themeColor="text1"/>
          <w:spacing w:val="-5"/>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70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17"/>
          <w:sz w:val="32"/>
          <w:szCs w:val="32"/>
          <w14:textFill>
            <w14:solidFill>
              <w14:schemeClr w14:val="tx1"/>
            </w14:solidFill>
          </w14:textFill>
        </w:rPr>
        <w:t>设施设备类专家还应具有中级以上专业技术职称或者同等</w:t>
      </w:r>
      <w:r>
        <w:rPr>
          <w:rFonts w:ascii="仿宋" w:hAnsi="仿宋" w:eastAsia="仿宋" w:cs="仿宋"/>
          <w:color w:val="000000" w:themeColor="text1"/>
          <w:spacing w:val="2"/>
          <w:sz w:val="32"/>
          <w:szCs w:val="32"/>
          <w14:textFill>
            <w14:solidFill>
              <w14:schemeClr w14:val="tx1"/>
            </w14:solidFill>
          </w14:textFill>
        </w:rPr>
        <w:t>专业水平。</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72"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8"/>
          <w:sz w:val="32"/>
          <w:szCs w:val="32"/>
          <w14:textFill>
            <w14:solidFill>
              <w14:schemeClr w14:val="tx1"/>
            </w14:solidFill>
          </w14:textFill>
        </w:rPr>
        <w:t>（二）技术保障类专家应当符合下列专业条件：</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60"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5"/>
          <w:sz w:val="32"/>
          <w:szCs w:val="32"/>
          <w14:textFill>
            <w14:solidFill>
              <w14:schemeClr w14:val="tx1"/>
            </w14:solidFill>
          </w14:textFill>
        </w:rPr>
        <w:t>1.具备现场检查类专家条件；</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72"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8"/>
          <w:sz w:val="32"/>
          <w:szCs w:val="32"/>
          <w14:textFill>
            <w14:solidFill>
              <w14:schemeClr w14:val="tx1"/>
            </w14:solidFill>
          </w14:textFill>
        </w:rPr>
        <w:t>2.具有高级以上专业技术职称或者同等专业水平；</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3.</w:t>
      </w:r>
      <w:r>
        <w:rPr>
          <w:rFonts w:ascii="仿宋" w:hAnsi="仿宋" w:eastAsia="仿宋" w:cs="仿宋"/>
          <w:color w:val="000000" w:themeColor="text1"/>
          <w:spacing w:val="5"/>
          <w:sz w:val="32"/>
          <w:szCs w:val="32"/>
          <w14:textFill>
            <w14:solidFill>
              <w14:schemeClr w14:val="tx1"/>
            </w14:solidFill>
          </w14:textFill>
        </w:rPr>
        <w:t>在物业管理期间无重大安全事故和不良信用记</w:t>
      </w:r>
      <w:r>
        <w:rPr>
          <w:rFonts w:ascii="仿宋" w:hAnsi="仿宋" w:eastAsia="仿宋" w:cs="仿宋"/>
          <w:color w:val="000000" w:themeColor="text1"/>
          <w:spacing w:val="4"/>
          <w:sz w:val="32"/>
          <w:szCs w:val="32"/>
          <w14:textFill>
            <w14:solidFill>
              <w14:schemeClr w14:val="tx1"/>
            </w14:solidFill>
          </w14:textFill>
        </w:rPr>
        <w:t>录，未造</w:t>
      </w:r>
      <w:r>
        <w:rPr>
          <w:rFonts w:ascii="仿宋" w:hAnsi="仿宋" w:eastAsia="仿宋" w:cs="仿宋"/>
          <w:color w:val="000000" w:themeColor="text1"/>
          <w:spacing w:val="6"/>
          <w:sz w:val="32"/>
          <w:szCs w:val="32"/>
          <w14:textFill>
            <w14:solidFill>
              <w14:schemeClr w14:val="tx1"/>
            </w14:solidFill>
          </w14:textFill>
        </w:rPr>
        <w:t>成社会不良影响事件的；</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72" w:firstLineChars="200"/>
        <w:jc w:val="both"/>
        <w:textAlignment w:val="auto"/>
        <w:outlineLvl w:val="1"/>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8"/>
          <w:sz w:val="32"/>
          <w:szCs w:val="32"/>
          <w14:textFill>
            <w14:solidFill>
              <w14:schemeClr w14:val="tx1"/>
            </w14:solidFill>
          </w14:textFill>
        </w:rPr>
        <w:t>（三）咨询管理类专家应当符合下列专业条件：</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92" w:firstLineChars="200"/>
        <w:jc w:val="both"/>
        <w:textAlignment w:val="auto"/>
        <w:outlineLvl w:val="2"/>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13"/>
          <w:sz w:val="32"/>
          <w:szCs w:val="32"/>
          <w14:textFill>
            <w14:solidFill>
              <w14:schemeClr w14:val="tx1"/>
            </w14:solidFill>
          </w14:textFill>
        </w:rPr>
        <w:t>1.申请人是物业服务企业从业人员的，应具备如下条件之</w:t>
      </w:r>
      <w:r>
        <w:rPr>
          <w:rFonts w:ascii="仿宋" w:hAnsi="仿宋" w:eastAsia="仿宋" w:cs="仿宋"/>
          <w:color w:val="000000" w:themeColor="text1"/>
          <w:spacing w:val="-9"/>
          <w:sz w:val="32"/>
          <w:szCs w:val="32"/>
          <w14:textFill>
            <w14:solidFill>
              <w14:schemeClr w14:val="tx1"/>
            </w14:solidFill>
          </w14:textFill>
        </w:rPr>
        <w:t>一：</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6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7"/>
          <w:sz w:val="32"/>
          <w:szCs w:val="32"/>
          <w14:textFill>
            <w14:solidFill>
              <w14:schemeClr w14:val="tx1"/>
            </w14:solidFill>
          </w14:textFill>
        </w:rPr>
        <w:t>（1）近10年内有不少于8年物业服务管理从业经历；</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72"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8"/>
          <w:sz w:val="32"/>
          <w:szCs w:val="32"/>
          <w14:textFill>
            <w14:solidFill>
              <w14:schemeClr w14:val="tx1"/>
            </w14:solidFill>
          </w14:textFill>
        </w:rPr>
        <w:t>（2）具有高级以上专业技术职称或者同等专业水平；</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8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ascii="仿宋" w:hAnsi="仿宋" w:eastAsia="仿宋" w:cs="仿宋"/>
          <w:color w:val="000000" w:themeColor="text1"/>
          <w:spacing w:val="10"/>
          <w:sz w:val="32"/>
          <w:szCs w:val="32"/>
          <w14:textFill>
            <w14:solidFill>
              <w14:schemeClr w14:val="tx1"/>
            </w14:solidFill>
          </w14:textFill>
        </w:rPr>
        <w:t>（3）近5年内有参与不少于2项物业行业发展规划、立法</w:t>
      </w:r>
      <w:r>
        <w:rPr>
          <w:rFonts w:ascii="仿宋" w:hAnsi="仿宋" w:eastAsia="仿宋" w:cs="仿宋"/>
          <w:color w:val="000000" w:themeColor="text1"/>
          <w:spacing w:val="9"/>
          <w:sz w:val="32"/>
          <w:szCs w:val="32"/>
          <w14:textFill>
            <w14:solidFill>
              <w14:schemeClr w14:val="tx1"/>
            </w14:solidFill>
          </w14:textFill>
        </w:rPr>
        <w:t>或者课题项目研究经历，在</w:t>
      </w:r>
      <w:r>
        <w:rPr>
          <w:rFonts w:ascii="仿宋" w:hAnsi="仿宋" w:eastAsia="仿宋" w:cs="仿宋"/>
          <w:color w:val="000000" w:themeColor="text1"/>
          <w:sz w:val="32"/>
          <w:szCs w:val="32"/>
          <w14:textFill>
            <w14:solidFill>
              <w14:schemeClr w14:val="tx1"/>
            </w14:solidFill>
          </w14:textFill>
        </w:rPr>
        <w:t>CN</w:t>
      </w:r>
      <w:r>
        <w:rPr>
          <w:rFonts w:ascii="仿宋" w:hAnsi="仿宋" w:eastAsia="仿宋" w:cs="仿宋"/>
          <w:color w:val="000000" w:themeColor="text1"/>
          <w:spacing w:val="9"/>
          <w:sz w:val="32"/>
          <w:szCs w:val="32"/>
          <w14:textFill>
            <w14:solidFill>
              <w14:schemeClr w14:val="tx1"/>
            </w14:solidFill>
          </w14:textFill>
        </w:rPr>
        <w:t>刊号杂志发表过两篇以上物业管</w:t>
      </w:r>
      <w:r>
        <w:rPr>
          <w:rFonts w:ascii="仿宋" w:hAnsi="仿宋" w:eastAsia="仿宋" w:cs="仿宋"/>
          <w:color w:val="000000" w:themeColor="text1"/>
          <w:spacing w:val="6"/>
          <w:sz w:val="32"/>
          <w:szCs w:val="32"/>
          <w14:textFill>
            <w14:solidFill>
              <w14:schemeClr w14:val="tx1"/>
            </w14:solidFill>
          </w14:textFill>
        </w:rPr>
        <w:t>理相关文章；在省级以上刊物发表过2篇以上相关学术论文者优</w:t>
      </w:r>
      <w:r>
        <w:rPr>
          <w:rFonts w:ascii="仿宋" w:hAnsi="仿宋" w:eastAsia="仿宋" w:cs="仿宋"/>
          <w:color w:val="000000" w:themeColor="text1"/>
          <w:spacing w:val="-8"/>
          <w:sz w:val="32"/>
          <w:szCs w:val="32"/>
          <w14:textFill>
            <w14:solidFill>
              <w14:schemeClr w14:val="tx1"/>
            </w14:solidFill>
          </w14:textFill>
        </w:rPr>
        <w:t>先</w:t>
      </w:r>
      <w:r>
        <w:rPr>
          <w:rFonts w:hint="eastAsia" w:ascii="仿宋" w:hAnsi="仿宋" w:eastAsia="仿宋" w:cs="仿宋"/>
          <w:color w:val="000000" w:themeColor="text1"/>
          <w:spacing w:val="-8"/>
          <w:sz w:val="32"/>
          <w:szCs w:val="32"/>
          <w:lang w:eastAsia="zh-CN"/>
          <w14:textFill>
            <w14:solidFill>
              <w14:schemeClr w14:val="tx1"/>
            </w14:solidFill>
          </w14:textFill>
        </w:rPr>
        <w:t>。</w:t>
      </w:r>
    </w:p>
    <w:p>
      <w:pPr>
        <w:widowControl w:val="0"/>
        <w:kinsoku/>
        <w:autoSpaceDE/>
        <w:autoSpaceDN/>
        <w:spacing w:line="579" w:lineRule="exact"/>
        <w:ind w:left="0" w:right="0" w:firstLine="696" w:firstLineChars="200"/>
        <w:jc w:val="both"/>
        <w:textAlignment w:val="auto"/>
        <w:rPr>
          <w:rFonts w:ascii="仿宋" w:hAnsi="仿宋" w:eastAsia="仿宋" w:cs="仿宋"/>
          <w:color w:val="000000" w:themeColor="text1"/>
          <w:spacing w:val="-9"/>
          <w:sz w:val="32"/>
          <w:szCs w:val="32"/>
          <w14:textFill>
            <w14:solidFill>
              <w14:schemeClr w14:val="tx1"/>
            </w14:solidFill>
          </w14:textFill>
        </w:rPr>
      </w:pPr>
      <w:r>
        <w:rPr>
          <w:rFonts w:ascii="仿宋" w:hAnsi="仿宋" w:eastAsia="仿宋" w:cs="仿宋"/>
          <w:color w:val="000000" w:themeColor="text1"/>
          <w:spacing w:val="14"/>
          <w:sz w:val="32"/>
          <w:szCs w:val="32"/>
          <w14:textFill>
            <w14:solidFill>
              <w14:schemeClr w14:val="tx1"/>
            </w14:solidFill>
          </w14:textFill>
        </w:rPr>
        <w:t>2.申请人非物业服务企业从业人员的，应</w:t>
      </w:r>
      <w:r>
        <w:rPr>
          <w:rFonts w:ascii="仿宋" w:hAnsi="仿宋" w:eastAsia="仿宋" w:cs="仿宋"/>
          <w:color w:val="000000" w:themeColor="text1"/>
          <w:spacing w:val="13"/>
          <w:sz w:val="32"/>
          <w:szCs w:val="32"/>
          <w14:textFill>
            <w14:solidFill>
              <w14:schemeClr w14:val="tx1"/>
            </w14:solidFill>
          </w14:textFill>
        </w:rPr>
        <w:t>具备如下条件之</w:t>
      </w:r>
      <w:r>
        <w:rPr>
          <w:rFonts w:ascii="仿宋" w:hAnsi="仿宋" w:eastAsia="仿宋" w:cs="仿宋"/>
          <w:color w:val="000000" w:themeColor="text1"/>
          <w:spacing w:val="-9"/>
          <w:sz w:val="32"/>
          <w:szCs w:val="32"/>
          <w14:textFill>
            <w14:solidFill>
              <w14:schemeClr w14:val="tx1"/>
            </w14:solidFill>
          </w14:textFill>
        </w:rPr>
        <w:t>一：</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8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12"/>
          <w:sz w:val="32"/>
          <w:szCs w:val="32"/>
          <w14:textFill>
            <w14:solidFill>
              <w14:schemeClr w14:val="tx1"/>
            </w14:solidFill>
          </w14:textFill>
        </w:rPr>
        <w:t>（1）行政主管部门长期从事物业管理或者相关研究的满3</w:t>
      </w:r>
      <w:r>
        <w:rPr>
          <w:rFonts w:ascii="仿宋" w:hAnsi="仿宋" w:eastAsia="仿宋" w:cs="仿宋"/>
          <w:color w:val="000000" w:themeColor="text1"/>
          <w:spacing w:val="5"/>
          <w:sz w:val="32"/>
          <w:szCs w:val="32"/>
          <w14:textFill>
            <w14:solidFill>
              <w14:schemeClr w14:val="tx1"/>
            </w14:solidFill>
          </w14:textFill>
        </w:rPr>
        <w:t>年以上且有一定工作经验和业务能力的行政管理人员（非公务员</w:t>
      </w:r>
      <w:r>
        <w:rPr>
          <w:rFonts w:ascii="仿宋" w:hAnsi="仿宋" w:eastAsia="仿宋" w:cs="仿宋"/>
          <w:color w:val="000000" w:themeColor="text1"/>
          <w:spacing w:val="-3"/>
          <w:sz w:val="32"/>
          <w:szCs w:val="32"/>
          <w14:textFill>
            <w14:solidFill>
              <w14:schemeClr w14:val="tx1"/>
            </w14:solidFill>
          </w14:textFill>
        </w:rPr>
        <w:t>编制</w:t>
      </w:r>
      <w:r>
        <w:rPr>
          <w:rFonts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80"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10"/>
          <w:sz w:val="32"/>
          <w:szCs w:val="32"/>
          <w14:textFill>
            <w14:solidFill>
              <w14:schemeClr w14:val="tx1"/>
            </w14:solidFill>
          </w14:textFill>
        </w:rPr>
        <w:t>（2）从事物业管理教育、律师、行业协会相关人员入选专</w:t>
      </w:r>
      <w:r>
        <w:rPr>
          <w:rFonts w:ascii="仿宋" w:hAnsi="仿宋" w:eastAsia="仿宋" w:cs="仿宋"/>
          <w:color w:val="000000" w:themeColor="text1"/>
          <w:spacing w:val="5"/>
          <w:sz w:val="32"/>
          <w:szCs w:val="32"/>
          <w14:textFill>
            <w14:solidFill>
              <w14:schemeClr w14:val="tx1"/>
            </w14:solidFill>
          </w14:textFill>
        </w:rPr>
        <w:t>家，应具有副高级及以上的专业技术职称或者持有律师执业资格</w:t>
      </w:r>
      <w:r>
        <w:rPr>
          <w:rFonts w:ascii="仿宋" w:hAnsi="仿宋" w:eastAsia="仿宋" w:cs="仿宋"/>
          <w:color w:val="000000" w:themeColor="text1"/>
          <w:spacing w:val="7"/>
          <w:sz w:val="32"/>
          <w:szCs w:val="32"/>
          <w14:textFill>
            <w14:solidFill>
              <w14:schemeClr w14:val="tx1"/>
            </w14:solidFill>
          </w14:textFill>
        </w:rPr>
        <w:t>满五年以上，代理过5件以上物业管理的诉讼案件，并且</w:t>
      </w:r>
      <w:r>
        <w:rPr>
          <w:rFonts w:ascii="仿宋" w:hAnsi="仿宋" w:eastAsia="仿宋" w:cs="仿宋"/>
          <w:color w:val="000000" w:themeColor="text1"/>
          <w:spacing w:val="6"/>
          <w:sz w:val="32"/>
          <w:szCs w:val="32"/>
          <w14:textFill>
            <w14:solidFill>
              <w14:schemeClr w14:val="tx1"/>
            </w14:solidFill>
          </w14:textFill>
        </w:rPr>
        <w:t>在物业</w:t>
      </w:r>
      <w:r>
        <w:rPr>
          <w:rFonts w:ascii="仿宋" w:hAnsi="仿宋" w:eastAsia="仿宋" w:cs="仿宋"/>
          <w:color w:val="000000" w:themeColor="text1"/>
          <w:spacing w:val="7"/>
          <w:sz w:val="32"/>
          <w:szCs w:val="32"/>
          <w14:textFill>
            <w14:solidFill>
              <w14:schemeClr w14:val="tx1"/>
            </w14:solidFill>
          </w14:textFill>
        </w:rPr>
        <w:t>管理活动中做出过贡献的人员；</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80"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10"/>
          <w:sz w:val="32"/>
          <w:szCs w:val="32"/>
          <w14:textFill>
            <w14:solidFill>
              <w14:schemeClr w14:val="tx1"/>
            </w14:solidFill>
          </w14:textFill>
        </w:rPr>
        <w:t>（3）承担或者参与过市级以上物业行业相关法律法规、政</w:t>
      </w:r>
      <w:r>
        <w:rPr>
          <w:rFonts w:ascii="仿宋" w:hAnsi="仿宋" w:eastAsia="仿宋" w:cs="仿宋"/>
          <w:color w:val="000000" w:themeColor="text1"/>
          <w:spacing w:val="7"/>
          <w:sz w:val="32"/>
          <w:szCs w:val="32"/>
          <w14:textFill>
            <w14:solidFill>
              <w14:schemeClr w14:val="tx1"/>
            </w14:solidFill>
          </w14:textFill>
        </w:rPr>
        <w:t>策规定、行业规范标准的起草、制定。</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70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pacing w:val="16"/>
          <w:sz w:val="32"/>
          <w:szCs w:val="32"/>
          <w14:textFill>
            <w14:solidFill>
              <w14:schemeClr w14:val="tx1"/>
            </w14:solidFill>
          </w14:textFill>
        </w:rPr>
        <w:t>第十条</w:t>
      </w:r>
      <w:r>
        <w:rPr>
          <w:rFonts w:hint="eastAsia" w:ascii="仿宋" w:hAnsi="仿宋" w:eastAsia="仿宋" w:cs="仿宋"/>
          <w:color w:val="000000" w:themeColor="text1"/>
          <w:spacing w:val="8"/>
          <w:sz w:val="32"/>
          <w:szCs w:val="32"/>
          <w14:textFill>
            <w14:solidFill>
              <w14:schemeClr w14:val="tx1"/>
            </w14:solidFill>
          </w14:textFill>
        </w:rPr>
        <w:t xml:space="preserve">  </w:t>
      </w:r>
      <w:r>
        <w:rPr>
          <w:rFonts w:ascii="仿宋" w:hAnsi="仿宋" w:eastAsia="仿宋" w:cs="仿宋"/>
          <w:color w:val="000000" w:themeColor="text1"/>
          <w:spacing w:val="8"/>
          <w:sz w:val="32"/>
          <w:szCs w:val="32"/>
          <w14:textFill>
            <w14:solidFill>
              <w14:schemeClr w14:val="tx1"/>
            </w14:solidFill>
          </w14:textFill>
        </w:rPr>
        <w:t>有下列情形之一的人员，不得入选专家库：</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72"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8"/>
          <w:sz w:val="32"/>
          <w:szCs w:val="32"/>
          <w14:textFill>
            <w14:solidFill>
              <w14:schemeClr w14:val="tx1"/>
            </w14:solidFill>
          </w14:textFill>
        </w:rPr>
        <w:t>（一）无民事行为能力或者限制民事行为能力的；</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（二）有违纪违法或违反物业管理相关法律法规等不良记录</w:t>
      </w:r>
      <w:r>
        <w:rPr>
          <w:rFonts w:ascii="仿宋" w:hAnsi="仿宋" w:eastAsia="仿宋" w:cs="仿宋"/>
          <w:color w:val="000000" w:themeColor="text1"/>
          <w:spacing w:val="-16"/>
          <w:sz w:val="32"/>
          <w:szCs w:val="32"/>
          <w14:textFill>
            <w14:solidFill>
              <w14:schemeClr w14:val="tx1"/>
            </w14:solidFill>
          </w14:textFill>
        </w:rPr>
        <w:t>的；</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44"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1"/>
          <w:sz w:val="32"/>
          <w:szCs w:val="32"/>
          <w14:textFill>
            <w14:solidFill>
              <w14:schemeClr w14:val="tx1"/>
            </w14:solidFill>
          </w14:textFill>
        </w:rPr>
        <w:t>（三）曾被清退出专家库的；</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72"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8"/>
          <w:sz w:val="32"/>
          <w:szCs w:val="32"/>
          <w14:textFill>
            <w14:solidFill>
              <w14:schemeClr w14:val="tx1"/>
            </w14:solidFill>
          </w14:textFill>
        </w:rPr>
        <w:t>（四）法律、法规、规章规定的其他情形。</w:t>
      </w:r>
    </w:p>
    <w:p>
      <w:pPr>
        <w:keepNext w:val="0"/>
        <w:keepLines w:val="0"/>
        <w:pageBreakBefore w:val="0"/>
        <w:widowControl w:val="0"/>
        <w:kinsoku/>
        <w:wordWrap/>
        <w:overflowPunct/>
        <w:topLinePunct w:val="0"/>
        <w:autoSpaceDE/>
        <w:autoSpaceDN/>
        <w:bidi w:val="0"/>
        <w:adjustRightInd w:val="0"/>
        <w:snapToGrid w:val="0"/>
        <w:spacing w:line="579" w:lineRule="exact"/>
        <w:ind w:firstLine="70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pacing w:val="16"/>
          <w:sz w:val="32"/>
          <w:szCs w:val="32"/>
          <w14:textFill>
            <w14:solidFill>
              <w14:schemeClr w14:val="tx1"/>
            </w14:solidFill>
          </w14:textFill>
        </w:rPr>
        <w:t>第十一条</w:t>
      </w:r>
      <w:r>
        <w:rPr>
          <w:rFonts w:hint="eastAsia" w:ascii="仿宋" w:hAnsi="仿宋" w:eastAsia="仿宋" w:cs="仿宋"/>
          <w:color w:val="000000" w:themeColor="text1"/>
          <w:spacing w:val="4"/>
          <w:sz w:val="32"/>
          <w:szCs w:val="32"/>
          <w14:textFill>
            <w14:solidFill>
              <w14:schemeClr w14:val="tx1"/>
            </w14:solidFill>
          </w14:textFill>
        </w:rPr>
        <w:t xml:space="preserve">  </w:t>
      </w:r>
      <w:r>
        <w:rPr>
          <w:rFonts w:ascii="仿宋" w:hAnsi="仿宋" w:eastAsia="仿宋" w:cs="仿宋"/>
          <w:color w:val="000000" w:themeColor="text1"/>
          <w:spacing w:val="4"/>
          <w:sz w:val="32"/>
          <w:szCs w:val="32"/>
          <w14:textFill>
            <w14:solidFill>
              <w14:schemeClr w14:val="tx1"/>
            </w14:solidFill>
          </w14:textFill>
        </w:rPr>
        <w:t>符合本办法第八条、第九条规定条件的人员申请</w:t>
      </w:r>
      <w:r>
        <w:rPr>
          <w:rFonts w:ascii="仿宋" w:hAnsi="仿宋" w:eastAsia="仿宋" w:cs="仿宋"/>
          <w:color w:val="000000" w:themeColor="text1"/>
          <w:spacing w:val="5"/>
          <w:sz w:val="32"/>
          <w:szCs w:val="32"/>
          <w14:textFill>
            <w14:solidFill>
              <w14:schemeClr w14:val="tx1"/>
            </w14:solidFill>
          </w14:textFill>
        </w:rPr>
        <w:t>入选专家库，应当根据自身具备的专业条件和实际情况，选择申</w:t>
      </w:r>
      <w:r>
        <w:rPr>
          <w:rFonts w:ascii="仿宋" w:hAnsi="仿宋" w:eastAsia="仿宋" w:cs="仿宋"/>
          <w:color w:val="000000" w:themeColor="text1"/>
          <w:spacing w:val="7"/>
          <w:sz w:val="32"/>
          <w:szCs w:val="32"/>
          <w14:textFill>
            <w14:solidFill>
              <w14:schemeClr w14:val="tx1"/>
            </w14:solidFill>
          </w14:textFill>
        </w:rPr>
        <w:t>请入选一类或者多类专家。</w:t>
      </w:r>
    </w:p>
    <w:p>
      <w:pPr>
        <w:keepNext w:val="0"/>
        <w:keepLines w:val="0"/>
        <w:pageBreakBefore w:val="0"/>
        <w:widowControl w:val="0"/>
        <w:kinsoku/>
        <w:wordWrap/>
        <w:overflowPunct/>
        <w:topLinePunct w:val="0"/>
        <w:autoSpaceDE/>
        <w:autoSpaceDN/>
        <w:bidi w:val="0"/>
        <w:adjustRightInd w:val="0"/>
        <w:snapToGrid w:val="0"/>
        <w:spacing w:line="579" w:lineRule="exact"/>
        <w:ind w:firstLine="660"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5"/>
          <w:sz w:val="32"/>
          <w:szCs w:val="32"/>
          <w14:textFill>
            <w14:solidFill>
              <w14:schemeClr w14:val="tx1"/>
            </w14:solidFill>
          </w14:textFill>
        </w:rPr>
        <w:t>入选专家库可能影响所服务单位正常工作的</w:t>
      </w:r>
      <w:r>
        <w:rPr>
          <w:rFonts w:ascii="仿宋" w:hAnsi="仿宋" w:eastAsia="仿宋" w:cs="仿宋"/>
          <w:color w:val="000000" w:themeColor="text1"/>
          <w:spacing w:val="4"/>
          <w:sz w:val="32"/>
          <w:szCs w:val="32"/>
          <w14:textFill>
            <w14:solidFill>
              <w14:schemeClr w14:val="tx1"/>
            </w14:solidFill>
          </w14:textFill>
        </w:rPr>
        <w:t>，申请人员应当</w:t>
      </w:r>
      <w:r>
        <w:rPr>
          <w:rFonts w:ascii="仿宋" w:hAnsi="仿宋" w:eastAsia="仿宋" w:cs="仿宋"/>
          <w:color w:val="000000" w:themeColor="text1"/>
          <w:spacing w:val="7"/>
          <w:sz w:val="32"/>
          <w:szCs w:val="32"/>
          <w14:textFill>
            <w14:solidFill>
              <w14:schemeClr w14:val="tx1"/>
            </w14:solidFill>
          </w14:textFill>
        </w:rPr>
        <w:t>事先征得服务单位同意。</w:t>
      </w:r>
    </w:p>
    <w:p>
      <w:pPr>
        <w:pStyle w:val="4"/>
        <w:keepNext w:val="0"/>
        <w:keepLines w:val="0"/>
        <w:pageBreakBefore w:val="0"/>
        <w:widowControl w:val="0"/>
        <w:kinsoku/>
        <w:wordWrap/>
        <w:overflowPunct/>
        <w:topLinePunct w:val="0"/>
        <w:autoSpaceDE/>
        <w:autoSpaceDN/>
        <w:bidi w:val="0"/>
        <w:adjustRightInd w:val="0"/>
        <w:snapToGrid w:val="0"/>
        <w:spacing w:line="579" w:lineRule="exact"/>
        <w:ind w:firstLine="706"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pacing w:val="16"/>
          <w:sz w:val="32"/>
          <w:szCs w:val="32"/>
          <w14:textFill>
            <w14:solidFill>
              <w14:schemeClr w14:val="tx1"/>
            </w14:solidFill>
          </w14:textFill>
        </w:rPr>
        <w:t>第十二条</w:t>
      </w:r>
      <w:r>
        <w:rPr>
          <w:rFonts w:hint="eastAsia" w:ascii="仿宋" w:hAnsi="仿宋" w:eastAsia="仿宋" w:cs="仿宋"/>
          <w:color w:val="000000" w:themeColor="text1"/>
          <w:spacing w:val="10"/>
          <w:sz w:val="32"/>
          <w:szCs w:val="32"/>
          <w14:textFill>
            <w14:solidFill>
              <w14:schemeClr w14:val="tx1"/>
            </w14:solidFill>
          </w14:textFill>
        </w:rPr>
        <w:t xml:space="preserve">  </w:t>
      </w:r>
      <w:r>
        <w:rPr>
          <w:rFonts w:ascii="仿宋" w:hAnsi="仿宋" w:eastAsia="仿宋" w:cs="仿宋"/>
          <w:color w:val="000000" w:themeColor="text1"/>
          <w:spacing w:val="10"/>
          <w:sz w:val="32"/>
          <w:szCs w:val="32"/>
          <w14:textFill>
            <w14:solidFill>
              <w14:schemeClr w14:val="tx1"/>
            </w14:solidFill>
          </w14:textFill>
        </w:rPr>
        <w:t>入库专家由珠海市级物业管理行业专家资格评</w:t>
      </w:r>
      <w:r>
        <w:rPr>
          <w:rFonts w:ascii="仿宋" w:hAnsi="仿宋" w:eastAsia="仿宋" w:cs="仿宋"/>
          <w:color w:val="000000" w:themeColor="text1"/>
          <w:spacing w:val="7"/>
          <w:sz w:val="32"/>
          <w:szCs w:val="32"/>
          <w14:textFill>
            <w14:solidFill>
              <w14:schemeClr w14:val="tx1"/>
            </w14:solidFill>
          </w14:textFill>
        </w:rPr>
        <w:t>审小组（以下简称评审小组）负责资格评审。</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firstLine="624"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评审小组由市物业行政主管部门负责组建，成员为不少</w:t>
      </w:r>
      <w:r>
        <w:rPr>
          <w:rFonts w:hint="eastAsia" w:ascii="仿宋" w:hAnsi="仿宋" w:eastAsia="仿宋" w:cs="仿宋"/>
          <w:color w:val="000000" w:themeColor="text1"/>
          <w:spacing w:val="-4"/>
          <w:sz w:val="32"/>
          <w:szCs w:val="32"/>
          <w:lang w:val="en-US" w:eastAsia="zh-CN"/>
          <w14:textFill>
            <w14:solidFill>
              <w14:schemeClr w14:val="tx1"/>
            </w14:solidFill>
          </w14:textFill>
        </w:rPr>
        <w:t>于</w:t>
      </w:r>
      <w:r>
        <w:rPr>
          <w:rFonts w:ascii="仿宋" w:hAnsi="仿宋" w:eastAsia="仿宋" w:cs="仿宋"/>
          <w:color w:val="000000" w:themeColor="text1"/>
          <w:spacing w:val="-4"/>
          <w:sz w:val="32"/>
          <w:szCs w:val="32"/>
          <w14:textFill>
            <w14:solidFill>
              <w14:schemeClr w14:val="tx1"/>
            </w14:solidFill>
          </w14:textFill>
        </w:rPr>
        <w:t>5人</w:t>
      </w:r>
      <w:r>
        <w:rPr>
          <w:rFonts w:ascii="仿宋" w:hAnsi="仿宋" w:eastAsia="仿宋" w:cs="仿宋"/>
          <w:color w:val="000000" w:themeColor="text1"/>
          <w:spacing w:val="5"/>
          <w:sz w:val="32"/>
          <w:szCs w:val="32"/>
          <w14:textFill>
            <w14:solidFill>
              <w14:schemeClr w14:val="tx1"/>
            </w14:solidFill>
          </w14:textFill>
        </w:rPr>
        <w:t>的单数。评审小组成员从市级相关行业主管部</w:t>
      </w:r>
      <w:r>
        <w:rPr>
          <w:rFonts w:ascii="仿宋" w:hAnsi="仿宋" w:eastAsia="仿宋" w:cs="仿宋"/>
          <w:color w:val="000000" w:themeColor="text1"/>
          <w:spacing w:val="4"/>
          <w:sz w:val="32"/>
          <w:szCs w:val="32"/>
          <w14:textFill>
            <w14:solidFill>
              <w14:schemeClr w14:val="tx1"/>
            </w14:solidFill>
          </w14:textFill>
        </w:rPr>
        <w:t>门、物业行业协会</w:t>
      </w:r>
      <w:r>
        <w:rPr>
          <w:rFonts w:ascii="仿宋" w:hAnsi="仿宋" w:eastAsia="仿宋" w:cs="仿宋"/>
          <w:color w:val="000000" w:themeColor="text1"/>
          <w:spacing w:val="5"/>
          <w:sz w:val="32"/>
          <w:szCs w:val="32"/>
          <w14:textFill>
            <w14:solidFill>
              <w14:schemeClr w14:val="tx1"/>
            </w14:solidFill>
          </w14:textFill>
        </w:rPr>
        <w:t>等单位和人员中产生。</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64"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6"/>
          <w:sz w:val="32"/>
          <w:szCs w:val="32"/>
          <w14:textFill>
            <w14:solidFill>
              <w14:schemeClr w14:val="tx1"/>
            </w14:solidFill>
          </w14:textFill>
        </w:rPr>
        <w:t>评审委员小组应遵循公开、公平、公正和实事求是的原则，</w:t>
      </w:r>
      <w:r>
        <w:rPr>
          <w:rFonts w:ascii="仿宋" w:hAnsi="仿宋" w:eastAsia="仿宋" w:cs="仿宋"/>
          <w:color w:val="000000" w:themeColor="text1"/>
          <w:spacing w:val="5"/>
          <w:sz w:val="32"/>
          <w:szCs w:val="32"/>
          <w14:textFill>
            <w14:solidFill>
              <w14:schemeClr w14:val="tx1"/>
            </w14:solidFill>
          </w14:textFill>
        </w:rPr>
        <w:t>行使下列职权：</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64"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6"/>
          <w:sz w:val="32"/>
          <w:szCs w:val="32"/>
          <w14:textFill>
            <w14:solidFill>
              <w14:schemeClr w14:val="tx1"/>
            </w14:solidFill>
          </w14:textFill>
        </w:rPr>
        <w:t>（一）监督本办法的实施；</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72"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8"/>
          <w:sz w:val="32"/>
          <w:szCs w:val="32"/>
          <w14:textFill>
            <w14:solidFill>
              <w14:schemeClr w14:val="tx1"/>
            </w14:solidFill>
          </w14:textFill>
        </w:rPr>
        <w:t>（二）对专家申请人的资格进行审核和表决；</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6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7"/>
          <w:sz w:val="32"/>
          <w:szCs w:val="32"/>
          <w14:textFill>
            <w14:solidFill>
              <w14:schemeClr w14:val="tx1"/>
            </w14:solidFill>
          </w14:textFill>
        </w:rPr>
        <w:t>（三）指导、监督专家开展活动；</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72"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8"/>
          <w:sz w:val="32"/>
          <w:szCs w:val="32"/>
          <w14:textFill>
            <w14:solidFill>
              <w14:schemeClr w14:val="tx1"/>
            </w14:solidFill>
          </w14:textFill>
        </w:rPr>
        <w:t>（四）对专家作出维持或者取消资格的决定。</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70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pacing w:val="16"/>
          <w:sz w:val="32"/>
          <w:szCs w:val="32"/>
          <w14:textFill>
            <w14:solidFill>
              <w14:schemeClr w14:val="tx1"/>
            </w14:solidFill>
          </w14:textFill>
        </w:rPr>
        <w:t>第十三条</w:t>
      </w:r>
      <w:r>
        <w:rPr>
          <w:rFonts w:hint="eastAsia" w:ascii="仿宋" w:hAnsi="仿宋" w:eastAsia="仿宋" w:cs="仿宋"/>
          <w:color w:val="000000" w:themeColor="text1"/>
          <w:spacing w:val="43"/>
          <w:sz w:val="32"/>
          <w:szCs w:val="32"/>
          <w14:textFill>
            <w14:solidFill>
              <w14:schemeClr w14:val="tx1"/>
            </w14:solidFill>
          </w14:textFill>
        </w:rPr>
        <w:t xml:space="preserve">  </w:t>
      </w:r>
      <w:r>
        <w:rPr>
          <w:rFonts w:ascii="仿宋" w:hAnsi="仿宋" w:eastAsia="仿宋" w:cs="仿宋"/>
          <w:color w:val="000000" w:themeColor="text1"/>
          <w:spacing w:val="5"/>
          <w:sz w:val="32"/>
          <w:szCs w:val="32"/>
          <w14:textFill>
            <w14:solidFill>
              <w14:schemeClr w14:val="tx1"/>
            </w14:solidFill>
          </w14:textFill>
        </w:rPr>
        <w:t>申请入选专家库应当提交以下书面资料：</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60"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5"/>
          <w:sz w:val="32"/>
          <w:szCs w:val="32"/>
          <w14:textFill>
            <w14:solidFill>
              <w14:schemeClr w14:val="tx1"/>
            </w14:solidFill>
          </w14:textFill>
        </w:rPr>
        <w:t>（一）登</w:t>
      </w:r>
      <w:r>
        <w:rPr>
          <w:rFonts w:hint="eastAsia" w:ascii="仿宋" w:hAnsi="仿宋" w:eastAsia="仿宋" w:cs="仿宋"/>
          <w:color w:val="000000" w:themeColor="text1"/>
          <w:spacing w:val="5"/>
          <w:sz w:val="32"/>
          <w:szCs w:val="32"/>
          <w:lang w:eastAsia="zh-CN"/>
          <w14:textFill>
            <w14:solidFill>
              <w14:schemeClr w14:val="tx1"/>
            </w14:solidFill>
          </w14:textFill>
        </w:rPr>
        <w:t>录</w:t>
      </w:r>
      <w:r>
        <w:rPr>
          <w:rFonts w:ascii="仿宋" w:hAnsi="仿宋" w:eastAsia="仿宋" w:cs="仿宋"/>
          <w:color w:val="000000" w:themeColor="text1"/>
          <w:spacing w:val="5"/>
          <w:sz w:val="32"/>
          <w:szCs w:val="32"/>
          <w14:textFill>
            <w14:solidFill>
              <w14:schemeClr w14:val="tx1"/>
            </w14:solidFill>
          </w14:textFill>
        </w:rPr>
        <w:t>珠海市住房和城乡建设局网站，下载《珠海市物业管理行业专家申请表》，申请表经所在单位签署意见并加盖印</w:t>
      </w:r>
      <w:r>
        <w:rPr>
          <w:rFonts w:ascii="仿宋" w:hAnsi="仿宋" w:eastAsia="仿宋" w:cs="仿宋"/>
          <w:color w:val="000000" w:themeColor="text1"/>
          <w:spacing w:val="3"/>
          <w:sz w:val="32"/>
          <w:szCs w:val="32"/>
          <w14:textFill>
            <w14:solidFill>
              <w14:schemeClr w14:val="tx1"/>
            </w14:solidFill>
          </w14:textFill>
        </w:rPr>
        <w:t>章</w:t>
      </w:r>
      <w:r>
        <w:rPr>
          <w:rFonts w:hint="eastAsia" w:ascii="仿宋" w:hAnsi="仿宋" w:eastAsia="仿宋" w:cs="仿宋"/>
          <w:color w:val="000000" w:themeColor="text1"/>
          <w:spacing w:val="7"/>
          <w:sz w:val="32"/>
          <w:szCs w:val="32"/>
          <w:lang w:eastAsia="zh-CN"/>
          <w14:textFill>
            <w14:solidFill>
              <w14:schemeClr w14:val="tx1"/>
            </w14:solidFill>
          </w14:textFill>
        </w:rPr>
        <w:t>（</w:t>
      </w:r>
      <w:r>
        <w:rPr>
          <w:rFonts w:ascii="仿宋" w:hAnsi="仿宋" w:eastAsia="仿宋" w:cs="仿宋"/>
          <w:color w:val="000000" w:themeColor="text1"/>
          <w:spacing w:val="3"/>
          <w:sz w:val="32"/>
          <w:szCs w:val="32"/>
          <w14:textFill>
            <w14:solidFill>
              <w14:schemeClr w14:val="tx1"/>
            </w14:solidFill>
          </w14:textFill>
        </w:rPr>
        <w:t>原件</w:t>
      </w:r>
      <w:r>
        <w:rPr>
          <w:rFonts w:hint="eastAsia" w:ascii="仿宋" w:hAnsi="仿宋" w:eastAsia="仿宋" w:cs="仿宋"/>
          <w:color w:val="000000" w:themeColor="text1"/>
          <w:spacing w:val="7"/>
          <w:sz w:val="32"/>
          <w:szCs w:val="32"/>
          <w:lang w:eastAsia="zh-CN"/>
          <w14:textFill>
            <w14:solidFill>
              <w14:schemeClr w14:val="tx1"/>
            </w14:solidFill>
          </w14:textFill>
        </w:rPr>
        <w:t>）</w:t>
      </w:r>
      <w:r>
        <w:rPr>
          <w:rFonts w:ascii="仿宋" w:hAnsi="仿宋" w:eastAsia="仿宋" w:cs="仿宋"/>
          <w:color w:val="000000" w:themeColor="text1"/>
          <w:spacing w:val="3"/>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6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7"/>
          <w:sz w:val="32"/>
          <w:szCs w:val="32"/>
          <w14:textFill>
            <w14:solidFill>
              <w14:schemeClr w14:val="tx1"/>
            </w14:solidFill>
          </w14:textFill>
        </w:rPr>
        <w:t>（二）身份证</w:t>
      </w:r>
      <w:r>
        <w:rPr>
          <w:rFonts w:hint="eastAsia" w:ascii="仿宋" w:hAnsi="仿宋" w:eastAsia="仿宋" w:cs="仿宋"/>
          <w:color w:val="000000" w:themeColor="text1"/>
          <w:spacing w:val="7"/>
          <w:sz w:val="32"/>
          <w:szCs w:val="32"/>
          <w:lang w:eastAsia="zh-CN"/>
          <w14:textFill>
            <w14:solidFill>
              <w14:schemeClr w14:val="tx1"/>
            </w14:solidFill>
          </w14:textFill>
        </w:rPr>
        <w:t>（</w:t>
      </w:r>
      <w:r>
        <w:rPr>
          <w:rFonts w:ascii="仿宋" w:hAnsi="仿宋" w:eastAsia="仿宋" w:cs="仿宋"/>
          <w:color w:val="000000" w:themeColor="text1"/>
          <w:spacing w:val="7"/>
          <w:sz w:val="32"/>
          <w:szCs w:val="32"/>
          <w14:textFill>
            <w14:solidFill>
              <w14:schemeClr w14:val="tx1"/>
            </w14:solidFill>
          </w14:textFill>
        </w:rPr>
        <w:t>复印件，核对原件</w:t>
      </w:r>
      <w:r>
        <w:rPr>
          <w:rFonts w:hint="eastAsia" w:ascii="仿宋" w:hAnsi="仿宋" w:eastAsia="仿宋" w:cs="仿宋"/>
          <w:color w:val="000000" w:themeColor="text1"/>
          <w:spacing w:val="7"/>
          <w:sz w:val="32"/>
          <w:szCs w:val="32"/>
          <w:lang w:eastAsia="zh-CN"/>
          <w14:textFill>
            <w14:solidFill>
              <w14:schemeClr w14:val="tx1"/>
            </w14:solidFill>
          </w14:textFill>
        </w:rPr>
        <w:t>）</w:t>
      </w:r>
      <w:r>
        <w:rPr>
          <w:rFonts w:ascii="仿宋" w:hAnsi="仿宋" w:eastAsia="仿宋" w:cs="仿宋"/>
          <w:color w:val="000000" w:themeColor="text1"/>
          <w:spacing w:val="7"/>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40"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（三）《承诺书》</w:t>
      </w:r>
      <w:r>
        <w:rPr>
          <w:rFonts w:hint="eastAsia" w:ascii="仿宋" w:hAnsi="仿宋" w:eastAsia="仿宋" w:cs="仿宋"/>
          <w:color w:val="000000" w:themeColor="text1"/>
          <w:spacing w:val="7"/>
          <w:sz w:val="32"/>
          <w:szCs w:val="32"/>
          <w:lang w:eastAsia="zh-CN"/>
          <w14:textFill>
            <w14:solidFill>
              <w14:schemeClr w14:val="tx1"/>
            </w14:solidFill>
          </w14:textFill>
        </w:rPr>
        <w:t>（</w:t>
      </w:r>
      <w:r>
        <w:rPr>
          <w:rFonts w:ascii="仿宋" w:hAnsi="仿宋" w:eastAsia="仿宋" w:cs="仿宋"/>
          <w:color w:val="000000" w:themeColor="text1"/>
          <w:sz w:val="32"/>
          <w:szCs w:val="32"/>
          <w14:textFill>
            <w14:solidFill>
              <w14:schemeClr w14:val="tx1"/>
            </w14:solidFill>
          </w14:textFill>
        </w:rPr>
        <w:t>原件</w:t>
      </w:r>
      <w:r>
        <w:rPr>
          <w:rFonts w:hint="eastAsia" w:ascii="仿宋" w:hAnsi="仿宋" w:eastAsia="仿宋" w:cs="仿宋"/>
          <w:color w:val="000000" w:themeColor="text1"/>
          <w:spacing w:val="7"/>
          <w:sz w:val="32"/>
          <w:szCs w:val="32"/>
          <w:lang w:eastAsia="zh-CN"/>
          <w14:textFill>
            <w14:solidFill>
              <w14:schemeClr w14:val="tx1"/>
            </w14:solidFill>
          </w14:textFill>
        </w:rPr>
        <w:t>）</w:t>
      </w:r>
      <w:r>
        <w:rPr>
          <w:rFonts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6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7"/>
          <w:sz w:val="32"/>
          <w:szCs w:val="32"/>
          <w14:textFill>
            <w14:solidFill>
              <w14:schemeClr w14:val="tx1"/>
            </w14:solidFill>
          </w14:textFill>
        </w:rPr>
        <w:t>（四）服务单位出具的从业经历证明</w:t>
      </w:r>
      <w:r>
        <w:rPr>
          <w:rFonts w:ascii="仿宋" w:hAnsi="仿宋" w:eastAsia="仿宋" w:cs="仿宋"/>
          <w:color w:val="000000" w:themeColor="text1"/>
          <w:spacing w:val="4"/>
          <w:sz w:val="32"/>
          <w:szCs w:val="32"/>
          <w14:textFill>
            <w14:solidFill>
              <w14:schemeClr w14:val="tx1"/>
            </w14:solidFill>
          </w14:textFill>
        </w:rPr>
        <w:t>（</w:t>
      </w:r>
      <w:r>
        <w:rPr>
          <w:rFonts w:ascii="仿宋" w:hAnsi="仿宋" w:eastAsia="仿宋" w:cs="仿宋"/>
          <w:color w:val="000000" w:themeColor="text1"/>
          <w:spacing w:val="7"/>
          <w:sz w:val="32"/>
          <w:szCs w:val="32"/>
          <w14:textFill>
            <w14:solidFill>
              <w14:schemeClr w14:val="tx1"/>
            </w14:solidFill>
          </w14:textFill>
        </w:rPr>
        <w:t>原件</w:t>
      </w:r>
      <w:r>
        <w:rPr>
          <w:rFonts w:hint="eastAsia" w:ascii="仿宋" w:hAnsi="仿宋" w:eastAsia="仿宋" w:cs="仿宋"/>
          <w:color w:val="000000" w:themeColor="text1"/>
          <w:spacing w:val="7"/>
          <w:sz w:val="32"/>
          <w:szCs w:val="32"/>
          <w:lang w:eastAsia="zh-CN"/>
          <w14:textFill>
            <w14:solidFill>
              <w14:schemeClr w14:val="tx1"/>
            </w14:solidFill>
          </w14:textFill>
        </w:rPr>
        <w:t>）</w:t>
      </w:r>
      <w:r>
        <w:rPr>
          <w:rFonts w:ascii="仿宋" w:hAnsi="仿宋" w:eastAsia="仿宋" w:cs="仿宋"/>
          <w:color w:val="000000" w:themeColor="text1"/>
          <w:spacing w:val="7"/>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（五）证书、刊物、成果等证明资料（设置专业职称、执业</w:t>
      </w:r>
      <w:r>
        <w:rPr>
          <w:rFonts w:ascii="仿宋" w:hAnsi="仿宋" w:eastAsia="仿宋" w:cs="仿宋"/>
          <w:color w:val="000000" w:themeColor="text1"/>
          <w:spacing w:val="5"/>
          <w:sz w:val="32"/>
          <w:szCs w:val="32"/>
          <w14:textFill>
            <w14:solidFill>
              <w14:schemeClr w14:val="tx1"/>
            </w14:solidFill>
          </w14:textFill>
        </w:rPr>
        <w:t>资格、研究经历、论文等条件的，包括学术</w:t>
      </w:r>
      <w:r>
        <w:rPr>
          <w:rFonts w:ascii="仿宋" w:hAnsi="仿宋" w:eastAsia="仿宋" w:cs="仿宋"/>
          <w:color w:val="000000" w:themeColor="text1"/>
          <w:spacing w:val="4"/>
          <w:sz w:val="32"/>
          <w:szCs w:val="32"/>
          <w14:textFill>
            <w14:solidFill>
              <w14:schemeClr w14:val="tx1"/>
            </w14:solidFill>
          </w14:textFill>
        </w:rPr>
        <w:t>论文、科研成果、司法判决书、获奖证明等）（复印件，核对原件</w:t>
      </w:r>
      <w:r>
        <w:rPr>
          <w:rFonts w:hint="eastAsia" w:ascii="仿宋" w:hAnsi="仿宋" w:eastAsia="仿宋" w:cs="仿宋"/>
          <w:color w:val="000000" w:themeColor="text1"/>
          <w:spacing w:val="7"/>
          <w:sz w:val="32"/>
          <w:szCs w:val="32"/>
          <w:lang w:eastAsia="zh-CN"/>
          <w14:textFill>
            <w14:solidFill>
              <w14:schemeClr w14:val="tx1"/>
            </w14:solidFill>
          </w14:textFill>
        </w:rPr>
        <w:t>）</w:t>
      </w:r>
      <w:r>
        <w:rPr>
          <w:rFonts w:ascii="仿宋" w:hAnsi="仿宋" w:eastAsia="仿宋" w:cs="仿宋"/>
          <w:color w:val="000000" w:themeColor="text1"/>
          <w:spacing w:val="4"/>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70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pacing w:val="16"/>
          <w:sz w:val="32"/>
          <w:szCs w:val="32"/>
          <w14:textFill>
            <w14:solidFill>
              <w14:schemeClr w14:val="tx1"/>
            </w14:solidFill>
          </w14:textFill>
        </w:rPr>
        <w:t>第十四条</w:t>
      </w:r>
      <w:r>
        <w:rPr>
          <w:rFonts w:hint="eastAsia" w:ascii="仿宋" w:hAnsi="仿宋" w:eastAsia="仿宋" w:cs="仿宋"/>
          <w:color w:val="000000" w:themeColor="text1"/>
          <w:spacing w:val="8"/>
          <w:sz w:val="32"/>
          <w:szCs w:val="32"/>
          <w14:textFill>
            <w14:solidFill>
              <w14:schemeClr w14:val="tx1"/>
            </w14:solidFill>
          </w14:textFill>
        </w:rPr>
        <w:t xml:space="preserve">  </w:t>
      </w:r>
      <w:r>
        <w:rPr>
          <w:rFonts w:ascii="仿宋" w:hAnsi="仿宋" w:eastAsia="仿宋" w:cs="仿宋"/>
          <w:color w:val="000000" w:themeColor="text1"/>
          <w:spacing w:val="8"/>
          <w:sz w:val="32"/>
          <w:szCs w:val="32"/>
          <w14:textFill>
            <w14:solidFill>
              <w14:schemeClr w14:val="tx1"/>
            </w14:solidFill>
          </w14:textFill>
        </w:rPr>
        <w:t>聘任入库专家按照以下程序产</w:t>
      </w:r>
      <w:r>
        <w:rPr>
          <w:rFonts w:ascii="仿宋" w:hAnsi="仿宋" w:eastAsia="仿宋" w:cs="仿宋"/>
          <w:color w:val="000000" w:themeColor="text1"/>
          <w:spacing w:val="7"/>
          <w:sz w:val="32"/>
          <w:szCs w:val="32"/>
          <w14:textFill>
            <w14:solidFill>
              <w14:schemeClr w14:val="tx1"/>
            </w14:solidFill>
          </w14:textFill>
        </w:rPr>
        <w:t>生：</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（一）信息发布：市物业行政主管部门在官方网站公布专家</w:t>
      </w:r>
      <w:r>
        <w:rPr>
          <w:rFonts w:ascii="仿宋" w:hAnsi="仿宋" w:eastAsia="仿宋" w:cs="仿宋"/>
          <w:color w:val="000000" w:themeColor="text1"/>
          <w:spacing w:val="3"/>
          <w:sz w:val="32"/>
          <w:szCs w:val="32"/>
          <w14:textFill>
            <w14:solidFill>
              <w14:schemeClr w14:val="tx1"/>
            </w14:solidFill>
          </w14:textFill>
        </w:rPr>
        <w:t>征集信息。</w:t>
      </w:r>
    </w:p>
    <w:p>
      <w:pPr>
        <w:keepNext w:val="0"/>
        <w:keepLines w:val="0"/>
        <w:pageBreakBefore w:val="0"/>
        <w:widowControl w:val="0"/>
        <w:kinsoku/>
        <w:wordWrap/>
        <w:overflowPunct/>
        <w:topLinePunct w:val="0"/>
        <w:autoSpaceDE/>
        <w:autoSpaceDN/>
        <w:bidi w:val="0"/>
        <w:adjustRightInd w:val="0"/>
        <w:snapToGrid w:val="0"/>
        <w:spacing w:line="579" w:lineRule="exact"/>
        <w:ind w:right="0" w:firstLine="664"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6"/>
          <w:sz w:val="32"/>
          <w:szCs w:val="32"/>
          <w14:textFill>
            <w14:solidFill>
              <w14:schemeClr w14:val="tx1"/>
            </w14:solidFill>
          </w14:textFill>
        </w:rPr>
        <w:t>（二）接受申请：申请人向市物业行政主管部门提交书面申</w:t>
      </w:r>
      <w:r>
        <w:rPr>
          <w:rFonts w:ascii="仿宋" w:hAnsi="仿宋" w:eastAsia="仿宋" w:cs="仿宋"/>
          <w:color w:val="000000" w:themeColor="text1"/>
          <w:spacing w:val="-7"/>
          <w:sz w:val="32"/>
          <w:szCs w:val="32"/>
          <w14:textFill>
            <w14:solidFill>
              <w14:schemeClr w14:val="tx1"/>
            </w14:solidFill>
          </w14:textFill>
        </w:rPr>
        <w:t>请。</w:t>
      </w:r>
    </w:p>
    <w:p>
      <w:pPr>
        <w:keepNext w:val="0"/>
        <w:keepLines w:val="0"/>
        <w:pageBreakBefore w:val="0"/>
        <w:widowControl w:val="0"/>
        <w:kinsoku/>
        <w:wordWrap/>
        <w:overflowPunct/>
        <w:topLinePunct w:val="0"/>
        <w:autoSpaceDE/>
        <w:autoSpaceDN/>
        <w:bidi w:val="0"/>
        <w:adjustRightInd w:val="0"/>
        <w:snapToGrid w:val="0"/>
        <w:spacing w:line="579" w:lineRule="exact"/>
        <w:ind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（三）资格评审：评审小组进行资格评审，应当综合考虑申</w:t>
      </w:r>
      <w:r>
        <w:rPr>
          <w:rFonts w:ascii="仿宋" w:hAnsi="仿宋" w:eastAsia="仿宋" w:cs="仿宋"/>
          <w:color w:val="000000" w:themeColor="text1"/>
          <w:spacing w:val="5"/>
          <w:sz w:val="32"/>
          <w:szCs w:val="32"/>
          <w14:textFill>
            <w14:solidFill>
              <w14:schemeClr w14:val="tx1"/>
            </w14:solidFill>
          </w14:textFill>
        </w:rPr>
        <w:t>请人员的专项检查或者测评得分、从业经历、专业职称、执业资格、个人信用、行业评价、培训考核等因素进行排序，评审小组按照一人一票的表决方式投票表决，超过全部评委半数以上同意</w:t>
      </w:r>
      <w:r>
        <w:rPr>
          <w:rFonts w:ascii="仿宋" w:hAnsi="仿宋" w:eastAsia="仿宋" w:cs="仿宋"/>
          <w:color w:val="000000" w:themeColor="text1"/>
          <w:spacing w:val="7"/>
          <w:sz w:val="32"/>
          <w:szCs w:val="32"/>
          <w14:textFill>
            <w14:solidFill>
              <w14:schemeClr w14:val="tx1"/>
            </w14:solidFill>
          </w14:textFill>
        </w:rPr>
        <w:t>的，择优提出拟聘专家人选名单。</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（四）人选公示：市物业行政主管部门在官方网站公示拟聘</w:t>
      </w:r>
      <w:r>
        <w:rPr>
          <w:rFonts w:ascii="仿宋" w:hAnsi="仿宋" w:eastAsia="仿宋" w:cs="仿宋"/>
          <w:color w:val="000000" w:themeColor="text1"/>
          <w:spacing w:val="5"/>
          <w:sz w:val="32"/>
          <w:szCs w:val="32"/>
          <w14:textFill>
            <w14:solidFill>
              <w14:schemeClr w14:val="tx1"/>
            </w14:solidFill>
          </w14:textFill>
        </w:rPr>
        <w:t>专家人选名单，公示时间不少于7个工作日。</w:t>
      </w:r>
    </w:p>
    <w:p>
      <w:pPr>
        <w:keepNext w:val="0"/>
        <w:keepLines w:val="0"/>
        <w:pageBreakBefore w:val="0"/>
        <w:widowControl w:val="0"/>
        <w:kinsoku/>
        <w:wordWrap/>
        <w:overflowPunct/>
        <w:topLinePunct w:val="0"/>
        <w:autoSpaceDE/>
        <w:autoSpaceDN/>
        <w:bidi w:val="0"/>
        <w:adjustRightInd w:val="0"/>
        <w:snapToGrid w:val="0"/>
        <w:spacing w:line="579" w:lineRule="exact"/>
        <w:ind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公示期间，对拟聘专家人选有异议的，应当以书面形式向市</w:t>
      </w:r>
      <w:r>
        <w:rPr>
          <w:rFonts w:ascii="仿宋" w:hAnsi="仿宋" w:eastAsia="仿宋" w:cs="仿宋"/>
          <w:color w:val="000000" w:themeColor="text1"/>
          <w:spacing w:val="6"/>
          <w:sz w:val="32"/>
          <w:szCs w:val="32"/>
          <w14:textFill>
            <w14:solidFill>
              <w14:schemeClr w14:val="tx1"/>
            </w14:solidFill>
          </w14:textFill>
        </w:rPr>
        <w:t>物业行政主管部门提出，并提供确切的证据材料或者查证线索；</w:t>
      </w:r>
      <w:r>
        <w:rPr>
          <w:rFonts w:ascii="仿宋" w:hAnsi="仿宋" w:eastAsia="仿宋" w:cs="仿宋"/>
          <w:color w:val="000000" w:themeColor="text1"/>
          <w:spacing w:val="17"/>
          <w:sz w:val="32"/>
          <w:szCs w:val="32"/>
          <w14:textFill>
            <w14:solidFill>
              <w14:schemeClr w14:val="tx1"/>
            </w14:solidFill>
          </w14:textFill>
        </w:rPr>
        <w:t>经市物业行政主管部门核实，拟聘专家人选</w:t>
      </w:r>
      <w:r>
        <w:rPr>
          <w:rFonts w:ascii="仿宋" w:hAnsi="仿宋" w:eastAsia="仿宋" w:cs="仿宋"/>
          <w:color w:val="000000" w:themeColor="text1"/>
          <w:spacing w:val="16"/>
          <w:sz w:val="32"/>
          <w:szCs w:val="32"/>
          <w14:textFill>
            <w14:solidFill>
              <w14:schemeClr w14:val="tx1"/>
            </w14:solidFill>
          </w14:textFill>
        </w:rPr>
        <w:t>不符合本办法第八</w:t>
      </w:r>
      <w:r>
        <w:rPr>
          <w:rFonts w:ascii="仿宋" w:hAnsi="仿宋" w:eastAsia="仿宋" w:cs="仿宋"/>
          <w:color w:val="000000" w:themeColor="text1"/>
          <w:spacing w:val="8"/>
          <w:sz w:val="32"/>
          <w:szCs w:val="32"/>
          <w14:textFill>
            <w14:solidFill>
              <w14:schemeClr w14:val="tx1"/>
            </w14:solidFill>
          </w14:textFill>
        </w:rPr>
        <w:t>条、第九条规定条件的，取消其选聘资格。</w:t>
      </w:r>
    </w:p>
    <w:p>
      <w:pPr>
        <w:keepNext w:val="0"/>
        <w:keepLines w:val="0"/>
        <w:pageBreakBefore w:val="0"/>
        <w:widowControl w:val="0"/>
        <w:kinsoku/>
        <w:wordWrap/>
        <w:overflowPunct/>
        <w:topLinePunct w:val="0"/>
        <w:autoSpaceDE/>
        <w:autoSpaceDN/>
        <w:bidi w:val="0"/>
        <w:adjustRightInd w:val="0"/>
        <w:snapToGrid w:val="0"/>
        <w:spacing w:line="579" w:lineRule="exact"/>
        <w:ind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提出异议时未提供确切的证据材料或者查证线索，或者公示</w:t>
      </w:r>
      <w:r>
        <w:rPr>
          <w:rFonts w:ascii="仿宋" w:hAnsi="仿宋" w:eastAsia="仿宋" w:cs="仿宋"/>
          <w:color w:val="000000" w:themeColor="text1"/>
          <w:spacing w:val="5"/>
          <w:sz w:val="32"/>
          <w:szCs w:val="32"/>
          <w14:textFill>
            <w14:solidFill>
              <w14:schemeClr w14:val="tx1"/>
            </w14:solidFill>
          </w14:textFill>
        </w:rPr>
        <w:t>期满后提出异议的，市物业行政主管部门不予确认，但可作为对</w:t>
      </w:r>
      <w:r>
        <w:rPr>
          <w:rFonts w:ascii="仿宋" w:hAnsi="仿宋" w:eastAsia="仿宋" w:cs="仿宋"/>
          <w:color w:val="000000" w:themeColor="text1"/>
          <w:spacing w:val="7"/>
          <w:sz w:val="32"/>
          <w:szCs w:val="32"/>
          <w14:textFill>
            <w14:solidFill>
              <w14:schemeClr w14:val="tx1"/>
            </w14:solidFill>
          </w14:textFill>
        </w:rPr>
        <w:t>聘任专家监督管理的依据。</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（五）认定聘任：公示期满，无异议或者异议不成立的，市</w:t>
      </w:r>
      <w:r>
        <w:rPr>
          <w:rFonts w:ascii="仿宋" w:hAnsi="仿宋" w:eastAsia="仿宋" w:cs="仿宋"/>
          <w:color w:val="000000" w:themeColor="text1"/>
          <w:spacing w:val="7"/>
          <w:sz w:val="32"/>
          <w:szCs w:val="32"/>
          <w14:textFill>
            <w14:solidFill>
              <w14:schemeClr w14:val="tx1"/>
            </w14:solidFill>
          </w14:textFill>
        </w:rPr>
        <w:t>物业行政主管部门予以认定、聘任。</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（六）入库公告：市物业行政主管部门将决定聘任的入库专</w:t>
      </w:r>
      <w:r>
        <w:rPr>
          <w:rFonts w:ascii="仿宋" w:hAnsi="仿宋" w:eastAsia="仿宋" w:cs="仿宋"/>
          <w:color w:val="000000" w:themeColor="text1"/>
          <w:spacing w:val="7"/>
          <w:sz w:val="32"/>
          <w:szCs w:val="32"/>
          <w14:textFill>
            <w14:solidFill>
              <w14:schemeClr w14:val="tx1"/>
            </w14:solidFill>
          </w14:textFill>
        </w:rPr>
        <w:t>家名单在官方网站进行公告。</w:t>
      </w:r>
    </w:p>
    <w:p>
      <w:pPr>
        <w:keepNext w:val="0"/>
        <w:keepLines w:val="0"/>
        <w:pageBreakBefore w:val="0"/>
        <w:widowControl w:val="0"/>
        <w:kinsoku/>
        <w:wordWrap/>
        <w:overflowPunct/>
        <w:topLinePunct w:val="0"/>
        <w:autoSpaceDE/>
        <w:autoSpaceDN/>
        <w:bidi w:val="0"/>
        <w:adjustRightInd w:val="0"/>
        <w:snapToGrid w:val="0"/>
        <w:spacing w:line="579" w:lineRule="exact"/>
        <w:ind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（七）发证：市物业行政主管部门颁发专家聘书和专家工作</w:t>
      </w:r>
      <w:r>
        <w:rPr>
          <w:rFonts w:ascii="仿宋" w:hAnsi="仿宋" w:eastAsia="仿宋" w:cs="仿宋"/>
          <w:color w:val="000000" w:themeColor="text1"/>
          <w:spacing w:val="-6"/>
          <w:sz w:val="32"/>
          <w:szCs w:val="32"/>
          <w14:textFill>
            <w14:solidFill>
              <w14:schemeClr w14:val="tx1"/>
            </w14:solidFill>
          </w14:textFill>
        </w:rPr>
        <w:t>证。</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70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pacing w:val="16"/>
          <w:sz w:val="32"/>
          <w:szCs w:val="32"/>
          <w14:textFill>
            <w14:solidFill>
              <w14:schemeClr w14:val="tx1"/>
            </w14:solidFill>
          </w14:textFill>
        </w:rPr>
        <w:t>第十五条</w:t>
      </w:r>
      <w:r>
        <w:rPr>
          <w:rFonts w:hint="eastAsia" w:ascii="仿宋" w:hAnsi="仿宋" w:eastAsia="仿宋" w:cs="仿宋"/>
          <w:color w:val="000000" w:themeColor="text1"/>
          <w:spacing w:val="-6"/>
          <w:sz w:val="32"/>
          <w:szCs w:val="32"/>
          <w14:textFill>
            <w14:solidFill>
              <w14:schemeClr w14:val="tx1"/>
            </w14:solidFill>
          </w14:textFill>
        </w:rPr>
        <w:t xml:space="preserve">  </w:t>
      </w:r>
      <w:r>
        <w:rPr>
          <w:rFonts w:ascii="仿宋" w:hAnsi="仿宋" w:eastAsia="仿宋" w:cs="仿宋"/>
          <w:color w:val="000000" w:themeColor="text1"/>
          <w:spacing w:val="-6"/>
          <w:sz w:val="32"/>
          <w:szCs w:val="32"/>
          <w14:textFill>
            <w14:solidFill>
              <w14:schemeClr w14:val="tx1"/>
            </w14:solidFill>
          </w14:textFill>
        </w:rPr>
        <w:t>对特殊需要的物业管理专家，市物</w:t>
      </w:r>
      <w:r>
        <w:rPr>
          <w:rFonts w:ascii="仿宋" w:hAnsi="仿宋" w:eastAsia="仿宋" w:cs="仿宋"/>
          <w:color w:val="000000" w:themeColor="text1"/>
          <w:spacing w:val="-7"/>
          <w:sz w:val="32"/>
          <w:szCs w:val="32"/>
          <w14:textFill>
            <w14:solidFill>
              <w14:schemeClr w14:val="tx1"/>
            </w14:solidFill>
          </w14:textFill>
        </w:rPr>
        <w:t>业行政主管部门</w:t>
      </w:r>
      <w:r>
        <w:rPr>
          <w:rFonts w:ascii="仿宋" w:hAnsi="仿宋" w:eastAsia="仿宋" w:cs="仿宋"/>
          <w:color w:val="000000" w:themeColor="text1"/>
          <w:spacing w:val="-6"/>
          <w:sz w:val="32"/>
          <w:szCs w:val="32"/>
          <w14:textFill>
            <w14:solidFill>
              <w14:schemeClr w14:val="tx1"/>
            </w14:solidFill>
          </w14:textFill>
        </w:rPr>
        <w:t>可临时聘用。由市物业行政主管部门对申请人报送的材料进行审核认定。符合条件的专家名单应在市住房城乡建设局官网进行公</w:t>
      </w:r>
      <w:r>
        <w:rPr>
          <w:rFonts w:ascii="仿宋" w:hAnsi="仿宋" w:eastAsia="仿宋" w:cs="仿宋"/>
          <w:color w:val="000000" w:themeColor="text1"/>
          <w:spacing w:val="-3"/>
          <w:sz w:val="32"/>
          <w:szCs w:val="32"/>
          <w14:textFill>
            <w14:solidFill>
              <w14:schemeClr w14:val="tx1"/>
            </w14:solidFill>
          </w14:textFill>
        </w:rPr>
        <w:t>示。经公示无异议的，由市物业行政主管部门颁发专家证书。</w:t>
      </w:r>
    </w:p>
    <w:p>
      <w:pPr>
        <w:pStyle w:val="4"/>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val="0"/>
        <w:wordWrap/>
        <w:overflowPunct/>
        <w:topLinePunct w:val="0"/>
        <w:autoSpaceDE w:val="0"/>
        <w:autoSpaceDN w:val="0"/>
        <w:bidi w:val="0"/>
        <w:adjustRightInd w:val="0"/>
        <w:snapToGrid w:val="0"/>
        <w:spacing w:line="579" w:lineRule="exact"/>
        <w:ind w:left="0"/>
        <w:jc w:val="center"/>
        <w:textAlignment w:val="baseline"/>
        <w:rPr>
          <w:rFonts w:ascii="黑体" w:hAnsi="黑体" w:eastAsia="黑体" w:cs="黑体"/>
          <w:color w:val="000000" w:themeColor="text1"/>
          <w:spacing w:val="2"/>
          <w:sz w:val="32"/>
          <w:szCs w:val="32"/>
          <w14:textFill>
            <w14:solidFill>
              <w14:schemeClr w14:val="tx1"/>
            </w14:solidFill>
          </w14:textFill>
        </w:rPr>
      </w:pPr>
      <w:r>
        <w:rPr>
          <w:rFonts w:ascii="黑体" w:hAnsi="黑体" w:eastAsia="黑体" w:cs="黑体"/>
          <w:color w:val="000000" w:themeColor="text1"/>
          <w:spacing w:val="2"/>
          <w:sz w:val="32"/>
          <w:szCs w:val="32"/>
          <w14:textFill>
            <w14:solidFill>
              <w14:schemeClr w14:val="tx1"/>
            </w14:solidFill>
          </w14:textFill>
        </w:rPr>
        <w:t>第三章 专家管理</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pacing w:val="4"/>
          <w:sz w:val="32"/>
          <w:szCs w:val="32"/>
          <w14:textFill>
            <w14:solidFill>
              <w14:schemeClr w14:val="tx1"/>
            </w14:solidFill>
          </w14:textFill>
        </w:rPr>
        <w:t>第十六条</w:t>
      </w:r>
      <w:r>
        <w:rPr>
          <w:rFonts w:hint="eastAsia" w:ascii="仿宋" w:hAnsi="仿宋" w:eastAsia="仿宋" w:cs="仿宋"/>
          <w:color w:val="000000" w:themeColor="text1"/>
          <w:spacing w:val="4"/>
          <w:sz w:val="32"/>
          <w:szCs w:val="32"/>
          <w14:textFill>
            <w14:solidFill>
              <w14:schemeClr w14:val="tx1"/>
            </w14:solidFill>
          </w14:textFill>
        </w:rPr>
        <w:t xml:space="preserve">  </w:t>
      </w:r>
      <w:r>
        <w:rPr>
          <w:rFonts w:ascii="仿宋" w:hAnsi="仿宋" w:eastAsia="仿宋" w:cs="仿宋"/>
          <w:color w:val="000000" w:themeColor="text1"/>
          <w:spacing w:val="4"/>
          <w:sz w:val="32"/>
          <w:szCs w:val="32"/>
          <w14:textFill>
            <w14:solidFill>
              <w14:schemeClr w14:val="tx1"/>
            </w14:solidFill>
          </w14:textFill>
        </w:rPr>
        <w:t>专家按照对应分类受邀参与物业服务、物业管理</w:t>
      </w:r>
      <w:r>
        <w:rPr>
          <w:rFonts w:ascii="仿宋" w:hAnsi="仿宋" w:eastAsia="仿宋" w:cs="仿宋"/>
          <w:color w:val="000000" w:themeColor="text1"/>
          <w:spacing w:val="3"/>
          <w:sz w:val="32"/>
          <w:szCs w:val="32"/>
          <w14:textFill>
            <w14:solidFill>
              <w14:schemeClr w14:val="tx1"/>
            </w14:solidFill>
          </w14:textFill>
        </w:rPr>
        <w:t>相关活动。</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70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17"/>
          <w:sz w:val="32"/>
          <w:szCs w:val="32"/>
          <w14:textFill>
            <w14:solidFill>
              <w14:schemeClr w14:val="tx1"/>
            </w14:solidFill>
          </w14:textFill>
        </w:rPr>
        <w:t>现场检查类专家可参与本办法第十七条第一款第一项至第</w:t>
      </w:r>
      <w:r>
        <w:rPr>
          <w:rFonts w:ascii="仿宋" w:hAnsi="仿宋" w:eastAsia="仿宋" w:cs="仿宋"/>
          <w:color w:val="000000" w:themeColor="text1"/>
          <w:spacing w:val="4"/>
          <w:sz w:val="32"/>
          <w:szCs w:val="32"/>
          <w14:textFill>
            <w14:solidFill>
              <w14:schemeClr w14:val="tx1"/>
            </w14:solidFill>
          </w14:textFill>
        </w:rPr>
        <w:t>四项、第九项活动；咨询管理专家可参与本办法第十七条第一款第五项至第九项活动；技术保障类可参与本办法第十七条第一款</w:t>
      </w:r>
      <w:r>
        <w:rPr>
          <w:rFonts w:ascii="仿宋" w:hAnsi="仿宋" w:eastAsia="仿宋" w:cs="仿宋"/>
          <w:color w:val="000000" w:themeColor="text1"/>
          <w:spacing w:val="5"/>
          <w:sz w:val="32"/>
          <w:szCs w:val="32"/>
          <w14:textFill>
            <w14:solidFill>
              <w14:schemeClr w14:val="tx1"/>
            </w14:solidFill>
          </w14:textFill>
        </w:rPr>
        <w:t>第一项至第九项活动。</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pacing w:val="4"/>
          <w:sz w:val="32"/>
          <w:szCs w:val="32"/>
          <w14:textFill>
            <w14:solidFill>
              <w14:schemeClr w14:val="tx1"/>
            </w14:solidFill>
          </w14:textFill>
        </w:rPr>
        <w:t>第十七条</w:t>
      </w:r>
      <w:r>
        <w:rPr>
          <w:rFonts w:hint="eastAsia" w:ascii="仿宋" w:hAnsi="仿宋" w:eastAsia="仿宋" w:cs="仿宋"/>
          <w:color w:val="000000" w:themeColor="text1"/>
          <w:spacing w:val="4"/>
          <w:sz w:val="32"/>
          <w:szCs w:val="32"/>
          <w14:textFill>
            <w14:solidFill>
              <w14:schemeClr w14:val="tx1"/>
            </w14:solidFill>
          </w14:textFill>
        </w:rPr>
        <w:t xml:space="preserve">  </w:t>
      </w:r>
      <w:r>
        <w:rPr>
          <w:rFonts w:ascii="仿宋" w:hAnsi="仿宋" w:eastAsia="仿宋" w:cs="仿宋"/>
          <w:color w:val="000000" w:themeColor="text1"/>
          <w:spacing w:val="4"/>
          <w:sz w:val="32"/>
          <w:szCs w:val="32"/>
          <w14:textFill>
            <w14:solidFill>
              <w14:schemeClr w14:val="tx1"/>
            </w14:solidFill>
          </w14:textFill>
        </w:rPr>
        <w:t>在本市行政区域范围内从事下列物业服务、物业</w:t>
      </w:r>
      <w:r>
        <w:rPr>
          <w:rFonts w:ascii="仿宋" w:hAnsi="仿宋" w:eastAsia="仿宋" w:cs="仿宋"/>
          <w:color w:val="000000" w:themeColor="text1"/>
          <w:spacing w:val="5"/>
          <w:sz w:val="32"/>
          <w:szCs w:val="32"/>
          <w14:textFill>
            <w14:solidFill>
              <w14:schemeClr w14:val="tx1"/>
            </w14:solidFill>
          </w14:textFill>
        </w:rPr>
        <w:t>管理活动，按照规定需要邀请专家参与的，应当从专家库中选择</w:t>
      </w:r>
      <w:r>
        <w:rPr>
          <w:rFonts w:ascii="仿宋" w:hAnsi="仿宋" w:eastAsia="仿宋" w:cs="仿宋"/>
          <w:color w:val="000000" w:themeColor="text1"/>
          <w:spacing w:val="7"/>
          <w:sz w:val="32"/>
          <w:szCs w:val="32"/>
          <w14:textFill>
            <w14:solidFill>
              <w14:schemeClr w14:val="tx1"/>
            </w14:solidFill>
          </w14:textFill>
        </w:rPr>
        <w:t>确定，原则上采取随机抽取方式：</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（一）协助市、区物业行政主管部门或受其委托，开展物业管理项目检查工作；</w:t>
      </w:r>
    </w:p>
    <w:p>
      <w:pPr>
        <w:keepNext w:val="0"/>
        <w:keepLines w:val="0"/>
        <w:pageBreakBefore w:val="0"/>
        <w:widowControl w:val="0"/>
        <w:kinsoku/>
        <w:wordWrap/>
        <w:overflowPunct/>
        <w:topLinePunct w:val="0"/>
        <w:autoSpaceDE/>
        <w:autoSpaceDN/>
        <w:bidi w:val="0"/>
        <w:adjustRightInd w:val="0"/>
        <w:snapToGrid w:val="0"/>
        <w:spacing w:line="579" w:lineRule="exact"/>
        <w:ind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（二）协助市、区物业行政主管部门，接受各级政府采</w:t>
      </w:r>
      <w:r>
        <w:rPr>
          <w:rFonts w:ascii="仿宋" w:hAnsi="仿宋" w:eastAsia="仿宋" w:cs="仿宋"/>
          <w:color w:val="000000" w:themeColor="text1"/>
          <w:spacing w:val="5"/>
          <w:sz w:val="32"/>
          <w:szCs w:val="32"/>
          <w14:textFill>
            <w14:solidFill>
              <w14:schemeClr w14:val="tx1"/>
            </w14:solidFill>
          </w14:textFill>
        </w:rPr>
        <w:t>购中心、物业管理招投标代理机构、业主大会或业主委员会的委托，开展前期物业管理招标投标和业主、业主大会招标投标的评</w:t>
      </w:r>
      <w:r>
        <w:rPr>
          <w:rFonts w:ascii="仿宋" w:hAnsi="仿宋" w:eastAsia="仿宋" w:cs="仿宋"/>
          <w:color w:val="000000" w:themeColor="text1"/>
          <w:spacing w:val="2"/>
          <w:sz w:val="32"/>
          <w:szCs w:val="32"/>
          <w14:textFill>
            <w14:solidFill>
              <w14:schemeClr w14:val="tx1"/>
            </w14:solidFill>
          </w14:textFill>
        </w:rPr>
        <w:t>标工作；</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92"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13"/>
          <w:sz w:val="32"/>
          <w:szCs w:val="32"/>
          <w14:textFill>
            <w14:solidFill>
              <w14:schemeClr w14:val="tx1"/>
            </w14:solidFill>
          </w14:textFill>
        </w:rPr>
        <w:t>（三）</w:t>
      </w:r>
      <w:r>
        <w:rPr>
          <w:rFonts w:ascii="仿宋" w:hAnsi="仿宋" w:eastAsia="仿宋" w:cs="仿宋"/>
          <w:color w:val="000000" w:themeColor="text1"/>
          <w:spacing w:val="4"/>
          <w:sz w:val="32"/>
          <w:szCs w:val="32"/>
          <w14:textFill>
            <w14:solidFill>
              <w14:schemeClr w14:val="tx1"/>
            </w14:solidFill>
          </w14:textFill>
        </w:rPr>
        <w:t>受市、区物业行政主管部门、开发建设单位、业主大</w:t>
      </w:r>
      <w:r>
        <w:rPr>
          <w:rFonts w:ascii="仿宋" w:hAnsi="仿宋" w:eastAsia="仿宋" w:cs="仿宋"/>
          <w:color w:val="000000" w:themeColor="text1"/>
          <w:spacing w:val="5"/>
          <w:sz w:val="32"/>
          <w:szCs w:val="32"/>
          <w14:textFill>
            <w14:solidFill>
              <w14:schemeClr w14:val="tx1"/>
            </w14:solidFill>
          </w14:textFill>
        </w:rPr>
        <w:t>会或业主委员会的委托，对物业管理项目的承接查验提供技术支持、对物业管理项目是否符合住宅专项维修资金紧急使用情况提供专家意见等；</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（四）</w:t>
      </w:r>
      <w:r>
        <w:rPr>
          <w:rFonts w:ascii="仿宋" w:hAnsi="仿宋" w:eastAsia="仿宋" w:cs="仿宋"/>
          <w:color w:val="000000" w:themeColor="text1"/>
          <w:spacing w:val="8"/>
          <w:sz w:val="32"/>
          <w:szCs w:val="32"/>
          <w14:textFill>
            <w14:solidFill>
              <w14:schemeClr w14:val="tx1"/>
            </w14:solidFill>
          </w14:textFill>
        </w:rPr>
        <w:t>物业服务管理复杂、专业问题咨询、论证、评审；</w:t>
      </w:r>
    </w:p>
    <w:p>
      <w:pPr>
        <w:keepNext w:val="0"/>
        <w:keepLines w:val="0"/>
        <w:pageBreakBefore w:val="0"/>
        <w:widowControl w:val="0"/>
        <w:numPr>
          <w:ilvl w:val="0"/>
          <w:numId w:val="1"/>
        </w:numPr>
        <w:kinsoku/>
        <w:wordWrap/>
        <w:overflowPunct/>
        <w:topLinePunct w:val="0"/>
        <w:autoSpaceDE/>
        <w:autoSpaceDN/>
        <w:bidi w:val="0"/>
        <w:adjustRightInd w:val="0"/>
        <w:snapToGrid w:val="0"/>
        <w:spacing w:line="579" w:lineRule="exact"/>
        <w:ind w:left="0" w:right="0" w:firstLine="672" w:firstLineChars="200"/>
        <w:jc w:val="both"/>
        <w:textAlignment w:val="auto"/>
        <w:rPr>
          <w:rFonts w:ascii="仿宋" w:hAnsi="仿宋" w:eastAsia="仿宋" w:cs="仿宋"/>
          <w:color w:val="000000" w:themeColor="text1"/>
          <w:spacing w:val="8"/>
          <w:sz w:val="32"/>
          <w:szCs w:val="32"/>
          <w14:textFill>
            <w14:solidFill>
              <w14:schemeClr w14:val="tx1"/>
            </w14:solidFill>
          </w14:textFill>
        </w:rPr>
      </w:pPr>
      <w:r>
        <w:rPr>
          <w:rFonts w:ascii="仿宋" w:hAnsi="仿宋" w:eastAsia="仿宋" w:cs="仿宋"/>
          <w:color w:val="000000" w:themeColor="text1"/>
          <w:spacing w:val="8"/>
          <w:sz w:val="32"/>
          <w:szCs w:val="32"/>
          <w14:textFill>
            <w14:solidFill>
              <w14:schemeClr w14:val="tx1"/>
            </w14:solidFill>
          </w14:textFill>
        </w:rPr>
        <w:t>物业服务管理矛盾纠纷和重大事件调查处理；</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72"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8"/>
          <w:sz w:val="32"/>
          <w:szCs w:val="32"/>
          <w14:textFill>
            <w14:solidFill>
              <w14:schemeClr w14:val="tx1"/>
            </w14:solidFill>
          </w14:textFill>
        </w:rPr>
        <w:t>（六）</w:t>
      </w:r>
      <w:r>
        <w:rPr>
          <w:rFonts w:ascii="仿宋" w:hAnsi="仿宋" w:eastAsia="仿宋" w:cs="仿宋"/>
          <w:color w:val="000000" w:themeColor="text1"/>
          <w:spacing w:val="4"/>
          <w:sz w:val="32"/>
          <w:szCs w:val="32"/>
          <w14:textFill>
            <w14:solidFill>
              <w14:schemeClr w14:val="tx1"/>
            </w14:solidFill>
          </w14:textFill>
        </w:rPr>
        <w:t>受市物业行政主管部门委托，为制定我市物业管理行</w:t>
      </w:r>
      <w:r>
        <w:rPr>
          <w:rFonts w:ascii="仿宋" w:hAnsi="仿宋" w:eastAsia="仿宋" w:cs="仿宋"/>
          <w:color w:val="000000" w:themeColor="text1"/>
          <w:spacing w:val="5"/>
          <w:sz w:val="32"/>
          <w:szCs w:val="32"/>
          <w14:textFill>
            <w14:solidFill>
              <w14:schemeClr w14:val="tx1"/>
            </w14:solidFill>
          </w14:textFill>
        </w:rPr>
        <w:t>业发展规划和重大政策措施开展前期论证和提供咨询意见，参与</w:t>
      </w:r>
      <w:r>
        <w:rPr>
          <w:rFonts w:ascii="仿宋" w:hAnsi="仿宋" w:eastAsia="仿宋" w:cs="仿宋"/>
          <w:color w:val="000000" w:themeColor="text1"/>
          <w:spacing w:val="8"/>
          <w:sz w:val="32"/>
          <w:szCs w:val="32"/>
          <w14:textFill>
            <w14:solidFill>
              <w14:schemeClr w14:val="tx1"/>
            </w14:solidFill>
          </w14:textFill>
        </w:rPr>
        <w:t>我市物业服务规范、服务标准的编制与审定；</w:t>
      </w:r>
    </w:p>
    <w:p>
      <w:pPr>
        <w:keepNext w:val="0"/>
        <w:keepLines w:val="0"/>
        <w:pageBreakBefore w:val="0"/>
        <w:widowControl w:val="0"/>
        <w:kinsoku/>
        <w:wordWrap/>
        <w:overflowPunct/>
        <w:topLinePunct w:val="0"/>
        <w:autoSpaceDE/>
        <w:autoSpaceDN/>
        <w:bidi w:val="0"/>
        <w:adjustRightInd w:val="0"/>
        <w:snapToGrid w:val="0"/>
        <w:spacing w:line="579" w:lineRule="exact"/>
        <w:ind w:right="0" w:firstLine="656"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（七）物业服务管理政策、法规规定和市物业行政主管部门</w:t>
      </w:r>
      <w:r>
        <w:rPr>
          <w:rFonts w:ascii="仿宋" w:hAnsi="仿宋" w:eastAsia="仿宋" w:cs="仿宋"/>
          <w:color w:val="000000" w:themeColor="text1"/>
          <w:spacing w:val="7"/>
          <w:sz w:val="32"/>
          <w:szCs w:val="32"/>
          <w14:textFill>
            <w14:solidFill>
              <w14:schemeClr w14:val="tx1"/>
            </w14:solidFill>
          </w14:textFill>
        </w:rPr>
        <w:t>认为需要邀请专家参与的其他活动</w:t>
      </w:r>
      <w:r>
        <w:rPr>
          <w:rFonts w:hint="eastAsia" w:ascii="仿宋" w:hAnsi="仿宋" w:eastAsia="仿宋" w:cs="仿宋"/>
          <w:color w:val="000000" w:themeColor="text1"/>
          <w:spacing w:val="7"/>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（八）有义务履行法律、法规、规章、规范性文件规定的各</w:t>
      </w:r>
      <w:r>
        <w:rPr>
          <w:rFonts w:ascii="仿宋" w:hAnsi="仿宋" w:eastAsia="仿宋" w:cs="仿宋"/>
          <w:color w:val="000000" w:themeColor="text1"/>
          <w:spacing w:val="1"/>
          <w:sz w:val="32"/>
          <w:szCs w:val="32"/>
          <w14:textFill>
            <w14:solidFill>
              <w14:schemeClr w14:val="tx1"/>
            </w14:solidFill>
          </w14:textFill>
        </w:rPr>
        <w:t>项职责。</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提供招标投标评标服务的专家按照《中华人民共和国招标投</w:t>
      </w:r>
      <w:r>
        <w:rPr>
          <w:rFonts w:ascii="仿宋" w:hAnsi="仿宋" w:eastAsia="仿宋" w:cs="仿宋"/>
          <w:color w:val="000000" w:themeColor="text1"/>
          <w:spacing w:val="7"/>
          <w:sz w:val="32"/>
          <w:szCs w:val="32"/>
          <w14:textFill>
            <w14:solidFill>
              <w14:schemeClr w14:val="tx1"/>
            </w14:solidFill>
          </w14:textFill>
        </w:rPr>
        <w:t>标法》《珠海市物业管理招标投标管理办法》等有关规定执行。</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5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pacing w:val="4"/>
          <w:sz w:val="32"/>
          <w:szCs w:val="32"/>
          <w14:textFill>
            <w14:solidFill>
              <w14:schemeClr w14:val="tx1"/>
            </w14:solidFill>
          </w14:textFill>
        </w:rPr>
        <w:t>第十八条</w:t>
      </w:r>
      <w:r>
        <w:rPr>
          <w:rFonts w:hint="eastAsia" w:ascii="仿宋" w:hAnsi="仿宋" w:eastAsia="仿宋" w:cs="仿宋"/>
          <w:color w:val="000000" w:themeColor="text1"/>
          <w:spacing w:val="7"/>
          <w:sz w:val="32"/>
          <w:szCs w:val="32"/>
          <w14:textFill>
            <w14:solidFill>
              <w14:schemeClr w14:val="tx1"/>
            </w14:solidFill>
          </w14:textFill>
        </w:rPr>
        <w:t xml:space="preserve">  </w:t>
      </w:r>
      <w:r>
        <w:rPr>
          <w:rFonts w:ascii="仿宋" w:hAnsi="仿宋" w:eastAsia="仿宋" w:cs="仿宋"/>
          <w:color w:val="000000" w:themeColor="text1"/>
          <w:spacing w:val="7"/>
          <w:sz w:val="32"/>
          <w:szCs w:val="32"/>
          <w14:textFill>
            <w14:solidFill>
              <w14:schemeClr w14:val="tx1"/>
            </w14:solidFill>
          </w14:textFill>
        </w:rPr>
        <w:t>专家库专家享有以下权利：</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pacing w:val="3"/>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（一）向行政主管部门提出工作意见和建议；可保留个人意</w:t>
      </w:r>
      <w:r>
        <w:rPr>
          <w:rFonts w:ascii="仿宋" w:hAnsi="仿宋" w:eastAsia="仿宋" w:cs="仿宋"/>
          <w:color w:val="000000" w:themeColor="text1"/>
          <w:spacing w:val="3"/>
          <w:sz w:val="32"/>
          <w:szCs w:val="32"/>
          <w14:textFill>
            <w14:solidFill>
              <w14:schemeClr w14:val="tx1"/>
            </w14:solidFill>
          </w14:textFill>
        </w:rPr>
        <w:t>见和建议；</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（二）可优先获得行业有关标准、信息及技术资料；对受委</w:t>
      </w:r>
      <w:r>
        <w:rPr>
          <w:rFonts w:ascii="仿宋" w:hAnsi="仿宋" w:eastAsia="仿宋" w:cs="仿宋"/>
          <w:color w:val="000000" w:themeColor="text1"/>
          <w:spacing w:val="7"/>
          <w:sz w:val="32"/>
          <w:szCs w:val="32"/>
          <w14:textFill>
            <w14:solidFill>
              <w14:schemeClr w14:val="tx1"/>
            </w14:solidFill>
          </w14:textFill>
        </w:rPr>
        <w:t>托的工作项目有知情权；</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6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7"/>
          <w:sz w:val="32"/>
          <w:szCs w:val="32"/>
          <w14:textFill>
            <w14:solidFill>
              <w14:schemeClr w14:val="tx1"/>
            </w14:solidFill>
          </w14:textFill>
        </w:rPr>
        <w:t>（三）按相关规定获取合理的劳动报酬；</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72"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8"/>
          <w:sz w:val="32"/>
          <w:szCs w:val="32"/>
          <w14:textFill>
            <w14:solidFill>
              <w14:schemeClr w14:val="tx1"/>
            </w14:solidFill>
          </w14:textFill>
        </w:rPr>
        <w:t>（四）接受邀请参加行业相关的会议和相关活动；</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6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7"/>
          <w:sz w:val="32"/>
          <w:szCs w:val="32"/>
          <w14:textFill>
            <w14:solidFill>
              <w14:schemeClr w14:val="tx1"/>
            </w14:solidFill>
          </w14:textFill>
        </w:rPr>
        <w:t>（五）可自愿申请退出专家库；</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72"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8"/>
          <w:sz w:val="32"/>
          <w:szCs w:val="32"/>
          <w14:textFill>
            <w14:solidFill>
              <w14:schemeClr w14:val="tx1"/>
            </w14:solidFill>
          </w14:textFill>
        </w:rPr>
        <w:t>（六）独立参与物业服务管理活动，不受非法干预；</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52"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3"/>
          <w:sz w:val="32"/>
          <w:szCs w:val="32"/>
          <w14:textFill>
            <w14:solidFill>
              <w14:schemeClr w14:val="tx1"/>
            </w14:solidFill>
          </w14:textFill>
        </w:rPr>
        <w:t>（七）申请推选成为省级专家候选人；</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（八）法律、法规、规章、规范性文件等相关规定的其他权</w:t>
      </w:r>
      <w:r>
        <w:rPr>
          <w:rFonts w:ascii="仿宋" w:hAnsi="仿宋" w:eastAsia="仿宋" w:cs="仿宋"/>
          <w:color w:val="000000" w:themeColor="text1"/>
          <w:spacing w:val="-6"/>
          <w:sz w:val="32"/>
          <w:szCs w:val="32"/>
          <w14:textFill>
            <w14:solidFill>
              <w14:schemeClr w14:val="tx1"/>
            </w14:solidFill>
          </w14:textFill>
        </w:rPr>
        <w:t>利。</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5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pacing w:val="4"/>
          <w:sz w:val="32"/>
          <w:szCs w:val="32"/>
          <w14:textFill>
            <w14:solidFill>
              <w14:schemeClr w14:val="tx1"/>
            </w14:solidFill>
          </w14:textFill>
        </w:rPr>
        <w:t>第十九条</w:t>
      </w:r>
      <w:r>
        <w:rPr>
          <w:rFonts w:hint="eastAsia" w:ascii="仿宋" w:hAnsi="仿宋" w:eastAsia="仿宋" w:cs="仿宋"/>
          <w:color w:val="000000" w:themeColor="text1"/>
          <w:spacing w:val="7"/>
          <w:sz w:val="32"/>
          <w:szCs w:val="32"/>
          <w14:textFill>
            <w14:solidFill>
              <w14:schemeClr w14:val="tx1"/>
            </w14:solidFill>
          </w14:textFill>
        </w:rPr>
        <w:t xml:space="preserve">  </w:t>
      </w:r>
      <w:r>
        <w:rPr>
          <w:rFonts w:ascii="仿宋" w:hAnsi="仿宋" w:eastAsia="仿宋" w:cs="仿宋"/>
          <w:color w:val="000000" w:themeColor="text1"/>
          <w:spacing w:val="7"/>
          <w:sz w:val="32"/>
          <w:szCs w:val="32"/>
          <w14:textFill>
            <w14:solidFill>
              <w14:schemeClr w14:val="tx1"/>
            </w14:solidFill>
          </w14:textFill>
        </w:rPr>
        <w:t>专家库专家应履行以下义务：</w:t>
      </w:r>
    </w:p>
    <w:p>
      <w:pPr>
        <w:keepNext w:val="0"/>
        <w:keepLines w:val="0"/>
        <w:pageBreakBefore w:val="0"/>
        <w:widowControl w:val="0"/>
        <w:kinsoku/>
        <w:wordWrap/>
        <w:overflowPunct/>
        <w:topLinePunct w:val="0"/>
        <w:autoSpaceDE/>
        <w:autoSpaceDN/>
        <w:bidi w:val="0"/>
        <w:adjustRightInd w:val="0"/>
        <w:snapToGrid w:val="0"/>
        <w:spacing w:line="579" w:lineRule="exact"/>
        <w:ind w:firstLine="64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2"/>
          <w:sz w:val="32"/>
          <w:szCs w:val="32"/>
          <w14:textFill>
            <w14:solidFill>
              <w14:schemeClr w14:val="tx1"/>
            </w14:solidFill>
          </w14:textFill>
        </w:rPr>
        <w:t>（一）自觉遵守法律、法规，以及相关政策的规定和要求；</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（二）按时、认真负责地完成物业行政主管部门或其它单位</w:t>
      </w:r>
      <w:r>
        <w:rPr>
          <w:rFonts w:ascii="仿宋" w:hAnsi="仿宋" w:eastAsia="仿宋" w:cs="仿宋"/>
          <w:color w:val="000000" w:themeColor="text1"/>
          <w:spacing w:val="8"/>
          <w:sz w:val="32"/>
          <w:szCs w:val="32"/>
          <w14:textFill>
            <w14:solidFill>
              <w14:schemeClr w14:val="tx1"/>
            </w14:solidFill>
          </w14:textFill>
        </w:rPr>
        <w:t>委托的工作，因故不能参加的，应当事先告知委托人；</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（三）遵守职业道德，遵守保密纪律，不泄露委托方的商业</w:t>
      </w:r>
      <w:r>
        <w:rPr>
          <w:rFonts w:ascii="仿宋" w:hAnsi="仿宋" w:eastAsia="仿宋" w:cs="仿宋"/>
          <w:color w:val="000000" w:themeColor="text1"/>
          <w:spacing w:val="5"/>
          <w:sz w:val="32"/>
          <w:szCs w:val="32"/>
          <w14:textFill>
            <w14:solidFill>
              <w14:schemeClr w14:val="tx1"/>
            </w14:solidFill>
          </w14:textFill>
        </w:rPr>
        <w:t>秘密及相关信息；</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2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3"/>
          <w:sz w:val="32"/>
          <w:szCs w:val="32"/>
          <w14:textFill>
            <w14:solidFill>
              <w14:schemeClr w14:val="tx1"/>
            </w14:solidFill>
          </w14:textFill>
        </w:rPr>
        <w:t>（四）不得徇私舞弊，以专家名义活动，接</w:t>
      </w:r>
      <w:r>
        <w:rPr>
          <w:rFonts w:ascii="仿宋" w:hAnsi="仿宋" w:eastAsia="仿宋" w:cs="仿宋"/>
          <w:color w:val="000000" w:themeColor="text1"/>
          <w:spacing w:val="-4"/>
          <w:sz w:val="32"/>
          <w:szCs w:val="32"/>
          <w14:textFill>
            <w14:solidFill>
              <w14:schemeClr w14:val="tx1"/>
            </w14:solidFill>
          </w14:textFill>
        </w:rPr>
        <w:t>受或者索取馈赠、</w:t>
      </w:r>
      <w:r>
        <w:rPr>
          <w:rFonts w:ascii="仿宋" w:hAnsi="仿宋" w:eastAsia="仿宋" w:cs="仿宋"/>
          <w:color w:val="000000" w:themeColor="text1"/>
          <w:spacing w:val="6"/>
          <w:sz w:val="32"/>
          <w:szCs w:val="32"/>
          <w14:textFill>
            <w14:solidFill>
              <w14:schemeClr w14:val="tx1"/>
            </w14:solidFill>
          </w14:textFill>
        </w:rPr>
        <w:t>宴请和不正当利益；</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（五）发现物业管理活动中有不正当竞争、恶意串通、弄虚</w:t>
      </w:r>
      <w:r>
        <w:rPr>
          <w:rFonts w:ascii="仿宋" w:hAnsi="仿宋" w:eastAsia="仿宋" w:cs="仿宋"/>
          <w:color w:val="000000" w:themeColor="text1"/>
          <w:spacing w:val="5"/>
          <w:sz w:val="32"/>
          <w:szCs w:val="32"/>
          <w14:textFill>
            <w14:solidFill>
              <w14:schemeClr w14:val="tx1"/>
            </w14:solidFill>
          </w14:textFill>
        </w:rPr>
        <w:t>作假等违规行为的，应当制止并及时向属地区物业行政主管部门</w:t>
      </w:r>
      <w:r>
        <w:rPr>
          <w:rFonts w:ascii="仿宋" w:hAnsi="仿宋" w:eastAsia="仿宋" w:cs="仿宋"/>
          <w:color w:val="000000" w:themeColor="text1"/>
          <w:spacing w:val="-1"/>
          <w:sz w:val="32"/>
          <w:szCs w:val="32"/>
          <w14:textFill>
            <w14:solidFill>
              <w14:schemeClr w14:val="tx1"/>
            </w14:solidFill>
          </w14:textFill>
        </w:rPr>
        <w:t>报告；</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（六）主动协助、配合行政主管部门对相关工作的监督、检</w:t>
      </w:r>
      <w:r>
        <w:rPr>
          <w:rFonts w:ascii="仿宋" w:hAnsi="仿宋" w:eastAsia="仿宋" w:cs="仿宋"/>
          <w:color w:val="000000" w:themeColor="text1"/>
          <w:spacing w:val="-8"/>
          <w:sz w:val="32"/>
          <w:szCs w:val="32"/>
          <w14:textFill>
            <w14:solidFill>
              <w14:schemeClr w14:val="tx1"/>
            </w14:solidFill>
          </w14:textFill>
        </w:rPr>
        <w:t>查；</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72"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8"/>
          <w:sz w:val="32"/>
          <w:szCs w:val="32"/>
          <w14:textFill>
            <w14:solidFill>
              <w14:schemeClr w14:val="tx1"/>
            </w14:solidFill>
          </w14:textFill>
        </w:rPr>
        <w:t>（七）配合邀请单位处理所参与活动的异议、投诉事项；</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（八）不得向项目的实施主体或其代理机构征询确定竞得人</w:t>
      </w:r>
      <w:r>
        <w:rPr>
          <w:rFonts w:ascii="仿宋" w:hAnsi="仿宋" w:eastAsia="仿宋" w:cs="仿宋"/>
          <w:color w:val="000000" w:themeColor="text1"/>
          <w:spacing w:val="5"/>
          <w:sz w:val="32"/>
          <w:szCs w:val="32"/>
          <w14:textFill>
            <w14:solidFill>
              <w14:schemeClr w14:val="tx1"/>
            </w14:solidFill>
          </w14:textFill>
        </w:rPr>
        <w:t>的意向，或者接受任何单位或者个人明示或者暗示提出的倾</w:t>
      </w:r>
      <w:r>
        <w:rPr>
          <w:rFonts w:ascii="仿宋" w:hAnsi="仿宋" w:eastAsia="仿宋" w:cs="仿宋"/>
          <w:color w:val="000000" w:themeColor="text1"/>
          <w:spacing w:val="4"/>
          <w:sz w:val="32"/>
          <w:szCs w:val="32"/>
          <w14:textFill>
            <w14:solidFill>
              <w14:schemeClr w14:val="tx1"/>
            </w14:solidFill>
          </w14:textFill>
        </w:rPr>
        <w:t>向或</w:t>
      </w:r>
      <w:r>
        <w:rPr>
          <w:rFonts w:ascii="仿宋" w:hAnsi="仿宋" w:eastAsia="仿宋" w:cs="仿宋"/>
          <w:color w:val="000000" w:themeColor="text1"/>
          <w:spacing w:val="7"/>
          <w:sz w:val="32"/>
          <w:szCs w:val="32"/>
          <w14:textFill>
            <w14:solidFill>
              <w14:schemeClr w14:val="tx1"/>
            </w14:solidFill>
          </w14:textFill>
        </w:rPr>
        <w:t>者排斥特定竞争主体的要求；</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（九）及时向市物业行政主管部门报送个人变更信息，并提</w:t>
      </w:r>
      <w:r>
        <w:rPr>
          <w:rFonts w:ascii="仿宋" w:hAnsi="仿宋" w:eastAsia="仿宋" w:cs="仿宋"/>
          <w:color w:val="000000" w:themeColor="text1"/>
          <w:spacing w:val="5"/>
          <w:sz w:val="32"/>
          <w:szCs w:val="32"/>
          <w14:textFill>
            <w14:solidFill>
              <w14:schemeClr w14:val="tx1"/>
            </w14:solidFill>
          </w14:textFill>
        </w:rPr>
        <w:t>供相应证明材料；</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（十）因故无法参加邀请单位工作的，应当提前请假并说明</w:t>
      </w:r>
      <w:r>
        <w:rPr>
          <w:rFonts w:ascii="仿宋" w:hAnsi="仿宋" w:eastAsia="仿宋" w:cs="仿宋"/>
          <w:color w:val="000000" w:themeColor="text1"/>
          <w:spacing w:val="-4"/>
          <w:sz w:val="32"/>
          <w:szCs w:val="32"/>
          <w14:textFill>
            <w14:solidFill>
              <w14:schemeClr w14:val="tx1"/>
            </w14:solidFill>
          </w14:textFill>
        </w:rPr>
        <w:t>原因；</w:t>
      </w:r>
    </w:p>
    <w:p>
      <w:pPr>
        <w:keepNext w:val="0"/>
        <w:keepLines w:val="0"/>
        <w:pageBreakBefore w:val="0"/>
        <w:widowControl w:val="0"/>
        <w:kinsoku/>
        <w:wordWrap/>
        <w:overflowPunct/>
        <w:topLinePunct w:val="0"/>
        <w:autoSpaceDE/>
        <w:autoSpaceDN/>
        <w:bidi w:val="0"/>
        <w:adjustRightInd w:val="0"/>
        <w:snapToGrid w:val="0"/>
        <w:spacing w:line="579" w:lineRule="exact"/>
        <w:ind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（十一）因个人原因在较长时间无法受邀参与</w:t>
      </w:r>
      <w:r>
        <w:rPr>
          <w:rFonts w:ascii="仿宋" w:hAnsi="仿宋" w:eastAsia="仿宋" w:cs="仿宋"/>
          <w:color w:val="000000" w:themeColor="text1"/>
          <w:spacing w:val="3"/>
          <w:sz w:val="32"/>
          <w:szCs w:val="32"/>
          <w14:textFill>
            <w14:solidFill>
              <w14:schemeClr w14:val="tx1"/>
            </w14:solidFill>
          </w14:textFill>
        </w:rPr>
        <w:t>专家工作的，</w:t>
      </w:r>
      <w:r>
        <w:rPr>
          <w:rFonts w:ascii="仿宋" w:hAnsi="仿宋" w:eastAsia="仿宋" w:cs="仿宋"/>
          <w:color w:val="000000" w:themeColor="text1"/>
          <w:spacing w:val="5"/>
          <w:sz w:val="32"/>
          <w:szCs w:val="32"/>
          <w14:textFill>
            <w14:solidFill>
              <w14:schemeClr w14:val="tx1"/>
            </w14:solidFill>
          </w14:textFill>
        </w:rPr>
        <w:t>应当持所在单位证明或者其他有效证明，提前向市物业行政主管</w:t>
      </w:r>
      <w:r>
        <w:rPr>
          <w:rFonts w:ascii="仿宋" w:hAnsi="仿宋" w:eastAsia="仿宋" w:cs="仿宋"/>
          <w:color w:val="000000" w:themeColor="text1"/>
          <w:spacing w:val="3"/>
          <w:sz w:val="32"/>
          <w:szCs w:val="32"/>
          <w14:textFill>
            <w14:solidFill>
              <w14:schemeClr w14:val="tx1"/>
            </w14:solidFill>
          </w14:textFill>
        </w:rPr>
        <w:t>部门报备；</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72"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8"/>
          <w:sz w:val="32"/>
          <w:szCs w:val="32"/>
          <w14:textFill>
            <w14:solidFill>
              <w14:schemeClr w14:val="tx1"/>
            </w14:solidFill>
          </w14:textFill>
        </w:rPr>
        <w:t>（十二）接受市物业行政主管部门组织的培训；</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72"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8"/>
          <w:sz w:val="32"/>
          <w:szCs w:val="32"/>
          <w14:textFill>
            <w14:solidFill>
              <w14:schemeClr w14:val="tx1"/>
            </w14:solidFill>
          </w14:textFill>
        </w:rPr>
        <w:t>（十三）市物业行政主管部门规定的其他义务。</w:t>
      </w:r>
    </w:p>
    <w:p>
      <w:pPr>
        <w:keepNext w:val="0"/>
        <w:keepLines w:val="0"/>
        <w:pageBreakBefore w:val="0"/>
        <w:widowControl w:val="0"/>
        <w:kinsoku/>
        <w:wordWrap/>
        <w:overflowPunct/>
        <w:topLinePunct w:val="0"/>
        <w:autoSpaceDE/>
        <w:autoSpaceDN/>
        <w:bidi w:val="0"/>
        <w:adjustRightInd w:val="0"/>
        <w:snapToGrid w:val="0"/>
        <w:spacing w:line="579" w:lineRule="exact"/>
        <w:ind w:right="0" w:firstLine="65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pacing w:val="4"/>
          <w:sz w:val="32"/>
          <w:szCs w:val="32"/>
          <w14:textFill>
            <w14:solidFill>
              <w14:schemeClr w14:val="tx1"/>
            </w14:solidFill>
          </w14:textFill>
        </w:rPr>
        <w:t>第二十条</w:t>
      </w:r>
      <w:r>
        <w:rPr>
          <w:rFonts w:hint="eastAsia" w:ascii="仿宋" w:hAnsi="仿宋" w:eastAsia="仿宋" w:cs="仿宋"/>
          <w:color w:val="000000" w:themeColor="text1"/>
          <w:spacing w:val="6"/>
          <w:sz w:val="32"/>
          <w:szCs w:val="32"/>
          <w14:textFill>
            <w14:solidFill>
              <w14:schemeClr w14:val="tx1"/>
            </w14:solidFill>
          </w14:textFill>
        </w:rPr>
        <w:t xml:space="preserve">  </w:t>
      </w:r>
      <w:r>
        <w:rPr>
          <w:rFonts w:ascii="仿宋" w:hAnsi="仿宋" w:eastAsia="仿宋" w:cs="仿宋"/>
          <w:color w:val="000000" w:themeColor="text1"/>
          <w:spacing w:val="6"/>
          <w:sz w:val="32"/>
          <w:szCs w:val="32"/>
          <w14:textFill>
            <w14:solidFill>
              <w14:schemeClr w14:val="tx1"/>
            </w14:solidFill>
          </w14:textFill>
        </w:rPr>
        <w:t>专家存在下列情形之一的，必须主动提出回避，</w:t>
      </w:r>
      <w:r>
        <w:rPr>
          <w:rFonts w:ascii="仿宋" w:hAnsi="仿宋" w:eastAsia="仿宋" w:cs="仿宋"/>
          <w:color w:val="000000" w:themeColor="text1"/>
          <w:spacing w:val="7"/>
          <w:sz w:val="32"/>
          <w:szCs w:val="32"/>
          <w14:textFill>
            <w14:solidFill>
              <w14:schemeClr w14:val="tx1"/>
            </w14:solidFill>
          </w14:textFill>
        </w:rPr>
        <w:t>利害关系人也有权提出回避申请：</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72"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8"/>
          <w:sz w:val="32"/>
          <w:szCs w:val="32"/>
          <w14:textFill>
            <w14:solidFill>
              <w14:schemeClr w14:val="tx1"/>
            </w14:solidFill>
          </w14:textFill>
        </w:rPr>
        <w:t>（一）本人或者近亲属在被检项目的服务单位任职；</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（二）本人或者近亲属与被检项目及其服务单位有直接利害</w:t>
      </w:r>
      <w:r>
        <w:rPr>
          <w:rFonts w:ascii="仿宋" w:hAnsi="仿宋" w:eastAsia="仿宋" w:cs="仿宋"/>
          <w:color w:val="000000" w:themeColor="text1"/>
          <w:spacing w:val="-4"/>
          <w:sz w:val="32"/>
          <w:szCs w:val="32"/>
          <w14:textFill>
            <w14:solidFill>
              <w14:schemeClr w14:val="tx1"/>
            </w14:solidFill>
          </w14:textFill>
        </w:rPr>
        <w:t>关系；</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6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7"/>
          <w:sz w:val="32"/>
          <w:szCs w:val="32"/>
          <w14:textFill>
            <w14:solidFill>
              <w14:schemeClr w14:val="tx1"/>
            </w14:solidFill>
          </w14:textFill>
        </w:rPr>
        <w:t>（三）其他影响公平、公正履行专家职责，或</w:t>
      </w:r>
      <w:r>
        <w:rPr>
          <w:rFonts w:ascii="仿宋" w:hAnsi="仿宋" w:eastAsia="仿宋" w:cs="仿宋"/>
          <w:color w:val="000000" w:themeColor="text1"/>
          <w:spacing w:val="6"/>
          <w:sz w:val="32"/>
          <w:szCs w:val="32"/>
          <w14:textFill>
            <w14:solidFill>
              <w14:schemeClr w14:val="tx1"/>
            </w14:solidFill>
          </w14:textFill>
        </w:rPr>
        <w:t>者相关法律、</w:t>
      </w:r>
      <w:r>
        <w:rPr>
          <w:rFonts w:ascii="仿宋" w:hAnsi="仿宋" w:eastAsia="仿宋" w:cs="仿宋"/>
          <w:color w:val="000000" w:themeColor="text1"/>
          <w:spacing w:val="7"/>
          <w:sz w:val="32"/>
          <w:szCs w:val="32"/>
          <w14:textFill>
            <w14:solidFill>
              <w14:schemeClr w14:val="tx1"/>
            </w14:solidFill>
          </w14:textFill>
        </w:rPr>
        <w:t>法规、规章、规范性文件规定应当回避的。</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5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pacing w:val="4"/>
          <w:sz w:val="32"/>
          <w:szCs w:val="32"/>
          <w14:textFill>
            <w14:solidFill>
              <w14:schemeClr w14:val="tx1"/>
            </w14:solidFill>
          </w14:textFill>
        </w:rPr>
        <w:t>第二十一条</w:t>
      </w:r>
      <w:r>
        <w:rPr>
          <w:rFonts w:hint="eastAsia" w:ascii="仿宋" w:hAnsi="仿宋" w:eastAsia="仿宋" w:cs="仿宋"/>
          <w:color w:val="000000" w:themeColor="text1"/>
          <w:spacing w:val="8"/>
          <w:sz w:val="32"/>
          <w:szCs w:val="32"/>
          <w14:textFill>
            <w14:solidFill>
              <w14:schemeClr w14:val="tx1"/>
            </w14:solidFill>
          </w14:textFill>
        </w:rPr>
        <w:t xml:space="preserve">  </w:t>
      </w:r>
      <w:r>
        <w:rPr>
          <w:rFonts w:ascii="仿宋" w:hAnsi="仿宋" w:eastAsia="仿宋" w:cs="仿宋"/>
          <w:color w:val="000000" w:themeColor="text1"/>
          <w:spacing w:val="8"/>
          <w:sz w:val="32"/>
          <w:szCs w:val="32"/>
          <w14:textFill>
            <w14:solidFill>
              <w14:schemeClr w14:val="tx1"/>
            </w14:solidFill>
          </w14:textFill>
        </w:rPr>
        <w:t>有下列情形之一的专家，不再聘用：</w:t>
      </w:r>
    </w:p>
    <w:p>
      <w:pPr>
        <w:keepNext w:val="0"/>
        <w:keepLines w:val="0"/>
        <w:pageBreakBefore w:val="0"/>
        <w:widowControl w:val="0"/>
        <w:numPr>
          <w:ilvl w:val="0"/>
          <w:numId w:val="2"/>
        </w:numPr>
        <w:kinsoku/>
        <w:wordWrap/>
        <w:overflowPunct/>
        <w:topLinePunct w:val="0"/>
        <w:autoSpaceDE/>
        <w:autoSpaceDN/>
        <w:bidi w:val="0"/>
        <w:adjustRightInd w:val="0"/>
        <w:snapToGrid w:val="0"/>
        <w:spacing w:line="579" w:lineRule="exact"/>
        <w:ind w:left="0" w:firstLine="668" w:firstLineChars="200"/>
        <w:jc w:val="both"/>
        <w:textAlignment w:val="auto"/>
        <w:rPr>
          <w:rFonts w:ascii="仿宋" w:hAnsi="仿宋" w:eastAsia="仿宋" w:cs="仿宋"/>
          <w:color w:val="000000" w:themeColor="text1"/>
          <w:spacing w:val="7"/>
          <w:sz w:val="32"/>
          <w:szCs w:val="32"/>
          <w14:textFill>
            <w14:solidFill>
              <w14:schemeClr w14:val="tx1"/>
            </w14:solidFill>
          </w14:textFill>
        </w:rPr>
      </w:pPr>
      <w:r>
        <w:rPr>
          <w:rFonts w:ascii="仿宋" w:hAnsi="仿宋" w:eastAsia="仿宋" w:cs="仿宋"/>
          <w:color w:val="000000" w:themeColor="text1"/>
          <w:spacing w:val="7"/>
          <w:sz w:val="32"/>
          <w:szCs w:val="32"/>
          <w14:textFill>
            <w14:solidFill>
              <w14:schemeClr w14:val="tx1"/>
            </w14:solidFill>
          </w14:textFill>
        </w:rPr>
        <w:t>不再符合本办法第八条规定条件；</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72"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8"/>
          <w:sz w:val="32"/>
          <w:szCs w:val="32"/>
          <w:lang w:eastAsia="zh-CN"/>
          <w14:textFill>
            <w14:solidFill>
              <w14:schemeClr w14:val="tx1"/>
            </w14:solidFill>
          </w14:textFill>
        </w:rPr>
        <w:t>（</w:t>
      </w:r>
      <w:r>
        <w:rPr>
          <w:rFonts w:ascii="仿宋" w:hAnsi="仿宋" w:eastAsia="仿宋" w:cs="仿宋"/>
          <w:color w:val="000000" w:themeColor="text1"/>
          <w:spacing w:val="8"/>
          <w:sz w:val="32"/>
          <w:szCs w:val="32"/>
          <w14:textFill>
            <w14:solidFill>
              <w14:schemeClr w14:val="tx1"/>
            </w14:solidFill>
          </w14:textFill>
        </w:rPr>
        <w:t>二）因健康或者工作等原因不能继续担任专家；</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6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7"/>
          <w:sz w:val="32"/>
          <w:szCs w:val="32"/>
          <w14:textFill>
            <w14:solidFill>
              <w14:schemeClr w14:val="tx1"/>
            </w14:solidFill>
          </w14:textFill>
        </w:rPr>
        <w:t>（三）本人申请自愿退出专家库。</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pacing w:val="4"/>
          <w:sz w:val="32"/>
          <w:szCs w:val="32"/>
          <w14:textFill>
            <w14:solidFill>
              <w14:schemeClr w14:val="tx1"/>
            </w14:solidFill>
          </w14:textFill>
        </w:rPr>
        <w:t>第二十二条</w:t>
      </w:r>
      <w:r>
        <w:rPr>
          <w:rFonts w:hint="eastAsia" w:ascii="仿宋" w:hAnsi="仿宋" w:eastAsia="仿宋" w:cs="仿宋"/>
          <w:color w:val="000000" w:themeColor="text1"/>
          <w:spacing w:val="16"/>
          <w:sz w:val="32"/>
          <w:szCs w:val="32"/>
          <w14:textFill>
            <w14:solidFill>
              <w14:schemeClr w14:val="tx1"/>
            </w14:solidFill>
          </w14:textFill>
        </w:rPr>
        <w:t xml:space="preserve">  </w:t>
      </w:r>
      <w:r>
        <w:rPr>
          <w:rFonts w:ascii="仿宋" w:hAnsi="仿宋" w:eastAsia="仿宋" w:cs="仿宋"/>
          <w:color w:val="000000" w:themeColor="text1"/>
          <w:spacing w:val="16"/>
          <w:sz w:val="32"/>
          <w:szCs w:val="32"/>
          <w14:textFill>
            <w14:solidFill>
              <w14:schemeClr w14:val="tx1"/>
            </w14:solidFill>
          </w14:textFill>
        </w:rPr>
        <w:t>有下列情形之一的专家，从专家库中予以清</w:t>
      </w:r>
      <w:r>
        <w:rPr>
          <w:rFonts w:ascii="仿宋" w:hAnsi="仿宋" w:eastAsia="仿宋" w:cs="仿宋"/>
          <w:color w:val="000000" w:themeColor="text1"/>
          <w:spacing w:val="6"/>
          <w:sz w:val="32"/>
          <w:szCs w:val="32"/>
          <w14:textFill>
            <w14:solidFill>
              <w14:schemeClr w14:val="tx1"/>
            </w14:solidFill>
          </w14:textFill>
        </w:rPr>
        <w:t>退，解除其专家资格：</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72"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8"/>
          <w:sz w:val="32"/>
          <w:szCs w:val="32"/>
          <w14:textFill>
            <w14:solidFill>
              <w14:schemeClr w14:val="tx1"/>
            </w14:solidFill>
          </w14:textFill>
        </w:rPr>
        <w:t>（一）未按本办法第十九条规定履行专家义务；</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72"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8"/>
          <w:sz w:val="32"/>
          <w:szCs w:val="32"/>
          <w14:textFill>
            <w14:solidFill>
              <w14:schemeClr w14:val="tx1"/>
            </w14:solidFill>
          </w14:textFill>
        </w:rPr>
        <w:t>（二）按照本办法第二十条规定应当回避而未回避的；</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（三）被随机抽中为物业管理项目评标专家、量化考核现场</w:t>
      </w:r>
      <w:r>
        <w:rPr>
          <w:rFonts w:ascii="仿宋" w:hAnsi="仿宋" w:eastAsia="仿宋" w:cs="仿宋"/>
          <w:color w:val="000000" w:themeColor="text1"/>
          <w:spacing w:val="7"/>
          <w:sz w:val="32"/>
          <w:szCs w:val="32"/>
          <w14:textFill>
            <w14:solidFill>
              <w14:schemeClr w14:val="tx1"/>
            </w14:solidFill>
          </w14:textFill>
        </w:rPr>
        <w:t>检查专家但无正当理由不参与，每年度累计</w:t>
      </w:r>
      <w:r>
        <w:rPr>
          <w:rFonts w:ascii="仿宋" w:hAnsi="仿宋" w:eastAsia="仿宋" w:cs="仿宋"/>
          <w:color w:val="000000" w:themeColor="text1"/>
          <w:spacing w:val="6"/>
          <w:sz w:val="32"/>
          <w:szCs w:val="32"/>
          <w14:textFill>
            <w14:solidFill>
              <w14:schemeClr w14:val="tx1"/>
            </w14:solidFill>
          </w14:textFill>
        </w:rPr>
        <w:t>3次以上的；</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w:t>
      </w:r>
      <w:r>
        <w:rPr>
          <w:rFonts w:hint="eastAsia" w:ascii="仿宋" w:hAnsi="仿宋" w:eastAsia="仿宋" w:cs="仿宋"/>
          <w:color w:val="000000" w:themeColor="text1"/>
          <w:spacing w:val="4"/>
          <w:sz w:val="32"/>
          <w:szCs w:val="32"/>
          <w:lang w:eastAsia="zh-CN"/>
          <w14:textFill>
            <w14:solidFill>
              <w14:schemeClr w14:val="tx1"/>
            </w14:solidFill>
          </w14:textFill>
        </w:rPr>
        <w:t>四</w:t>
      </w:r>
      <w:r>
        <w:rPr>
          <w:rFonts w:ascii="仿宋" w:hAnsi="仿宋" w:eastAsia="仿宋" w:cs="仿宋"/>
          <w:color w:val="000000" w:themeColor="text1"/>
          <w:spacing w:val="4"/>
          <w:sz w:val="32"/>
          <w:szCs w:val="32"/>
          <w14:textFill>
            <w14:solidFill>
              <w14:schemeClr w14:val="tx1"/>
            </w14:solidFill>
          </w14:textFill>
        </w:rPr>
        <w:t>）无正当理由推卸、放弃物业行政主管部门及有关单位</w:t>
      </w:r>
      <w:r>
        <w:rPr>
          <w:rFonts w:ascii="仿宋" w:hAnsi="仿宋" w:eastAsia="仿宋" w:cs="仿宋"/>
          <w:color w:val="000000" w:themeColor="text1"/>
          <w:spacing w:val="10"/>
          <w:sz w:val="32"/>
          <w:szCs w:val="32"/>
          <w14:textFill>
            <w14:solidFill>
              <w14:schemeClr w14:val="tx1"/>
            </w14:solidFill>
          </w14:textFill>
        </w:rPr>
        <w:t>委托的物业管理工作事宜每年度累计2次以上的；</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6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7"/>
          <w:sz w:val="32"/>
          <w:szCs w:val="32"/>
          <w14:textFill>
            <w14:solidFill>
              <w14:schemeClr w14:val="tx1"/>
            </w14:solidFill>
          </w14:textFill>
        </w:rPr>
        <w:t>（</w:t>
      </w:r>
      <w:r>
        <w:rPr>
          <w:rFonts w:hint="eastAsia" w:ascii="仿宋" w:hAnsi="仿宋" w:eastAsia="仿宋" w:cs="仿宋"/>
          <w:color w:val="000000" w:themeColor="text1"/>
          <w:spacing w:val="7"/>
          <w:sz w:val="32"/>
          <w:szCs w:val="32"/>
          <w:lang w:eastAsia="zh-CN"/>
          <w14:textFill>
            <w14:solidFill>
              <w14:schemeClr w14:val="tx1"/>
            </w14:solidFill>
          </w14:textFill>
        </w:rPr>
        <w:t>五</w:t>
      </w:r>
      <w:r>
        <w:rPr>
          <w:rFonts w:ascii="仿宋" w:hAnsi="仿宋" w:eastAsia="仿宋" w:cs="仿宋"/>
          <w:color w:val="000000" w:themeColor="text1"/>
          <w:spacing w:val="7"/>
          <w:sz w:val="32"/>
          <w:szCs w:val="32"/>
          <w14:textFill>
            <w14:solidFill>
              <w14:schemeClr w14:val="tx1"/>
            </w14:solidFill>
          </w14:textFill>
        </w:rPr>
        <w:t>）弄虚作假骗取专家证书的；</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w:t>
      </w:r>
      <w:r>
        <w:rPr>
          <w:rFonts w:hint="eastAsia" w:ascii="仿宋" w:hAnsi="仿宋" w:eastAsia="仿宋" w:cs="仿宋"/>
          <w:color w:val="000000" w:themeColor="text1"/>
          <w:spacing w:val="4"/>
          <w:sz w:val="32"/>
          <w:szCs w:val="32"/>
          <w:lang w:eastAsia="zh-CN"/>
          <w14:textFill>
            <w14:solidFill>
              <w14:schemeClr w14:val="tx1"/>
            </w14:solidFill>
          </w14:textFill>
        </w:rPr>
        <w:t>六</w:t>
      </w:r>
      <w:r>
        <w:rPr>
          <w:rFonts w:ascii="仿宋" w:hAnsi="仿宋" w:eastAsia="仿宋" w:cs="仿宋"/>
          <w:color w:val="000000" w:themeColor="text1"/>
          <w:spacing w:val="4"/>
          <w:sz w:val="32"/>
          <w:szCs w:val="32"/>
          <w14:textFill>
            <w14:solidFill>
              <w14:schemeClr w14:val="tx1"/>
            </w14:solidFill>
          </w14:textFill>
        </w:rPr>
        <w:t>）存在徇私舞弊、弄虚作假、玩忽职守等影响评审结果</w:t>
      </w:r>
      <w:r>
        <w:rPr>
          <w:rFonts w:ascii="仿宋" w:hAnsi="仿宋" w:eastAsia="仿宋" w:cs="仿宋"/>
          <w:color w:val="000000" w:themeColor="text1"/>
          <w:spacing w:val="6"/>
          <w:sz w:val="32"/>
          <w:szCs w:val="32"/>
          <w14:textFill>
            <w14:solidFill>
              <w14:schemeClr w14:val="tx1"/>
            </w14:solidFill>
          </w14:textFill>
        </w:rPr>
        <w:t>或者造成其他不良后果的；</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w:t>
      </w:r>
      <w:r>
        <w:rPr>
          <w:rFonts w:hint="eastAsia" w:ascii="仿宋" w:hAnsi="仿宋" w:eastAsia="仿宋" w:cs="仿宋"/>
          <w:color w:val="000000" w:themeColor="text1"/>
          <w:spacing w:val="4"/>
          <w:sz w:val="32"/>
          <w:szCs w:val="32"/>
          <w:lang w:eastAsia="zh-CN"/>
          <w14:textFill>
            <w14:solidFill>
              <w14:schemeClr w14:val="tx1"/>
            </w14:solidFill>
          </w14:textFill>
        </w:rPr>
        <w:t>七</w:t>
      </w:r>
      <w:r>
        <w:rPr>
          <w:rFonts w:ascii="仿宋" w:hAnsi="仿宋" w:eastAsia="仿宋" w:cs="仿宋"/>
          <w:color w:val="000000" w:themeColor="text1"/>
          <w:spacing w:val="4"/>
          <w:sz w:val="32"/>
          <w:szCs w:val="32"/>
          <w14:textFill>
            <w14:solidFill>
              <w14:schemeClr w14:val="tx1"/>
            </w14:solidFill>
          </w14:textFill>
        </w:rPr>
        <w:t>）不执行评标评审工作纪律，不履行专家义务，以及法</w:t>
      </w:r>
      <w:r>
        <w:rPr>
          <w:rFonts w:ascii="仿宋" w:hAnsi="仿宋" w:eastAsia="仿宋" w:cs="仿宋"/>
          <w:color w:val="000000" w:themeColor="text1"/>
          <w:spacing w:val="8"/>
          <w:sz w:val="32"/>
          <w:szCs w:val="32"/>
          <w14:textFill>
            <w14:solidFill>
              <w14:schemeClr w14:val="tx1"/>
            </w14:solidFill>
          </w14:textFill>
        </w:rPr>
        <w:t>律、法规、规章、规范性文件规定的其他情形；</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24"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w:t>
      </w:r>
      <w:r>
        <w:rPr>
          <w:rFonts w:hint="eastAsia" w:ascii="仿宋" w:hAnsi="仿宋" w:eastAsia="仿宋" w:cs="仿宋"/>
          <w:color w:val="000000" w:themeColor="text1"/>
          <w:spacing w:val="-4"/>
          <w:sz w:val="32"/>
          <w:szCs w:val="32"/>
          <w:lang w:eastAsia="zh-CN"/>
          <w14:textFill>
            <w14:solidFill>
              <w14:schemeClr w14:val="tx1"/>
            </w14:solidFill>
          </w14:textFill>
        </w:rPr>
        <w:t>八</w:t>
      </w:r>
      <w:r>
        <w:rPr>
          <w:rFonts w:ascii="仿宋" w:hAnsi="仿宋" w:eastAsia="仿宋" w:cs="仿宋"/>
          <w:color w:val="000000" w:themeColor="text1"/>
          <w:spacing w:val="-4"/>
          <w:sz w:val="32"/>
          <w:szCs w:val="32"/>
          <w14:textFill>
            <w14:solidFill>
              <w14:schemeClr w14:val="tx1"/>
            </w14:solidFill>
          </w14:textFill>
        </w:rPr>
        <w:t>）各级主管部门、单位或者个人投诉专家违法违规行为，</w:t>
      </w:r>
      <w:r>
        <w:rPr>
          <w:rFonts w:ascii="仿宋" w:hAnsi="仿宋" w:eastAsia="仿宋" w:cs="仿宋"/>
          <w:color w:val="000000" w:themeColor="text1"/>
          <w:spacing w:val="5"/>
          <w:sz w:val="32"/>
          <w:szCs w:val="32"/>
          <w14:textFill>
            <w14:solidFill>
              <w14:schemeClr w14:val="tx1"/>
            </w14:solidFill>
          </w14:textFill>
        </w:rPr>
        <w:t>经核实查证的；</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w:t>
      </w:r>
      <w:r>
        <w:rPr>
          <w:rFonts w:hint="eastAsia" w:ascii="仿宋" w:hAnsi="仿宋" w:eastAsia="仿宋" w:cs="仿宋"/>
          <w:color w:val="000000" w:themeColor="text1"/>
          <w:spacing w:val="4"/>
          <w:sz w:val="32"/>
          <w:szCs w:val="32"/>
          <w:lang w:eastAsia="zh-CN"/>
          <w14:textFill>
            <w14:solidFill>
              <w14:schemeClr w14:val="tx1"/>
            </w14:solidFill>
          </w14:textFill>
        </w:rPr>
        <w:t>九</w:t>
      </w:r>
      <w:r>
        <w:rPr>
          <w:rFonts w:ascii="仿宋" w:hAnsi="仿宋" w:eastAsia="仿宋" w:cs="仿宋"/>
          <w:color w:val="000000" w:themeColor="text1"/>
          <w:spacing w:val="4"/>
          <w:sz w:val="32"/>
          <w:szCs w:val="32"/>
          <w14:textFill>
            <w14:solidFill>
              <w14:schemeClr w14:val="tx1"/>
            </w14:solidFill>
          </w14:textFill>
        </w:rPr>
        <w:t>）有严重损害行业声誉行为或在物业管理重大责任事故</w:t>
      </w:r>
      <w:r>
        <w:rPr>
          <w:rFonts w:ascii="仿宋" w:hAnsi="仿宋" w:eastAsia="仿宋" w:cs="仿宋"/>
          <w:color w:val="000000" w:themeColor="text1"/>
          <w:spacing w:val="1"/>
          <w:sz w:val="32"/>
          <w:szCs w:val="32"/>
          <w14:textFill>
            <w14:solidFill>
              <w14:schemeClr w14:val="tx1"/>
            </w14:solidFill>
          </w14:textFill>
        </w:rPr>
        <w:t>中负有主要责任的；</w:t>
      </w:r>
    </w:p>
    <w:p>
      <w:pPr>
        <w:pStyle w:val="4"/>
        <w:keepNext w:val="0"/>
        <w:keepLines w:val="0"/>
        <w:pageBreakBefore w:val="0"/>
        <w:widowControl w:val="0"/>
        <w:kinsoku/>
        <w:wordWrap/>
        <w:overflowPunct/>
        <w:topLinePunct w:val="0"/>
        <w:autoSpaceDE/>
        <w:autoSpaceDN/>
        <w:bidi w:val="0"/>
        <w:adjustRightInd w:val="0"/>
        <w:snapToGrid w:val="0"/>
        <w:spacing w:line="579" w:lineRule="exact"/>
        <w:ind w:firstLine="672"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8"/>
          <w:sz w:val="32"/>
          <w:szCs w:val="32"/>
          <w14:textFill>
            <w14:solidFill>
              <w14:schemeClr w14:val="tx1"/>
            </w14:solidFill>
          </w14:textFill>
        </w:rPr>
        <w:t>（十）被依法追究责任或者违法犯罪的；</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6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7"/>
          <w:sz w:val="32"/>
          <w:szCs w:val="32"/>
          <w14:textFill>
            <w14:solidFill>
              <w14:schemeClr w14:val="tx1"/>
            </w14:solidFill>
          </w14:textFill>
        </w:rPr>
        <w:t>（十</w:t>
      </w:r>
      <w:r>
        <w:rPr>
          <w:rFonts w:hint="eastAsia" w:ascii="仿宋" w:hAnsi="仿宋" w:eastAsia="仿宋" w:cs="仿宋"/>
          <w:color w:val="000000" w:themeColor="text1"/>
          <w:spacing w:val="7"/>
          <w:sz w:val="32"/>
          <w:szCs w:val="32"/>
          <w:lang w:eastAsia="zh-CN"/>
          <w14:textFill>
            <w14:solidFill>
              <w14:schemeClr w14:val="tx1"/>
            </w14:solidFill>
          </w14:textFill>
        </w:rPr>
        <w:t>一</w:t>
      </w:r>
      <w:r>
        <w:rPr>
          <w:rFonts w:ascii="仿宋" w:hAnsi="仿宋" w:eastAsia="仿宋" w:cs="仿宋"/>
          <w:color w:val="000000" w:themeColor="text1"/>
          <w:spacing w:val="7"/>
          <w:sz w:val="32"/>
          <w:szCs w:val="32"/>
          <w14:textFill>
            <w14:solidFill>
              <w14:schemeClr w14:val="tx1"/>
            </w14:solidFill>
          </w14:textFill>
        </w:rPr>
        <w:t>）其他不宜担任专家的情形。</w:t>
      </w:r>
    </w:p>
    <w:p>
      <w:pPr>
        <w:keepNext w:val="0"/>
        <w:keepLines w:val="0"/>
        <w:pageBreakBefore w:val="0"/>
        <w:widowControl w:val="0"/>
        <w:kinsoku/>
        <w:wordWrap/>
        <w:overflowPunct/>
        <w:topLinePunct w:val="0"/>
        <w:autoSpaceDE/>
        <w:autoSpaceDN/>
        <w:bidi w:val="0"/>
        <w:adjustRightInd w:val="0"/>
        <w:snapToGrid w:val="0"/>
        <w:spacing w:line="579" w:lineRule="exact"/>
        <w:ind w:right="0" w:firstLine="64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2"/>
          <w:sz w:val="32"/>
          <w:szCs w:val="32"/>
          <w14:textFill>
            <w14:solidFill>
              <w14:schemeClr w14:val="tx1"/>
            </w14:solidFill>
          </w14:textFill>
        </w:rPr>
        <w:t>专家有前款第（一）至第（</w:t>
      </w:r>
      <w:r>
        <w:rPr>
          <w:rFonts w:hint="eastAsia" w:ascii="仿宋" w:hAnsi="仿宋" w:eastAsia="仿宋" w:cs="仿宋"/>
          <w:color w:val="000000" w:themeColor="text1"/>
          <w:spacing w:val="2"/>
          <w:sz w:val="32"/>
          <w:szCs w:val="32"/>
          <w:lang w:eastAsia="zh-CN"/>
          <w14:textFill>
            <w14:solidFill>
              <w14:schemeClr w14:val="tx1"/>
            </w14:solidFill>
          </w14:textFill>
        </w:rPr>
        <w:t>四</w:t>
      </w:r>
      <w:r>
        <w:rPr>
          <w:rFonts w:ascii="仿宋" w:hAnsi="仿宋" w:eastAsia="仿宋" w:cs="仿宋"/>
          <w:color w:val="000000" w:themeColor="text1"/>
          <w:spacing w:val="2"/>
          <w:sz w:val="32"/>
          <w:szCs w:val="32"/>
          <w14:textFill>
            <w14:solidFill>
              <w14:schemeClr w14:val="tx1"/>
            </w14:solidFill>
          </w14:textFill>
        </w:rPr>
        <w:t>）项行为的，自解除其专家资</w:t>
      </w:r>
      <w:r>
        <w:rPr>
          <w:rFonts w:ascii="仿宋" w:hAnsi="仿宋" w:eastAsia="仿宋" w:cs="仿宋"/>
          <w:color w:val="000000" w:themeColor="text1"/>
          <w:spacing w:val="5"/>
          <w:sz w:val="32"/>
          <w:szCs w:val="32"/>
          <w14:textFill>
            <w14:solidFill>
              <w14:schemeClr w14:val="tx1"/>
            </w14:solidFill>
          </w14:textFill>
        </w:rPr>
        <w:t>格之日起</w:t>
      </w:r>
      <w:r>
        <w:rPr>
          <w:rFonts w:ascii="仿宋" w:hAnsi="仿宋" w:eastAsia="仿宋" w:cs="仿宋"/>
          <w:color w:val="000000" w:themeColor="text1"/>
          <w:spacing w:val="-49"/>
          <w:sz w:val="32"/>
          <w:szCs w:val="32"/>
          <w14:textFill>
            <w14:solidFill>
              <w14:schemeClr w14:val="tx1"/>
            </w14:solidFill>
          </w14:textFill>
        </w:rPr>
        <w:t xml:space="preserve"> </w:t>
      </w:r>
      <w:r>
        <w:rPr>
          <w:rFonts w:ascii="仿宋" w:hAnsi="仿宋" w:eastAsia="仿宋" w:cs="仿宋"/>
          <w:color w:val="000000" w:themeColor="text1"/>
          <w:spacing w:val="5"/>
          <w:sz w:val="32"/>
          <w:szCs w:val="32"/>
          <w14:textFill>
            <w14:solidFill>
              <w14:schemeClr w14:val="tx1"/>
            </w14:solidFill>
          </w14:textFill>
        </w:rPr>
        <w:t>3</w:t>
      </w:r>
      <w:r>
        <w:rPr>
          <w:rFonts w:ascii="仿宋" w:hAnsi="仿宋" w:eastAsia="仿宋" w:cs="仿宋"/>
          <w:color w:val="000000" w:themeColor="text1"/>
          <w:spacing w:val="-47"/>
          <w:sz w:val="32"/>
          <w:szCs w:val="32"/>
          <w14:textFill>
            <w14:solidFill>
              <w14:schemeClr w14:val="tx1"/>
            </w14:solidFill>
          </w14:textFill>
        </w:rPr>
        <w:t xml:space="preserve"> </w:t>
      </w:r>
      <w:r>
        <w:rPr>
          <w:rFonts w:ascii="仿宋" w:hAnsi="仿宋" w:eastAsia="仿宋" w:cs="仿宋"/>
          <w:color w:val="000000" w:themeColor="text1"/>
          <w:spacing w:val="5"/>
          <w:sz w:val="32"/>
          <w:szCs w:val="32"/>
          <w14:textFill>
            <w14:solidFill>
              <w14:schemeClr w14:val="tx1"/>
            </w14:solidFill>
          </w14:textFill>
        </w:rPr>
        <w:t>年内，不受理其专家的申请。</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4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2"/>
          <w:sz w:val="32"/>
          <w:szCs w:val="32"/>
          <w14:textFill>
            <w14:solidFill>
              <w14:schemeClr w14:val="tx1"/>
            </w14:solidFill>
          </w14:textFill>
        </w:rPr>
        <w:t>专家有前款第（</w:t>
      </w:r>
      <w:r>
        <w:rPr>
          <w:rFonts w:hint="eastAsia" w:ascii="仿宋" w:hAnsi="仿宋" w:eastAsia="仿宋" w:cs="仿宋"/>
          <w:color w:val="000000" w:themeColor="text1"/>
          <w:spacing w:val="2"/>
          <w:sz w:val="32"/>
          <w:szCs w:val="32"/>
          <w:lang w:eastAsia="zh-CN"/>
          <w14:textFill>
            <w14:solidFill>
              <w14:schemeClr w14:val="tx1"/>
            </w14:solidFill>
          </w14:textFill>
        </w:rPr>
        <w:t>五</w:t>
      </w:r>
      <w:r>
        <w:rPr>
          <w:rFonts w:ascii="仿宋" w:hAnsi="仿宋" w:eastAsia="仿宋" w:cs="仿宋"/>
          <w:color w:val="000000" w:themeColor="text1"/>
          <w:spacing w:val="2"/>
          <w:sz w:val="32"/>
          <w:szCs w:val="32"/>
          <w14:textFill>
            <w14:solidFill>
              <w14:schemeClr w14:val="tx1"/>
            </w14:solidFill>
          </w14:textFill>
        </w:rPr>
        <w:t>）至第（十）项行为的，自解除其专家</w:t>
      </w:r>
      <w:r>
        <w:rPr>
          <w:rFonts w:ascii="仿宋" w:hAnsi="仿宋" w:eastAsia="仿宋" w:cs="仿宋"/>
          <w:color w:val="000000" w:themeColor="text1"/>
          <w:spacing w:val="7"/>
          <w:sz w:val="32"/>
          <w:szCs w:val="32"/>
          <w14:textFill>
            <w14:solidFill>
              <w14:schemeClr w14:val="tx1"/>
            </w14:solidFill>
          </w14:textFill>
        </w:rPr>
        <w:t>资格之日起不再受理其专家的申请。</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5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pacing w:val="4"/>
          <w:sz w:val="32"/>
          <w:szCs w:val="32"/>
          <w14:textFill>
            <w14:solidFill>
              <w14:schemeClr w14:val="tx1"/>
            </w14:solidFill>
          </w14:textFill>
        </w:rPr>
        <w:t>第二十三条</w:t>
      </w:r>
      <w:r>
        <w:rPr>
          <w:rFonts w:hint="eastAsia" w:ascii="仿宋" w:hAnsi="仿宋" w:eastAsia="仿宋" w:cs="仿宋"/>
          <w:color w:val="000000" w:themeColor="text1"/>
          <w:spacing w:val="8"/>
          <w:sz w:val="32"/>
          <w:szCs w:val="32"/>
          <w14:textFill>
            <w14:solidFill>
              <w14:schemeClr w14:val="tx1"/>
            </w14:solidFill>
          </w14:textFill>
        </w:rPr>
        <w:t xml:space="preserve">  </w:t>
      </w:r>
      <w:r>
        <w:rPr>
          <w:rFonts w:ascii="仿宋" w:hAnsi="仿宋" w:eastAsia="仿宋" w:cs="仿宋"/>
          <w:color w:val="000000" w:themeColor="text1"/>
          <w:spacing w:val="8"/>
          <w:sz w:val="32"/>
          <w:szCs w:val="32"/>
          <w14:textFill>
            <w14:solidFill>
              <w14:schemeClr w14:val="tx1"/>
            </w14:solidFill>
          </w14:textFill>
        </w:rPr>
        <w:t>解除专家资格按照以下程序进行：</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（一）审核</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专家解聘的情形由评审小组负责评审，对受理的申请或函件</w:t>
      </w:r>
      <w:r>
        <w:rPr>
          <w:rFonts w:ascii="仿宋" w:hAnsi="仿宋" w:eastAsia="仿宋" w:cs="仿宋"/>
          <w:color w:val="000000" w:themeColor="text1"/>
          <w:spacing w:val="3"/>
          <w:sz w:val="32"/>
          <w:szCs w:val="32"/>
          <w14:textFill>
            <w14:solidFill>
              <w14:schemeClr w14:val="tx1"/>
            </w14:solidFill>
          </w14:textFill>
        </w:rPr>
        <w:t>反映的情况进行调查，于</w:t>
      </w:r>
      <w:r>
        <w:rPr>
          <w:rFonts w:ascii="仿宋" w:hAnsi="仿宋" w:eastAsia="仿宋" w:cs="仿宋"/>
          <w:color w:val="000000" w:themeColor="text1"/>
          <w:spacing w:val="-45"/>
          <w:sz w:val="32"/>
          <w:szCs w:val="32"/>
          <w14:textFill>
            <w14:solidFill>
              <w14:schemeClr w14:val="tx1"/>
            </w14:solidFill>
          </w14:textFill>
        </w:rPr>
        <w:t xml:space="preserve"> </w:t>
      </w:r>
      <w:r>
        <w:rPr>
          <w:rFonts w:ascii="仿宋" w:hAnsi="仿宋" w:eastAsia="仿宋" w:cs="仿宋"/>
          <w:color w:val="000000" w:themeColor="text1"/>
          <w:spacing w:val="3"/>
          <w:sz w:val="32"/>
          <w:szCs w:val="32"/>
          <w14:textFill>
            <w14:solidFill>
              <w14:schemeClr w14:val="tx1"/>
            </w14:solidFill>
          </w14:textFill>
        </w:rPr>
        <w:t>5</w:t>
      </w:r>
      <w:r>
        <w:rPr>
          <w:rFonts w:ascii="仿宋" w:hAnsi="仿宋" w:eastAsia="仿宋" w:cs="仿宋"/>
          <w:color w:val="000000" w:themeColor="text1"/>
          <w:spacing w:val="-52"/>
          <w:sz w:val="32"/>
          <w:szCs w:val="32"/>
          <w14:textFill>
            <w14:solidFill>
              <w14:schemeClr w14:val="tx1"/>
            </w14:solidFill>
          </w14:textFill>
        </w:rPr>
        <w:t xml:space="preserve"> </w:t>
      </w:r>
      <w:r>
        <w:rPr>
          <w:rFonts w:ascii="仿宋" w:hAnsi="仿宋" w:eastAsia="仿宋" w:cs="仿宋"/>
          <w:color w:val="000000" w:themeColor="text1"/>
          <w:spacing w:val="3"/>
          <w:sz w:val="32"/>
          <w:szCs w:val="32"/>
          <w14:textFill>
            <w14:solidFill>
              <w14:schemeClr w14:val="tx1"/>
            </w14:solidFill>
          </w14:textFill>
        </w:rPr>
        <w:t>个工作日内提出意见。当事专家有权</w:t>
      </w:r>
      <w:r>
        <w:rPr>
          <w:rFonts w:ascii="仿宋" w:hAnsi="仿宋" w:eastAsia="仿宋" w:cs="仿宋"/>
          <w:color w:val="000000" w:themeColor="text1"/>
          <w:spacing w:val="7"/>
          <w:sz w:val="32"/>
          <w:szCs w:val="32"/>
          <w14:textFill>
            <w14:solidFill>
              <w14:schemeClr w14:val="tx1"/>
            </w14:solidFill>
          </w14:textFill>
        </w:rPr>
        <w:t>进行陈述和申辩，并提出相应的事实、理由和证据。放弃陈述、</w:t>
      </w:r>
      <w:r>
        <w:rPr>
          <w:rFonts w:ascii="仿宋" w:hAnsi="仿宋" w:eastAsia="仿宋" w:cs="仿宋"/>
          <w:color w:val="000000" w:themeColor="text1"/>
          <w:spacing w:val="5"/>
          <w:sz w:val="32"/>
          <w:szCs w:val="32"/>
          <w14:textFill>
            <w14:solidFill>
              <w14:schemeClr w14:val="tx1"/>
            </w14:solidFill>
          </w14:textFill>
        </w:rPr>
        <w:t>申辩权利或者陈述、申辩不成立的，市物业行政主管部门予以认</w:t>
      </w:r>
      <w:r>
        <w:rPr>
          <w:rFonts w:ascii="仿宋" w:hAnsi="仿宋" w:eastAsia="仿宋" w:cs="仿宋"/>
          <w:color w:val="000000" w:themeColor="text1"/>
          <w:spacing w:val="3"/>
          <w:sz w:val="32"/>
          <w:szCs w:val="32"/>
          <w14:textFill>
            <w14:solidFill>
              <w14:schemeClr w14:val="tx1"/>
            </w14:solidFill>
          </w14:textFill>
        </w:rPr>
        <w:t>定、解聘</w:t>
      </w:r>
      <w:r>
        <w:rPr>
          <w:rFonts w:hint="eastAsia" w:ascii="仿宋" w:hAnsi="仿宋" w:eastAsia="仿宋" w:cs="仿宋"/>
          <w:color w:val="000000" w:themeColor="text1"/>
          <w:spacing w:val="3"/>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（二）公告</w:t>
      </w:r>
    </w:p>
    <w:p>
      <w:pPr>
        <w:keepNext w:val="0"/>
        <w:keepLines w:val="0"/>
        <w:pageBreakBefore w:val="0"/>
        <w:widowControl w:val="0"/>
        <w:kinsoku/>
        <w:wordWrap/>
        <w:overflowPunct/>
        <w:topLinePunct w:val="0"/>
        <w:autoSpaceDE/>
        <w:autoSpaceDN/>
        <w:bidi w:val="0"/>
        <w:adjustRightInd w:val="0"/>
        <w:snapToGrid w:val="0"/>
        <w:spacing w:line="579" w:lineRule="exact"/>
        <w:ind w:firstLine="66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7"/>
          <w:sz w:val="32"/>
          <w:szCs w:val="32"/>
          <w14:textFill>
            <w14:solidFill>
              <w14:schemeClr w14:val="tx1"/>
            </w14:solidFill>
          </w14:textFill>
        </w:rPr>
        <w:t>市物业行政主管部门在官方网站公告解除专家资格的决</w:t>
      </w:r>
      <w:r>
        <w:rPr>
          <w:rFonts w:ascii="仿宋" w:hAnsi="仿宋" w:eastAsia="仿宋" w:cs="仿宋"/>
          <w:color w:val="000000" w:themeColor="text1"/>
          <w:spacing w:val="6"/>
          <w:sz w:val="32"/>
          <w:szCs w:val="32"/>
          <w14:textFill>
            <w14:solidFill>
              <w14:schemeClr w14:val="tx1"/>
            </w14:solidFill>
          </w14:textFill>
        </w:rPr>
        <w:t>定。</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64"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6"/>
          <w:sz w:val="32"/>
          <w:szCs w:val="32"/>
          <w14:textFill>
            <w14:solidFill>
              <w14:schemeClr w14:val="tx1"/>
            </w14:solidFill>
          </w14:textFill>
        </w:rPr>
        <w:t>（三）其他手续</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对专家库专家在聘任期内被取消专家资格的，应当向市物业</w:t>
      </w:r>
      <w:r>
        <w:rPr>
          <w:rFonts w:ascii="仿宋" w:hAnsi="仿宋" w:eastAsia="仿宋" w:cs="仿宋"/>
          <w:color w:val="000000" w:themeColor="text1"/>
          <w:spacing w:val="5"/>
          <w:sz w:val="32"/>
          <w:szCs w:val="32"/>
          <w14:textFill>
            <w14:solidFill>
              <w14:schemeClr w14:val="tx1"/>
            </w14:solidFill>
          </w14:textFill>
        </w:rPr>
        <w:t>行政主管部门交回《珠海市物业管理专家库聘任书》，不得再以</w:t>
      </w:r>
      <w:r>
        <w:rPr>
          <w:rFonts w:ascii="仿宋" w:hAnsi="仿宋" w:eastAsia="仿宋" w:cs="仿宋"/>
          <w:color w:val="000000" w:themeColor="text1"/>
          <w:spacing w:val="7"/>
          <w:sz w:val="32"/>
          <w:szCs w:val="32"/>
          <w14:textFill>
            <w14:solidFill>
              <w14:schemeClr w14:val="tx1"/>
            </w14:solidFill>
          </w14:textFill>
        </w:rPr>
        <w:t>专家的名义从事相关活动。</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70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17"/>
          <w:sz w:val="32"/>
          <w:szCs w:val="32"/>
          <w14:textFill>
            <w14:solidFill>
              <w14:schemeClr w14:val="tx1"/>
            </w14:solidFill>
          </w14:textFill>
        </w:rPr>
        <w:t>市物业行政主管部门收缴专家工作证或在其官方</w:t>
      </w:r>
      <w:r>
        <w:rPr>
          <w:rFonts w:ascii="仿宋" w:hAnsi="仿宋" w:eastAsia="仿宋" w:cs="仿宋"/>
          <w:color w:val="000000" w:themeColor="text1"/>
          <w:spacing w:val="16"/>
          <w:sz w:val="32"/>
          <w:szCs w:val="32"/>
          <w14:textFill>
            <w14:solidFill>
              <w14:schemeClr w14:val="tx1"/>
            </w14:solidFill>
          </w14:textFill>
        </w:rPr>
        <w:t>网站公告</w:t>
      </w:r>
      <w:r>
        <w:rPr>
          <w:rFonts w:ascii="仿宋" w:hAnsi="仿宋" w:eastAsia="仿宋" w:cs="仿宋"/>
          <w:color w:val="000000" w:themeColor="text1"/>
          <w:spacing w:val="6"/>
          <w:sz w:val="32"/>
          <w:szCs w:val="32"/>
          <w14:textFill>
            <w14:solidFill>
              <w14:schemeClr w14:val="tx1"/>
            </w14:solidFill>
          </w14:textFill>
        </w:rPr>
        <w:t>工作证失效，更新专家名单。</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pacing w:val="4"/>
          <w:sz w:val="32"/>
          <w:szCs w:val="32"/>
          <w14:textFill>
            <w14:solidFill>
              <w14:schemeClr w14:val="tx1"/>
            </w14:solidFill>
          </w14:textFill>
        </w:rPr>
        <w:t>第二十四条</w:t>
      </w:r>
      <w:r>
        <w:rPr>
          <w:rFonts w:hint="eastAsia" w:ascii="仿宋" w:hAnsi="仿宋" w:eastAsia="仿宋" w:cs="仿宋"/>
          <w:color w:val="000000" w:themeColor="text1"/>
          <w:spacing w:val="16"/>
          <w:sz w:val="32"/>
          <w:szCs w:val="32"/>
          <w14:textFill>
            <w14:solidFill>
              <w14:schemeClr w14:val="tx1"/>
            </w14:solidFill>
          </w14:textFill>
        </w:rPr>
        <w:t xml:space="preserve">  </w:t>
      </w:r>
      <w:r>
        <w:rPr>
          <w:rFonts w:ascii="仿宋" w:hAnsi="仿宋" w:eastAsia="仿宋" w:cs="仿宋"/>
          <w:color w:val="000000" w:themeColor="text1"/>
          <w:spacing w:val="16"/>
          <w:sz w:val="32"/>
          <w:szCs w:val="32"/>
          <w14:textFill>
            <w14:solidFill>
              <w14:schemeClr w14:val="tx1"/>
            </w14:solidFill>
          </w14:textFill>
        </w:rPr>
        <w:t>专家库专家按照以下规则进行星级划分和积</w:t>
      </w:r>
      <w:r>
        <w:rPr>
          <w:rFonts w:ascii="仿宋" w:hAnsi="仿宋" w:eastAsia="仿宋" w:cs="仿宋"/>
          <w:color w:val="000000" w:themeColor="text1"/>
          <w:spacing w:val="1"/>
          <w:sz w:val="32"/>
          <w:szCs w:val="32"/>
          <w14:textFill>
            <w14:solidFill>
              <w14:schemeClr w14:val="tx1"/>
            </w14:solidFill>
          </w14:textFill>
        </w:rPr>
        <w:t>分管理：</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（一）专家划分为五个星级，由低到高依次为一星级、二星</w:t>
      </w:r>
      <w:r>
        <w:rPr>
          <w:rFonts w:ascii="仿宋" w:hAnsi="仿宋" w:eastAsia="仿宋" w:cs="仿宋"/>
          <w:color w:val="000000" w:themeColor="text1"/>
          <w:spacing w:val="2"/>
          <w:sz w:val="32"/>
          <w:szCs w:val="32"/>
          <w14:textFill>
            <w14:solidFill>
              <w14:schemeClr w14:val="tx1"/>
            </w14:solidFill>
          </w14:textFill>
        </w:rPr>
        <w:t>级、三星级、四星级、五星级；</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8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12"/>
          <w:sz w:val="32"/>
          <w:szCs w:val="32"/>
          <w14:textFill>
            <w14:solidFill>
              <w14:schemeClr w14:val="tx1"/>
            </w14:solidFill>
          </w14:textFill>
        </w:rPr>
        <w:t>（二）初聘的专家置为一星级、初始化积分为80积分，星</w:t>
      </w:r>
      <w:r>
        <w:rPr>
          <w:rFonts w:ascii="仿宋" w:hAnsi="仿宋" w:eastAsia="仿宋" w:cs="仿宋"/>
          <w:color w:val="000000" w:themeColor="text1"/>
          <w:spacing w:val="7"/>
          <w:sz w:val="32"/>
          <w:szCs w:val="32"/>
          <w14:textFill>
            <w14:solidFill>
              <w14:schemeClr w14:val="tx1"/>
            </w14:solidFill>
          </w14:textFill>
        </w:rPr>
        <w:t>级不重置，积分经考核为不定值；</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（三）同年经考核三星级以上的专家，其在职物业服务企业</w:t>
      </w:r>
      <w:r>
        <w:rPr>
          <w:rFonts w:ascii="仿宋" w:hAnsi="仿宋" w:eastAsia="仿宋" w:cs="仿宋"/>
          <w:color w:val="000000" w:themeColor="text1"/>
          <w:spacing w:val="-1"/>
          <w:sz w:val="32"/>
          <w:szCs w:val="32"/>
          <w14:textFill>
            <w14:solidFill>
              <w14:schemeClr w14:val="tx1"/>
            </w14:solidFill>
          </w14:textFill>
        </w:rPr>
        <w:t>的信用分值分别增加5分、10</w:t>
      </w:r>
      <w:r>
        <w:rPr>
          <w:rFonts w:ascii="仿宋" w:hAnsi="仿宋" w:eastAsia="仿宋" w:cs="仿宋"/>
          <w:color w:val="000000" w:themeColor="text1"/>
          <w:spacing w:val="-50"/>
          <w:sz w:val="32"/>
          <w:szCs w:val="32"/>
          <w14:textFill>
            <w14:solidFill>
              <w14:schemeClr w14:val="tx1"/>
            </w14:solidFill>
          </w14:textFill>
        </w:rPr>
        <w:t xml:space="preserve"> </w:t>
      </w:r>
      <w:r>
        <w:rPr>
          <w:rFonts w:ascii="仿宋" w:hAnsi="仿宋" w:eastAsia="仿宋" w:cs="仿宋"/>
          <w:color w:val="000000" w:themeColor="text1"/>
          <w:spacing w:val="-1"/>
          <w:sz w:val="32"/>
          <w:szCs w:val="32"/>
          <w14:textFill>
            <w14:solidFill>
              <w14:schemeClr w14:val="tx1"/>
            </w14:solidFill>
          </w14:textFill>
        </w:rPr>
        <w:t>分、15分，本人为项目负责人的，</w:t>
      </w:r>
      <w:r>
        <w:rPr>
          <w:rFonts w:ascii="仿宋" w:hAnsi="仿宋" w:eastAsia="仿宋" w:cs="仿宋"/>
          <w:color w:val="000000" w:themeColor="text1"/>
          <w:spacing w:val="1"/>
          <w:sz w:val="32"/>
          <w:szCs w:val="32"/>
          <w14:textFill>
            <w14:solidFill>
              <w14:schemeClr w14:val="tx1"/>
            </w14:solidFill>
          </w14:textFill>
        </w:rPr>
        <w:t>信用分值分别增加10分、15分、20分；</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4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2"/>
          <w:sz w:val="32"/>
          <w:szCs w:val="32"/>
          <w14:textFill>
            <w14:solidFill>
              <w14:schemeClr w14:val="tx1"/>
            </w14:solidFill>
          </w14:textFill>
        </w:rPr>
        <w:t>（四）累计3个考核周期为五星级的专家且年龄在六十五周</w:t>
      </w:r>
      <w:r>
        <w:rPr>
          <w:rFonts w:ascii="仿宋" w:hAnsi="仿宋" w:eastAsia="仿宋" w:cs="仿宋"/>
          <w:color w:val="000000" w:themeColor="text1"/>
          <w:spacing w:val="8"/>
          <w:sz w:val="32"/>
          <w:szCs w:val="32"/>
          <w14:textFill>
            <w14:solidFill>
              <w14:schemeClr w14:val="tx1"/>
            </w14:solidFill>
          </w14:textFill>
        </w:rPr>
        <w:t>岁以上的专家，可获得终身荣誉专家身份，并不再参与考核。</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pacing w:val="4"/>
          <w:sz w:val="32"/>
          <w:szCs w:val="32"/>
          <w14:textFill>
            <w14:solidFill>
              <w14:schemeClr w14:val="tx1"/>
            </w14:solidFill>
          </w14:textFill>
        </w:rPr>
        <w:t>第二十五条</w:t>
      </w:r>
      <w:r>
        <w:rPr>
          <w:rFonts w:hint="eastAsia" w:ascii="仿宋" w:hAnsi="仿宋" w:eastAsia="仿宋" w:cs="仿宋"/>
          <w:color w:val="000000" w:themeColor="text1"/>
          <w:sz w:val="32"/>
          <w:szCs w:val="32"/>
          <w14:textFill>
            <w14:solidFill>
              <w14:schemeClr w14:val="tx1"/>
            </w14:solidFill>
          </w14:textFill>
        </w:rPr>
        <w:t xml:space="preserve">  </w:t>
      </w:r>
      <w:r>
        <w:rPr>
          <w:rFonts w:ascii="仿宋" w:hAnsi="仿宋" w:eastAsia="仿宋" w:cs="仿宋"/>
          <w:color w:val="000000" w:themeColor="text1"/>
          <w:sz w:val="32"/>
          <w:szCs w:val="32"/>
          <w14:textFill>
            <w14:solidFill>
              <w14:schemeClr w14:val="tx1"/>
            </w14:solidFill>
          </w14:textFill>
        </w:rPr>
        <w:t>每年1月至次年1月为一个考核周期，2</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ascii="仿宋" w:hAnsi="仿宋" w:eastAsia="仿宋" w:cs="仿宋"/>
          <w:color w:val="000000" w:themeColor="text1"/>
          <w:sz w:val="32"/>
          <w:szCs w:val="32"/>
          <w14:textFill>
            <w14:solidFill>
              <w14:schemeClr w14:val="tx1"/>
            </w14:solidFill>
          </w14:textFill>
        </w:rPr>
        <w:t>月第</w:t>
      </w:r>
      <w:r>
        <w:rPr>
          <w:rFonts w:ascii="仿宋" w:hAnsi="仿宋" w:eastAsia="仿宋" w:cs="仿宋"/>
          <w:color w:val="000000" w:themeColor="text1"/>
          <w:spacing w:val="5"/>
          <w:sz w:val="32"/>
          <w:szCs w:val="32"/>
          <w14:textFill>
            <w14:solidFill>
              <w14:schemeClr w14:val="tx1"/>
            </w14:solidFill>
          </w14:textFill>
        </w:rPr>
        <w:t>一个工作日为考核日，按如下规则对在库专家进行考核，并对星</w:t>
      </w:r>
      <w:r>
        <w:rPr>
          <w:rFonts w:ascii="仿宋" w:hAnsi="仿宋" w:eastAsia="仿宋" w:cs="仿宋"/>
          <w:color w:val="000000" w:themeColor="text1"/>
          <w:spacing w:val="1"/>
          <w:sz w:val="32"/>
          <w:szCs w:val="32"/>
          <w14:textFill>
            <w14:solidFill>
              <w14:schemeClr w14:val="tx1"/>
            </w14:solidFill>
          </w14:textFill>
        </w:rPr>
        <w:t>级升降：</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3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1"/>
          <w:sz w:val="32"/>
          <w:szCs w:val="32"/>
          <w14:textFill>
            <w14:solidFill>
              <w14:schemeClr w14:val="tx1"/>
            </w14:solidFill>
          </w14:textFill>
        </w:rPr>
        <w:t>（一）考核日当日，积分大于等于100分</w:t>
      </w:r>
      <w:r>
        <w:rPr>
          <w:rFonts w:ascii="仿宋" w:hAnsi="仿宋" w:eastAsia="仿宋" w:cs="仿宋"/>
          <w:color w:val="000000" w:themeColor="text1"/>
          <w:spacing w:val="-2"/>
          <w:sz w:val="32"/>
          <w:szCs w:val="32"/>
          <w14:textFill>
            <w14:solidFill>
              <w14:schemeClr w14:val="tx1"/>
            </w14:solidFill>
          </w14:textFill>
        </w:rPr>
        <w:t>的且上一个考核周</w:t>
      </w:r>
      <w:r>
        <w:rPr>
          <w:rFonts w:ascii="仿宋" w:hAnsi="仿宋" w:eastAsia="仿宋" w:cs="仿宋"/>
          <w:color w:val="000000" w:themeColor="text1"/>
          <w:spacing w:val="12"/>
          <w:sz w:val="32"/>
          <w:szCs w:val="32"/>
          <w14:textFill>
            <w14:solidFill>
              <w14:schemeClr w14:val="tx1"/>
            </w14:solidFill>
          </w14:textFill>
        </w:rPr>
        <w:t>期考核星级为同等星级的，升一个星级；积分低于60分的，降</w:t>
      </w:r>
      <w:r>
        <w:rPr>
          <w:rFonts w:ascii="仿宋" w:hAnsi="仿宋" w:eastAsia="仿宋" w:cs="仿宋"/>
          <w:color w:val="000000" w:themeColor="text1"/>
          <w:spacing w:val="3"/>
          <w:sz w:val="32"/>
          <w:szCs w:val="32"/>
          <w14:textFill>
            <w14:solidFill>
              <w14:schemeClr w14:val="tx1"/>
            </w14:solidFill>
          </w14:textFill>
        </w:rPr>
        <w:t>一个星级；</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（二）考核后，积分重置为80分；</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64"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6"/>
          <w:sz w:val="32"/>
          <w:szCs w:val="32"/>
          <w14:textFill>
            <w14:solidFill>
              <w14:schemeClr w14:val="tx1"/>
            </w14:solidFill>
          </w14:textFill>
        </w:rPr>
        <w:t>（三）如果降级后星级低于一星级的，将暂停其专家资格，</w:t>
      </w:r>
      <w:r>
        <w:rPr>
          <w:rFonts w:ascii="仿宋" w:hAnsi="仿宋" w:eastAsia="仿宋" w:cs="仿宋"/>
          <w:color w:val="000000" w:themeColor="text1"/>
          <w:spacing w:val="16"/>
          <w:sz w:val="32"/>
          <w:szCs w:val="32"/>
          <w14:textFill>
            <w14:solidFill>
              <w14:schemeClr w14:val="tx1"/>
            </w14:solidFill>
          </w14:textFill>
        </w:rPr>
        <w:t>通过市物业行业协会举办的针对性的学习与考试后方能重获专</w:t>
      </w:r>
      <w:r>
        <w:rPr>
          <w:rFonts w:ascii="仿宋" w:hAnsi="仿宋" w:eastAsia="仿宋" w:cs="仿宋"/>
          <w:color w:val="000000" w:themeColor="text1"/>
          <w:spacing w:val="6"/>
          <w:sz w:val="32"/>
          <w:szCs w:val="32"/>
          <w14:textFill>
            <w14:solidFill>
              <w14:schemeClr w14:val="tx1"/>
            </w14:solidFill>
          </w14:textFill>
        </w:rPr>
        <w:t>家资格，重获专家资格的，该考核周期的积分重置为70分；</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2"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3"/>
          <w:sz w:val="32"/>
          <w:szCs w:val="32"/>
          <w14:textFill>
            <w14:solidFill>
              <w14:schemeClr w14:val="tx1"/>
            </w14:solidFill>
          </w14:textFill>
        </w:rPr>
        <w:t>（四）除五星级外，如果连续3个考核周期</w:t>
      </w:r>
      <w:r>
        <w:rPr>
          <w:rFonts w:ascii="仿宋" w:hAnsi="仿宋" w:eastAsia="仿宋" w:cs="仿宋"/>
          <w:color w:val="000000" w:themeColor="text1"/>
          <w:spacing w:val="2"/>
          <w:sz w:val="32"/>
          <w:szCs w:val="32"/>
          <w14:textFill>
            <w14:solidFill>
              <w14:schemeClr w14:val="tx1"/>
            </w14:solidFill>
          </w14:textFill>
        </w:rPr>
        <w:t>保持在某个星级</w:t>
      </w:r>
      <w:r>
        <w:rPr>
          <w:rFonts w:ascii="仿宋" w:hAnsi="仿宋" w:eastAsia="仿宋" w:cs="仿宋"/>
          <w:color w:val="000000" w:themeColor="text1"/>
          <w:spacing w:val="5"/>
          <w:sz w:val="32"/>
          <w:szCs w:val="32"/>
          <w14:textFill>
            <w14:solidFill>
              <w14:schemeClr w14:val="tx1"/>
            </w14:solidFill>
          </w14:textFill>
        </w:rPr>
        <w:t>没有晋升星级的，第4个考核周期的积分重</w:t>
      </w:r>
      <w:r>
        <w:rPr>
          <w:rFonts w:ascii="仿宋" w:hAnsi="仿宋" w:eastAsia="仿宋" w:cs="仿宋"/>
          <w:color w:val="000000" w:themeColor="text1"/>
          <w:spacing w:val="4"/>
          <w:sz w:val="32"/>
          <w:szCs w:val="32"/>
          <w14:textFill>
            <w14:solidFill>
              <w14:schemeClr w14:val="tx1"/>
            </w14:solidFill>
          </w14:textFill>
        </w:rPr>
        <w:t>置为70分。</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pacing w:val="4"/>
          <w:sz w:val="32"/>
          <w:szCs w:val="32"/>
          <w14:textFill>
            <w14:solidFill>
              <w14:schemeClr w14:val="tx1"/>
            </w14:solidFill>
          </w14:textFill>
        </w:rPr>
        <w:t>第二十六条</w:t>
      </w:r>
      <w:r>
        <w:rPr>
          <w:rFonts w:hint="eastAsia" w:ascii="仿宋" w:hAnsi="仿宋" w:eastAsia="仿宋" w:cs="仿宋"/>
          <w:color w:val="000000" w:themeColor="text1"/>
          <w:spacing w:val="4"/>
          <w:sz w:val="32"/>
          <w:szCs w:val="32"/>
          <w14:textFill>
            <w14:solidFill>
              <w14:schemeClr w14:val="tx1"/>
            </w14:solidFill>
          </w14:textFill>
        </w:rPr>
        <w:t xml:space="preserve">  </w:t>
      </w:r>
      <w:r>
        <w:rPr>
          <w:rFonts w:ascii="仿宋" w:hAnsi="仿宋" w:eastAsia="仿宋" w:cs="仿宋"/>
          <w:color w:val="000000" w:themeColor="text1"/>
          <w:spacing w:val="4"/>
          <w:sz w:val="32"/>
          <w:szCs w:val="32"/>
          <w14:textFill>
            <w14:solidFill>
              <w14:schemeClr w14:val="tx1"/>
            </w14:solidFill>
          </w14:textFill>
        </w:rPr>
        <w:t>在考核周期内，根据专家的出勤率、工作质</w:t>
      </w:r>
      <w:r>
        <w:rPr>
          <w:rFonts w:ascii="仿宋" w:hAnsi="仿宋" w:eastAsia="仿宋" w:cs="仿宋"/>
          <w:color w:val="000000" w:themeColor="text1"/>
          <w:spacing w:val="16"/>
          <w:sz w:val="32"/>
          <w:szCs w:val="32"/>
          <w14:textFill>
            <w14:solidFill>
              <w14:schemeClr w14:val="tx1"/>
            </w14:solidFill>
          </w14:textFill>
        </w:rPr>
        <w:t>量等工作情况以及对行业发展作出的贡献大小等因素对专家的</w:t>
      </w:r>
      <w:r>
        <w:rPr>
          <w:rFonts w:ascii="仿宋" w:hAnsi="仿宋" w:eastAsia="仿宋" w:cs="仿宋"/>
          <w:color w:val="000000" w:themeColor="text1"/>
          <w:spacing w:val="7"/>
          <w:sz w:val="32"/>
          <w:szCs w:val="32"/>
          <w14:textFill>
            <w14:solidFill>
              <w14:schemeClr w14:val="tx1"/>
            </w14:solidFill>
          </w14:textFill>
        </w:rPr>
        <w:t>积分进行加分、扣分处理：</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（一）加分</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24"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1.专家每次履行第十七条第（一）至第（六）项规定义务的，</w:t>
      </w:r>
      <w:r>
        <w:rPr>
          <w:rFonts w:ascii="仿宋" w:hAnsi="仿宋" w:eastAsia="仿宋" w:cs="仿宋"/>
          <w:color w:val="000000" w:themeColor="text1"/>
          <w:sz w:val="32"/>
          <w:szCs w:val="32"/>
          <w14:textFill>
            <w14:solidFill>
              <w14:schemeClr w14:val="tx1"/>
            </w14:solidFill>
          </w14:textFill>
        </w:rPr>
        <w:t>可加1分，如履行义务后获得优、良等级评价的再加1分；</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firstLine="64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2"/>
          <w:sz w:val="32"/>
          <w:szCs w:val="32"/>
          <w14:textFill>
            <w14:solidFill>
              <w14:schemeClr w14:val="tx1"/>
            </w14:solidFill>
          </w14:textFill>
        </w:rPr>
        <w:t>2.专家每次参加行业主管部门组织的座谈会的可加1分，与</w:t>
      </w:r>
      <w:r>
        <w:rPr>
          <w:rFonts w:ascii="仿宋" w:hAnsi="仿宋" w:eastAsia="仿宋" w:cs="仿宋"/>
          <w:color w:val="000000" w:themeColor="text1"/>
          <w:spacing w:val="4"/>
          <w:sz w:val="32"/>
          <w:szCs w:val="32"/>
          <w14:textFill>
            <w14:solidFill>
              <w14:schemeClr w14:val="tx1"/>
            </w14:solidFill>
          </w14:textFill>
        </w:rPr>
        <w:t>会或会后提供书面发言材料的可再加1分；</w:t>
      </w:r>
    </w:p>
    <w:p>
      <w:pPr>
        <w:keepNext w:val="0"/>
        <w:keepLines w:val="0"/>
        <w:pageBreakBefore w:val="0"/>
        <w:widowControl w:val="0"/>
        <w:kinsoku/>
        <w:wordWrap/>
        <w:overflowPunct/>
        <w:topLinePunct w:val="0"/>
        <w:autoSpaceDE/>
        <w:autoSpaceDN/>
        <w:bidi w:val="0"/>
        <w:adjustRightInd w:val="0"/>
        <w:snapToGrid w:val="0"/>
        <w:spacing w:line="579" w:lineRule="exact"/>
        <w:ind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3.专家参加市、区物业行政主管部门或市、区行业协会组织</w:t>
      </w:r>
      <w:r>
        <w:rPr>
          <w:rFonts w:ascii="仿宋" w:hAnsi="仿宋" w:eastAsia="仿宋" w:cs="仿宋"/>
          <w:color w:val="000000" w:themeColor="text1"/>
          <w:spacing w:val="3"/>
          <w:sz w:val="32"/>
          <w:szCs w:val="32"/>
          <w14:textFill>
            <w14:solidFill>
              <w14:schemeClr w14:val="tx1"/>
            </w14:solidFill>
          </w14:textFill>
        </w:rPr>
        <w:t>的相关培训的，每课时可加1分；作为老师授课的，每课时可加</w:t>
      </w:r>
      <w:r>
        <w:rPr>
          <w:rFonts w:ascii="仿宋" w:hAnsi="仿宋" w:eastAsia="仿宋" w:cs="仿宋"/>
          <w:color w:val="000000" w:themeColor="text1"/>
          <w:spacing w:val="-9"/>
          <w:sz w:val="32"/>
          <w:szCs w:val="32"/>
          <w14:textFill>
            <w14:solidFill>
              <w14:schemeClr w14:val="tx1"/>
            </w14:solidFill>
          </w14:textFill>
        </w:rPr>
        <w:t>2分；</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60"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5"/>
          <w:sz w:val="32"/>
          <w:szCs w:val="32"/>
          <w14:textFill>
            <w14:solidFill>
              <w14:schemeClr w14:val="tx1"/>
            </w14:solidFill>
          </w14:textFill>
        </w:rPr>
        <w:t>4.参加市物业行政主管部门起草制定行业规范标准、行业制</w:t>
      </w:r>
      <w:r>
        <w:rPr>
          <w:rFonts w:ascii="仿宋" w:hAnsi="仿宋" w:eastAsia="仿宋" w:cs="仿宋"/>
          <w:color w:val="000000" w:themeColor="text1"/>
          <w:spacing w:val="8"/>
          <w:sz w:val="32"/>
          <w:szCs w:val="32"/>
          <w14:textFill>
            <w14:solidFill>
              <w14:schemeClr w14:val="tx1"/>
            </w14:solidFill>
          </w14:textFill>
        </w:rPr>
        <w:t>度规约、撰写行业调查报告、政策文件等相关文件的可加2至5</w:t>
      </w:r>
      <w:r>
        <w:rPr>
          <w:rFonts w:ascii="仿宋" w:hAnsi="仿宋" w:eastAsia="仿宋" w:cs="仿宋"/>
          <w:color w:val="000000" w:themeColor="text1"/>
          <w:spacing w:val="-7"/>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80"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10"/>
          <w:sz w:val="32"/>
          <w:szCs w:val="32"/>
          <w14:textFill>
            <w14:solidFill>
              <w14:schemeClr w14:val="tx1"/>
            </w14:solidFill>
          </w14:textFill>
        </w:rPr>
        <w:t>5.专家获得主管部门或行业协会表彰的、奖励的，每次加2</w:t>
      </w:r>
      <w:r>
        <w:rPr>
          <w:rFonts w:ascii="仿宋" w:hAnsi="仿宋" w:eastAsia="仿宋" w:cs="仿宋"/>
          <w:color w:val="000000" w:themeColor="text1"/>
          <w:spacing w:val="-8"/>
          <w:sz w:val="32"/>
          <w:szCs w:val="32"/>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60"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5"/>
          <w:sz w:val="32"/>
          <w:szCs w:val="32"/>
          <w14:textFill>
            <w14:solidFill>
              <w14:schemeClr w14:val="tx1"/>
            </w14:solidFill>
          </w14:textFill>
        </w:rPr>
        <w:t>6.在国家级、省级、市级房地产或物业管理</w:t>
      </w:r>
      <w:r>
        <w:rPr>
          <w:rFonts w:ascii="仿宋" w:hAnsi="仿宋" w:eastAsia="仿宋" w:cs="仿宋"/>
          <w:color w:val="000000" w:themeColor="text1"/>
          <w:spacing w:val="4"/>
          <w:sz w:val="32"/>
          <w:szCs w:val="32"/>
          <w14:textFill>
            <w14:solidFill>
              <w14:schemeClr w14:val="tx1"/>
            </w14:solidFill>
          </w14:textFill>
        </w:rPr>
        <w:t>专业刊物（有正</w:t>
      </w:r>
      <w:r>
        <w:rPr>
          <w:rFonts w:ascii="仿宋" w:hAnsi="仿宋" w:eastAsia="仿宋" w:cs="仿宋"/>
          <w:color w:val="000000" w:themeColor="text1"/>
          <w:spacing w:val="7"/>
          <w:sz w:val="32"/>
          <w:szCs w:val="32"/>
          <w14:textFill>
            <w14:solidFill>
              <w14:schemeClr w14:val="tx1"/>
            </w14:solidFill>
          </w14:textFill>
        </w:rPr>
        <w:t>规刊号，以房地产或物业管理方面为主）发</w:t>
      </w:r>
      <w:r>
        <w:rPr>
          <w:rFonts w:ascii="仿宋" w:hAnsi="仿宋" w:eastAsia="仿宋" w:cs="仿宋"/>
          <w:color w:val="000000" w:themeColor="text1"/>
          <w:spacing w:val="6"/>
          <w:sz w:val="32"/>
          <w:szCs w:val="32"/>
          <w14:textFill>
            <w14:solidFill>
              <w14:schemeClr w14:val="tx1"/>
            </w14:solidFill>
          </w14:textFill>
        </w:rPr>
        <w:t>表学术论文或心得，字数在千字以上的，依次每篇可加5、4、3、2分；</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80"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10"/>
          <w:sz w:val="32"/>
          <w:szCs w:val="32"/>
          <w14:textFill>
            <w14:solidFill>
              <w14:schemeClr w14:val="tx1"/>
            </w14:solidFill>
          </w14:textFill>
        </w:rPr>
        <w:t>7.公开出版有关物业管理学术著作的，可加8分。</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70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17"/>
          <w:sz w:val="32"/>
          <w:szCs w:val="32"/>
          <w14:textFill>
            <w14:solidFill>
              <w14:schemeClr w14:val="tx1"/>
            </w14:solidFill>
          </w14:textFill>
        </w:rPr>
        <w:t>上述加分情形由专家本人自行在珠海市智慧物业管理服务</w:t>
      </w:r>
      <w:r>
        <w:rPr>
          <w:rFonts w:ascii="仿宋" w:hAnsi="仿宋" w:eastAsia="仿宋" w:cs="仿宋"/>
          <w:color w:val="000000" w:themeColor="text1"/>
          <w:spacing w:val="9"/>
          <w:sz w:val="32"/>
          <w:szCs w:val="32"/>
          <w14:textFill>
            <w14:solidFill>
              <w14:schemeClr w14:val="tx1"/>
            </w14:solidFill>
          </w14:textFill>
        </w:rPr>
        <w:t>平台申请，经市物业行政主管部门确认后，</w:t>
      </w:r>
      <w:r>
        <w:rPr>
          <w:rFonts w:ascii="仿宋" w:hAnsi="仿宋" w:eastAsia="仿宋" w:cs="仿宋"/>
          <w:color w:val="000000" w:themeColor="text1"/>
          <w:spacing w:val="8"/>
          <w:sz w:val="32"/>
          <w:szCs w:val="32"/>
          <w14:textFill>
            <w14:solidFill>
              <w14:schemeClr w14:val="tx1"/>
            </w14:solidFill>
          </w14:textFill>
        </w:rPr>
        <w:t>保存至个人档案。</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（二）扣分</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704"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16"/>
          <w:sz w:val="32"/>
          <w:szCs w:val="32"/>
          <w14:textFill>
            <w14:solidFill>
              <w14:schemeClr w14:val="tx1"/>
            </w14:solidFill>
          </w14:textFill>
        </w:rPr>
        <w:t>1.专家在未按第二十八条规定办理请假手续的情况下拒绝</w:t>
      </w:r>
      <w:r>
        <w:rPr>
          <w:rFonts w:ascii="仿宋" w:hAnsi="仿宋" w:eastAsia="仿宋" w:cs="仿宋"/>
          <w:color w:val="000000" w:themeColor="text1"/>
          <w:spacing w:val="7"/>
          <w:sz w:val="32"/>
          <w:szCs w:val="32"/>
          <w14:textFill>
            <w14:solidFill>
              <w14:schemeClr w14:val="tx1"/>
            </w14:solidFill>
          </w14:textFill>
        </w:rPr>
        <w:t>履行第十九条规定的义务的每次扣2分；专家履</w:t>
      </w:r>
      <w:r>
        <w:rPr>
          <w:rFonts w:ascii="仿宋" w:hAnsi="仿宋" w:eastAsia="仿宋" w:cs="仿宋"/>
          <w:color w:val="000000" w:themeColor="text1"/>
          <w:spacing w:val="6"/>
          <w:sz w:val="32"/>
          <w:szCs w:val="32"/>
          <w14:textFill>
            <w14:solidFill>
              <w14:schemeClr w14:val="tx1"/>
            </w14:solidFill>
          </w14:textFill>
        </w:rPr>
        <w:t>行义务后获得差</w:t>
      </w:r>
      <w:r>
        <w:rPr>
          <w:rFonts w:ascii="仿宋" w:hAnsi="仿宋" w:eastAsia="仿宋" w:cs="仿宋"/>
          <w:color w:val="000000" w:themeColor="text1"/>
          <w:spacing w:val="-7"/>
          <w:sz w:val="32"/>
          <w:szCs w:val="32"/>
          <w14:textFill>
            <w14:solidFill>
              <w14:schemeClr w14:val="tx1"/>
            </w14:solidFill>
          </w14:textFill>
        </w:rPr>
        <w:t>评的扣1分；</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2.专家缺席市、区物业行政主管部门或市、区行业协会组织</w:t>
      </w:r>
      <w:r>
        <w:rPr>
          <w:rFonts w:ascii="仿宋" w:hAnsi="仿宋" w:eastAsia="仿宋" w:cs="仿宋"/>
          <w:color w:val="000000" w:themeColor="text1"/>
          <w:spacing w:val="6"/>
          <w:sz w:val="32"/>
          <w:szCs w:val="32"/>
          <w14:textFill>
            <w14:solidFill>
              <w14:schemeClr w14:val="tx1"/>
            </w14:solidFill>
          </w14:textFill>
        </w:rPr>
        <w:t>的相关培训</w:t>
      </w:r>
      <w:r>
        <w:rPr>
          <w:rFonts w:ascii="仿宋" w:hAnsi="仿宋" w:eastAsia="仿宋" w:cs="仿宋"/>
          <w:color w:val="000000" w:themeColor="text1"/>
          <w:spacing w:val="4"/>
          <w:sz w:val="32"/>
          <w:szCs w:val="32"/>
          <w14:textFill>
            <w14:solidFill>
              <w14:schemeClr w14:val="tx1"/>
            </w14:solidFill>
          </w14:textFill>
        </w:rPr>
        <w:t>的，每次扣2</w:t>
      </w:r>
      <w:r>
        <w:rPr>
          <w:rFonts w:ascii="仿宋" w:hAnsi="仿宋" w:eastAsia="仿宋" w:cs="仿宋"/>
          <w:color w:val="000000" w:themeColor="text1"/>
          <w:spacing w:val="6"/>
          <w:sz w:val="32"/>
          <w:szCs w:val="32"/>
          <w14:textFill>
            <w14:solidFill>
              <w14:schemeClr w14:val="tx1"/>
            </w14:solidFill>
          </w14:textFill>
        </w:rPr>
        <w:t>分；参加培训但缺勤或未通过培训考核</w:t>
      </w:r>
      <w:r>
        <w:rPr>
          <w:rFonts w:ascii="仿宋" w:hAnsi="仿宋" w:eastAsia="仿宋" w:cs="仿宋"/>
          <w:color w:val="000000" w:themeColor="text1"/>
          <w:spacing w:val="-3"/>
          <w:sz w:val="32"/>
          <w:szCs w:val="32"/>
          <w14:textFill>
            <w14:solidFill>
              <w14:schemeClr w14:val="tx1"/>
            </w14:solidFill>
          </w14:textFill>
        </w:rPr>
        <w:t>的，每次扣3分</w:t>
      </w:r>
      <w:r>
        <w:rPr>
          <w:rFonts w:hint="eastAsia" w:ascii="仿宋" w:hAnsi="仿宋" w:eastAsia="仿宋" w:cs="仿宋"/>
          <w:color w:val="000000" w:themeColor="text1"/>
          <w:spacing w:val="-3"/>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64"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ascii="仿宋" w:hAnsi="仿宋" w:eastAsia="仿宋" w:cs="仿宋"/>
          <w:color w:val="000000" w:themeColor="text1"/>
          <w:spacing w:val="6"/>
          <w:sz w:val="32"/>
          <w:szCs w:val="32"/>
          <w14:textFill>
            <w14:solidFill>
              <w14:schemeClr w14:val="tx1"/>
            </w14:solidFill>
          </w14:textFill>
        </w:rPr>
        <w:t>3.专家在工作中存在玩忽职守、工作马虎的情况被投诉的，</w:t>
      </w:r>
      <w:r>
        <w:rPr>
          <w:rFonts w:ascii="仿宋" w:hAnsi="仿宋" w:eastAsia="仿宋" w:cs="仿宋"/>
          <w:color w:val="000000" w:themeColor="text1"/>
          <w:spacing w:val="3"/>
          <w:sz w:val="32"/>
          <w:szCs w:val="32"/>
          <w14:textFill>
            <w14:solidFill>
              <w14:schemeClr w14:val="tx1"/>
            </w14:solidFill>
          </w14:textFill>
        </w:rPr>
        <w:t>经查实后，扣2分；如造成社会不良影响的，还可视造成影响的</w:t>
      </w:r>
      <w:r>
        <w:rPr>
          <w:rFonts w:ascii="仿宋" w:hAnsi="仿宋" w:eastAsia="仿宋" w:cs="仿宋"/>
          <w:color w:val="000000" w:themeColor="text1"/>
          <w:spacing w:val="-4"/>
          <w:sz w:val="32"/>
          <w:szCs w:val="32"/>
          <w14:textFill>
            <w14:solidFill>
              <w14:schemeClr w14:val="tx1"/>
            </w14:solidFill>
          </w14:textFill>
        </w:rPr>
        <w:t>严重程度再扣1至5分</w:t>
      </w:r>
      <w:r>
        <w:rPr>
          <w:rFonts w:hint="eastAsia" w:ascii="仿宋" w:hAnsi="仿宋" w:eastAsia="仿宋" w:cs="仿宋"/>
          <w:color w:val="000000" w:themeColor="text1"/>
          <w:spacing w:val="-4"/>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9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14"/>
          <w:sz w:val="32"/>
          <w:szCs w:val="32"/>
          <w14:textFill>
            <w14:solidFill>
              <w14:schemeClr w14:val="tx1"/>
            </w14:solidFill>
          </w14:textFill>
        </w:rPr>
        <w:t>4.专家在一个考核周期内请假时间累计超过2个月的或连</w:t>
      </w:r>
      <w:r>
        <w:rPr>
          <w:rFonts w:ascii="仿宋" w:hAnsi="仿宋" w:eastAsia="仿宋" w:cs="仿宋"/>
          <w:color w:val="000000" w:themeColor="text1"/>
          <w:spacing w:val="5"/>
          <w:sz w:val="32"/>
          <w:szCs w:val="32"/>
          <w14:textFill>
            <w14:solidFill>
              <w14:schemeClr w14:val="tx1"/>
            </w14:solidFill>
          </w14:textFill>
        </w:rPr>
        <w:t>续的2个考核周期内请假时间累计超过3个月的，在每个考核周</w:t>
      </w:r>
      <w:r>
        <w:rPr>
          <w:rFonts w:ascii="仿宋" w:hAnsi="仿宋" w:eastAsia="仿宋" w:cs="仿宋"/>
          <w:color w:val="000000" w:themeColor="text1"/>
          <w:spacing w:val="-8"/>
          <w:sz w:val="32"/>
          <w:szCs w:val="32"/>
          <w14:textFill>
            <w14:solidFill>
              <w14:schemeClr w14:val="tx1"/>
            </w14:solidFill>
          </w14:textFill>
        </w:rPr>
        <w:t>期扣10分；</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60"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5"/>
          <w:sz w:val="32"/>
          <w:szCs w:val="32"/>
          <w14:textFill>
            <w14:solidFill>
              <w14:schemeClr w14:val="tx1"/>
            </w14:solidFill>
          </w14:textFill>
        </w:rPr>
        <w:t>5.专家被主管部门通报批评的，每次扣5分。</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上述减分情形由各申请单位向市物业行政主管部门反映，经</w:t>
      </w:r>
      <w:r>
        <w:rPr>
          <w:rFonts w:ascii="仿宋" w:hAnsi="仿宋" w:eastAsia="仿宋" w:cs="仿宋"/>
          <w:color w:val="000000" w:themeColor="text1"/>
          <w:spacing w:val="8"/>
          <w:sz w:val="32"/>
          <w:szCs w:val="32"/>
          <w14:textFill>
            <w14:solidFill>
              <w14:schemeClr w14:val="tx1"/>
            </w14:solidFill>
          </w14:textFill>
        </w:rPr>
        <w:t>市物业行政主管部门核实确认后，保存至个人档案。</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pacing w:val="4"/>
          <w:sz w:val="32"/>
          <w:szCs w:val="32"/>
          <w14:textFill>
            <w14:solidFill>
              <w14:schemeClr w14:val="tx1"/>
            </w14:solidFill>
          </w14:textFill>
        </w:rPr>
        <w:t>第二十七条</w:t>
      </w:r>
      <w:r>
        <w:rPr>
          <w:rFonts w:hint="eastAsia" w:ascii="仿宋" w:hAnsi="仿宋" w:eastAsia="仿宋" w:cs="仿宋"/>
          <w:color w:val="000000" w:themeColor="text1"/>
          <w:spacing w:val="16"/>
          <w:sz w:val="32"/>
          <w:szCs w:val="32"/>
          <w14:textFill>
            <w14:solidFill>
              <w14:schemeClr w14:val="tx1"/>
            </w14:solidFill>
          </w14:textFill>
        </w:rPr>
        <w:t xml:space="preserve">  </w:t>
      </w:r>
      <w:r>
        <w:rPr>
          <w:rFonts w:ascii="仿宋" w:hAnsi="仿宋" w:eastAsia="仿宋" w:cs="仿宋"/>
          <w:color w:val="000000" w:themeColor="text1"/>
          <w:spacing w:val="16"/>
          <w:sz w:val="32"/>
          <w:szCs w:val="32"/>
          <w14:textFill>
            <w14:solidFill>
              <w14:schemeClr w14:val="tx1"/>
            </w14:solidFill>
          </w14:textFill>
        </w:rPr>
        <w:t>市物业行政主管部门在每次考核结束后在其</w:t>
      </w:r>
      <w:r>
        <w:rPr>
          <w:rFonts w:ascii="仿宋" w:hAnsi="仿宋" w:eastAsia="仿宋" w:cs="仿宋"/>
          <w:color w:val="000000" w:themeColor="text1"/>
          <w:spacing w:val="5"/>
          <w:sz w:val="32"/>
          <w:szCs w:val="32"/>
          <w14:textFill>
            <w14:solidFill>
              <w14:schemeClr w14:val="tx1"/>
            </w14:solidFill>
          </w14:textFill>
        </w:rPr>
        <w:t>官方网站公布专家星级及积分情况、清退的专家名单</w:t>
      </w:r>
      <w:r>
        <w:rPr>
          <w:rFonts w:ascii="仿宋" w:hAnsi="仿宋" w:eastAsia="仿宋" w:cs="仿宋"/>
          <w:color w:val="000000" w:themeColor="text1"/>
          <w:spacing w:val="4"/>
          <w:sz w:val="32"/>
          <w:szCs w:val="32"/>
          <w14:textFill>
            <w14:solidFill>
              <w14:schemeClr w14:val="tx1"/>
            </w14:solidFill>
          </w14:textFill>
        </w:rPr>
        <w:t>，并于每年</w:t>
      </w:r>
      <w:r>
        <w:rPr>
          <w:rFonts w:ascii="仿宋" w:hAnsi="仿宋" w:eastAsia="仿宋" w:cs="仿宋"/>
          <w:color w:val="000000" w:themeColor="text1"/>
          <w:spacing w:val="5"/>
          <w:sz w:val="32"/>
          <w:szCs w:val="32"/>
          <w14:textFill>
            <w14:solidFill>
              <w14:schemeClr w14:val="tx1"/>
            </w14:solidFill>
          </w14:textFill>
        </w:rPr>
        <w:t>定期召开会议对上一考核周期的表现突出的专家通报</w:t>
      </w:r>
      <w:r>
        <w:rPr>
          <w:rFonts w:ascii="仿宋" w:hAnsi="仿宋" w:eastAsia="仿宋" w:cs="仿宋"/>
          <w:color w:val="000000" w:themeColor="text1"/>
          <w:spacing w:val="4"/>
          <w:sz w:val="32"/>
          <w:szCs w:val="32"/>
          <w14:textFill>
            <w14:solidFill>
              <w14:schemeClr w14:val="tx1"/>
            </w14:solidFill>
          </w14:textFill>
        </w:rPr>
        <w:t>表扬，并授</w:t>
      </w:r>
      <w:r>
        <w:rPr>
          <w:rFonts w:ascii="仿宋" w:hAnsi="仿宋" w:eastAsia="仿宋" w:cs="仿宋"/>
          <w:color w:val="000000" w:themeColor="text1"/>
          <w:spacing w:val="3"/>
          <w:sz w:val="32"/>
          <w:szCs w:val="32"/>
          <w14:textFill>
            <w14:solidFill>
              <w14:schemeClr w14:val="tx1"/>
            </w14:solidFill>
          </w14:textFill>
        </w:rPr>
        <w:t>予荣誉证书。</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pacing w:val="4"/>
          <w:sz w:val="32"/>
          <w:szCs w:val="32"/>
          <w14:textFill>
            <w14:solidFill>
              <w14:schemeClr w14:val="tx1"/>
            </w14:solidFill>
          </w14:textFill>
        </w:rPr>
        <w:t>第二十八条</w:t>
      </w:r>
      <w:r>
        <w:rPr>
          <w:rFonts w:hint="eastAsia" w:ascii="仿宋" w:hAnsi="仿宋" w:eastAsia="仿宋" w:cs="仿宋"/>
          <w:color w:val="000000" w:themeColor="text1"/>
          <w:spacing w:val="4"/>
          <w:sz w:val="32"/>
          <w:szCs w:val="32"/>
          <w14:textFill>
            <w14:solidFill>
              <w14:schemeClr w14:val="tx1"/>
            </w14:solidFill>
          </w14:textFill>
        </w:rPr>
        <w:t xml:space="preserve">  </w:t>
      </w:r>
      <w:r>
        <w:rPr>
          <w:rFonts w:ascii="仿宋" w:hAnsi="仿宋" w:eastAsia="仿宋" w:cs="仿宋"/>
          <w:color w:val="000000" w:themeColor="text1"/>
          <w:spacing w:val="4"/>
          <w:sz w:val="32"/>
          <w:szCs w:val="32"/>
          <w14:textFill>
            <w14:solidFill>
              <w14:schemeClr w14:val="tx1"/>
            </w14:solidFill>
          </w14:textFill>
        </w:rPr>
        <w:t>专家因个人原因暂时不能履行专家义务的，应书面向市物业行政主管部门提交请假条，说明暂时不能履行专家</w:t>
      </w:r>
      <w:r>
        <w:rPr>
          <w:rFonts w:ascii="仿宋" w:hAnsi="仿宋" w:eastAsia="仿宋" w:cs="仿宋"/>
          <w:color w:val="000000" w:themeColor="text1"/>
          <w:spacing w:val="5"/>
          <w:sz w:val="32"/>
          <w:szCs w:val="32"/>
          <w14:textFill>
            <w14:solidFill>
              <w14:schemeClr w14:val="tx1"/>
            </w14:solidFill>
          </w14:textFill>
        </w:rPr>
        <w:t>义务的原因，请假的起止时间等，请假条应具落款时间并由本人</w:t>
      </w:r>
      <w:r>
        <w:rPr>
          <w:rFonts w:ascii="仿宋" w:hAnsi="仿宋" w:eastAsia="仿宋" w:cs="仿宋"/>
          <w:color w:val="000000" w:themeColor="text1"/>
          <w:spacing w:val="-4"/>
          <w:sz w:val="32"/>
          <w:szCs w:val="32"/>
          <w14:textFill>
            <w14:solidFill>
              <w14:schemeClr w14:val="tx1"/>
            </w14:solidFill>
          </w14:textFill>
        </w:rPr>
        <w:t>签名。</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64"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6"/>
          <w:sz w:val="32"/>
          <w:szCs w:val="32"/>
          <w14:textFill>
            <w14:solidFill>
              <w14:schemeClr w14:val="tx1"/>
            </w14:solidFill>
          </w14:textFill>
        </w:rPr>
        <w:t>专家在一个考核周期内请假时间累计不应超过2个月，在</w:t>
      </w:r>
      <w:r>
        <w:rPr>
          <w:rFonts w:ascii="仿宋" w:hAnsi="仿宋" w:eastAsia="仿宋" w:cs="仿宋"/>
          <w:color w:val="000000" w:themeColor="text1"/>
          <w:spacing w:val="9"/>
          <w:sz w:val="32"/>
          <w:szCs w:val="32"/>
          <w14:textFill>
            <w14:solidFill>
              <w14:schemeClr w14:val="tx1"/>
            </w14:solidFill>
          </w14:textFill>
        </w:rPr>
        <w:t>连续的2个考核周期内，请假时间累计不应超过</w:t>
      </w:r>
      <w:r>
        <w:rPr>
          <w:rFonts w:ascii="仿宋" w:hAnsi="仿宋" w:eastAsia="仿宋" w:cs="仿宋"/>
          <w:color w:val="000000" w:themeColor="text1"/>
          <w:spacing w:val="8"/>
          <w:sz w:val="32"/>
          <w:szCs w:val="32"/>
          <w14:textFill>
            <w14:solidFill>
              <w14:schemeClr w14:val="tx1"/>
            </w14:solidFill>
          </w14:textFill>
        </w:rPr>
        <w:t>3个月。</w:t>
      </w:r>
    </w:p>
    <w:p>
      <w:pPr>
        <w:keepNext w:val="0"/>
        <w:keepLines w:val="0"/>
        <w:pageBreakBefore w:val="0"/>
        <w:widowControl w:val="0"/>
        <w:kinsoku/>
        <w:wordWrap/>
        <w:overflowPunct/>
        <w:topLinePunct w:val="0"/>
        <w:autoSpaceDE/>
        <w:autoSpaceDN/>
        <w:bidi w:val="0"/>
        <w:adjustRightInd w:val="0"/>
        <w:snapToGrid w:val="0"/>
        <w:spacing w:line="579" w:lineRule="exact"/>
        <w:ind w:firstLine="65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pacing w:val="4"/>
          <w:sz w:val="32"/>
          <w:szCs w:val="32"/>
          <w14:textFill>
            <w14:solidFill>
              <w14:schemeClr w14:val="tx1"/>
            </w14:solidFill>
          </w14:textFill>
        </w:rPr>
        <w:t>第二十九条</w:t>
      </w:r>
      <w:r>
        <w:rPr>
          <w:rFonts w:hint="eastAsia" w:ascii="仿宋" w:hAnsi="仿宋" w:eastAsia="仿宋" w:cs="仿宋"/>
          <w:color w:val="000000" w:themeColor="text1"/>
          <w:spacing w:val="4"/>
          <w:sz w:val="32"/>
          <w:szCs w:val="32"/>
          <w14:textFill>
            <w14:solidFill>
              <w14:schemeClr w14:val="tx1"/>
            </w14:solidFill>
          </w14:textFill>
        </w:rPr>
        <w:t xml:space="preserve">  </w:t>
      </w:r>
      <w:r>
        <w:rPr>
          <w:rFonts w:ascii="仿宋" w:hAnsi="仿宋" w:eastAsia="仿宋" w:cs="仿宋"/>
          <w:color w:val="000000" w:themeColor="text1"/>
          <w:spacing w:val="4"/>
          <w:sz w:val="32"/>
          <w:szCs w:val="32"/>
          <w14:textFill>
            <w14:solidFill>
              <w14:schemeClr w14:val="tx1"/>
            </w14:solidFill>
          </w14:textFill>
        </w:rPr>
        <w:t>在市内开展相关物业管理活动的部门、行业协</w:t>
      </w:r>
      <w:r>
        <w:rPr>
          <w:rFonts w:ascii="仿宋" w:hAnsi="仿宋" w:eastAsia="仿宋" w:cs="仿宋"/>
          <w:color w:val="000000" w:themeColor="text1"/>
          <w:spacing w:val="6"/>
          <w:sz w:val="32"/>
          <w:szCs w:val="32"/>
          <w14:textFill>
            <w14:solidFill>
              <w14:schemeClr w14:val="tx1"/>
            </w14:solidFill>
          </w14:textFill>
        </w:rPr>
        <w:t>会和中介机构等单位可依申请使用专家库。专家库的使用，按照</w:t>
      </w:r>
      <w:r>
        <w:rPr>
          <w:rFonts w:ascii="仿宋" w:hAnsi="仿宋" w:eastAsia="仿宋" w:cs="仿宋"/>
          <w:color w:val="000000" w:themeColor="text1"/>
          <w:spacing w:val="2"/>
          <w:sz w:val="32"/>
          <w:szCs w:val="32"/>
          <w14:textFill>
            <w14:solidFill>
              <w14:schemeClr w14:val="tx1"/>
            </w14:solidFill>
          </w14:textFill>
        </w:rPr>
        <w:t>“活动性质、专业对口、回避制度”的原则，采</w:t>
      </w:r>
      <w:r>
        <w:rPr>
          <w:rFonts w:ascii="仿宋" w:hAnsi="仿宋" w:eastAsia="仿宋" w:cs="仿宋"/>
          <w:color w:val="000000" w:themeColor="text1"/>
          <w:spacing w:val="1"/>
          <w:sz w:val="32"/>
          <w:szCs w:val="32"/>
          <w14:textFill>
            <w14:solidFill>
              <w14:schemeClr w14:val="tx1"/>
            </w14:solidFill>
          </w14:textFill>
        </w:rPr>
        <w:t>取随机抽取和指</w:t>
      </w:r>
      <w:r>
        <w:rPr>
          <w:rFonts w:ascii="仿宋" w:hAnsi="仿宋" w:eastAsia="仿宋" w:cs="仿宋"/>
          <w:color w:val="000000" w:themeColor="text1"/>
          <w:spacing w:val="9"/>
          <w:sz w:val="32"/>
          <w:szCs w:val="32"/>
          <w14:textFill>
            <w14:solidFill>
              <w14:schemeClr w14:val="tx1"/>
            </w14:solidFill>
          </w14:textFill>
        </w:rPr>
        <w:t>定相结合的方式，抽选专家参加物业活动。</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5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pacing w:val="4"/>
          <w:sz w:val="32"/>
          <w:szCs w:val="32"/>
          <w14:textFill>
            <w14:solidFill>
              <w14:schemeClr w14:val="tx1"/>
            </w14:solidFill>
          </w14:textFill>
        </w:rPr>
        <w:t>第三十条</w:t>
      </w:r>
      <w:r>
        <w:rPr>
          <w:rFonts w:hint="eastAsia" w:ascii="仿宋" w:hAnsi="仿宋" w:eastAsia="仿宋" w:cs="仿宋"/>
          <w:color w:val="000000" w:themeColor="text1"/>
          <w:spacing w:val="8"/>
          <w:sz w:val="32"/>
          <w:szCs w:val="32"/>
          <w14:textFill>
            <w14:solidFill>
              <w14:schemeClr w14:val="tx1"/>
            </w14:solidFill>
          </w14:textFill>
        </w:rPr>
        <w:t xml:space="preserve">  </w:t>
      </w:r>
      <w:r>
        <w:rPr>
          <w:rFonts w:ascii="仿宋" w:hAnsi="仿宋" w:eastAsia="仿宋" w:cs="仿宋"/>
          <w:color w:val="000000" w:themeColor="text1"/>
          <w:spacing w:val="8"/>
          <w:sz w:val="32"/>
          <w:szCs w:val="32"/>
          <w14:textFill>
            <w14:solidFill>
              <w14:schemeClr w14:val="tx1"/>
            </w14:solidFill>
          </w14:textFill>
        </w:rPr>
        <w:t>相关单位按照以下程序申请使用专家：</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（一）使用单位在珠海市智慧物业管理服务平台提出使用专</w:t>
      </w:r>
      <w:r>
        <w:rPr>
          <w:rFonts w:ascii="仿宋" w:hAnsi="仿宋" w:eastAsia="仿宋" w:cs="仿宋"/>
          <w:color w:val="000000" w:themeColor="text1"/>
          <w:spacing w:val="8"/>
          <w:sz w:val="32"/>
          <w:szCs w:val="32"/>
          <w14:textFill>
            <w14:solidFill>
              <w14:schemeClr w14:val="tx1"/>
            </w14:solidFill>
          </w14:textFill>
        </w:rPr>
        <w:t>家事由、条件和要求，可向专家库管理部门申请使用专家；</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64"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6"/>
          <w:sz w:val="32"/>
          <w:szCs w:val="32"/>
          <w14:textFill>
            <w14:solidFill>
              <w14:schemeClr w14:val="tx1"/>
            </w14:solidFill>
          </w14:textFill>
        </w:rPr>
        <w:t>（二）根据使用单位申请，由使用单位在专家库</w:t>
      </w:r>
      <w:r>
        <w:rPr>
          <w:rFonts w:ascii="仿宋" w:hAnsi="仿宋" w:eastAsia="仿宋" w:cs="仿宋"/>
          <w:color w:val="000000" w:themeColor="text1"/>
          <w:spacing w:val="5"/>
          <w:sz w:val="32"/>
          <w:szCs w:val="32"/>
          <w14:textFill>
            <w14:solidFill>
              <w14:schemeClr w14:val="tx1"/>
            </w14:solidFill>
          </w14:textFill>
        </w:rPr>
        <w:t>中按照1:2的比例随机抽选专家，形成候选专家名单。其中</w:t>
      </w:r>
      <w:r>
        <w:rPr>
          <w:rFonts w:ascii="仿宋" w:hAnsi="仿宋" w:eastAsia="仿宋" w:cs="仿宋"/>
          <w:color w:val="000000" w:themeColor="text1"/>
          <w:spacing w:val="4"/>
          <w:sz w:val="32"/>
          <w:szCs w:val="32"/>
          <w14:textFill>
            <w14:solidFill>
              <w14:schemeClr w14:val="tx1"/>
            </w14:solidFill>
          </w14:textFill>
        </w:rPr>
        <w:t>物业管评标专家</w:t>
      </w:r>
      <w:r>
        <w:rPr>
          <w:rFonts w:ascii="仿宋" w:hAnsi="仿宋" w:eastAsia="仿宋" w:cs="仿宋"/>
          <w:color w:val="000000" w:themeColor="text1"/>
          <w:spacing w:val="5"/>
          <w:sz w:val="32"/>
          <w:szCs w:val="32"/>
          <w14:textFill>
            <w14:solidFill>
              <w14:schemeClr w14:val="tx1"/>
            </w14:solidFill>
          </w14:textFill>
        </w:rPr>
        <w:t>由各区物业行政主管部门根据《珠海市物业</w:t>
      </w:r>
      <w:r>
        <w:rPr>
          <w:rFonts w:ascii="仿宋" w:hAnsi="仿宋" w:eastAsia="仿宋" w:cs="仿宋"/>
          <w:color w:val="000000" w:themeColor="text1"/>
          <w:spacing w:val="4"/>
          <w:sz w:val="32"/>
          <w:szCs w:val="32"/>
          <w14:textFill>
            <w14:solidFill>
              <w14:schemeClr w14:val="tx1"/>
            </w14:solidFill>
          </w14:textFill>
        </w:rPr>
        <w:t>管理招标投标管理办</w:t>
      </w:r>
      <w:r>
        <w:rPr>
          <w:rFonts w:ascii="仿宋" w:hAnsi="仿宋" w:eastAsia="仿宋" w:cs="仿宋"/>
          <w:color w:val="000000" w:themeColor="text1"/>
          <w:spacing w:val="7"/>
          <w:sz w:val="32"/>
          <w:szCs w:val="32"/>
          <w14:textFill>
            <w14:solidFill>
              <w14:schemeClr w14:val="tx1"/>
            </w14:solidFill>
          </w14:textFill>
        </w:rPr>
        <w:t>法》相关规定，在专家库抽选专家；</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hint="eastAsia" w:ascii="仿宋" w:hAnsi="仿宋" w:eastAsia="仿宋" w:cs="仿宋"/>
          <w:color w:val="000000" w:themeColor="text1"/>
          <w:spacing w:val="4"/>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（三）各使用单位负责从候选专家名单中依次联系专家，确</w:t>
      </w:r>
      <w:r>
        <w:rPr>
          <w:rFonts w:ascii="仿宋" w:hAnsi="仿宋" w:eastAsia="仿宋" w:cs="仿宋"/>
          <w:color w:val="000000" w:themeColor="text1"/>
          <w:spacing w:val="5"/>
          <w:sz w:val="32"/>
          <w:szCs w:val="32"/>
          <w14:textFill>
            <w14:solidFill>
              <w14:schemeClr w14:val="tx1"/>
            </w14:solidFill>
          </w14:textFill>
        </w:rPr>
        <w:t>定使用专家名单；若在候选专家名单联系中仍无法满足使用人数</w:t>
      </w:r>
      <w:r>
        <w:rPr>
          <w:rFonts w:ascii="仿宋" w:hAnsi="仿宋" w:eastAsia="仿宋" w:cs="仿宋"/>
          <w:color w:val="000000" w:themeColor="text1"/>
          <w:spacing w:val="2"/>
          <w:sz w:val="32"/>
          <w:szCs w:val="32"/>
          <w14:textFill>
            <w14:solidFill>
              <w14:schemeClr w14:val="tx1"/>
            </w14:solidFill>
          </w14:textFill>
        </w:rPr>
        <w:t>时，可按1:1的比例再次从专家库中抽选专家名单，直至最终确</w:t>
      </w:r>
      <w:r>
        <w:rPr>
          <w:rFonts w:ascii="仿宋" w:hAnsi="仿宋" w:eastAsia="仿宋" w:cs="仿宋"/>
          <w:color w:val="000000" w:themeColor="text1"/>
          <w:spacing w:val="5"/>
          <w:sz w:val="32"/>
          <w:szCs w:val="32"/>
          <w14:textFill>
            <w14:solidFill>
              <w14:schemeClr w14:val="tx1"/>
            </w14:solidFill>
          </w14:textFill>
        </w:rPr>
        <w:t>定使用专家名单。其中物业管评标专家由区物业行政主管部门负</w:t>
      </w:r>
      <w:r>
        <w:rPr>
          <w:rFonts w:ascii="仿宋" w:hAnsi="仿宋" w:eastAsia="仿宋" w:cs="仿宋"/>
          <w:color w:val="000000" w:themeColor="text1"/>
          <w:spacing w:val="4"/>
          <w:sz w:val="32"/>
          <w:szCs w:val="32"/>
          <w14:textFill>
            <w14:solidFill>
              <w14:schemeClr w14:val="tx1"/>
            </w14:solidFill>
          </w14:textFill>
        </w:rPr>
        <w:t>责联系专家。</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pacing w:val="4"/>
          <w:sz w:val="32"/>
          <w:szCs w:val="32"/>
          <w14:textFill>
            <w14:solidFill>
              <w14:schemeClr w14:val="tx1"/>
            </w14:solidFill>
          </w14:textFill>
        </w:rPr>
        <w:t>第三十一条</w:t>
      </w:r>
      <w:r>
        <w:rPr>
          <w:rFonts w:hint="eastAsia" w:ascii="仿宋" w:hAnsi="仿宋" w:eastAsia="仿宋" w:cs="仿宋"/>
          <w:color w:val="000000" w:themeColor="text1"/>
          <w:spacing w:val="4"/>
          <w:sz w:val="32"/>
          <w:szCs w:val="32"/>
          <w14:textFill>
            <w14:solidFill>
              <w14:schemeClr w14:val="tx1"/>
            </w14:solidFill>
          </w14:textFill>
        </w:rPr>
        <w:t xml:space="preserve">  </w:t>
      </w:r>
      <w:r>
        <w:rPr>
          <w:rFonts w:ascii="仿宋" w:hAnsi="仿宋" w:eastAsia="仿宋" w:cs="仿宋"/>
          <w:color w:val="000000" w:themeColor="text1"/>
          <w:spacing w:val="4"/>
          <w:sz w:val="32"/>
          <w:szCs w:val="32"/>
          <w14:textFill>
            <w14:solidFill>
              <w14:schemeClr w14:val="tx1"/>
            </w14:solidFill>
          </w14:textFill>
        </w:rPr>
        <w:t>按照上条规定确定使用的专家，由各使用单位</w:t>
      </w:r>
      <w:r>
        <w:rPr>
          <w:rFonts w:ascii="仿宋" w:hAnsi="仿宋" w:eastAsia="仿宋" w:cs="仿宋"/>
          <w:color w:val="000000" w:themeColor="text1"/>
          <w:spacing w:val="5"/>
          <w:sz w:val="32"/>
          <w:szCs w:val="32"/>
          <w14:textFill>
            <w14:solidFill>
              <w14:schemeClr w14:val="tx1"/>
            </w14:solidFill>
          </w14:textFill>
        </w:rPr>
        <w:t>记录专家使用情况，其中物业管评标专家由区物业行政主管部门</w:t>
      </w:r>
      <w:r>
        <w:rPr>
          <w:rFonts w:ascii="仿宋" w:hAnsi="仿宋" w:eastAsia="仿宋" w:cs="仿宋"/>
          <w:color w:val="000000" w:themeColor="text1"/>
          <w:spacing w:val="8"/>
          <w:sz w:val="32"/>
          <w:szCs w:val="32"/>
          <w14:textFill>
            <w14:solidFill>
              <w14:schemeClr w14:val="tx1"/>
            </w14:solidFill>
          </w14:textFill>
        </w:rPr>
        <w:t>负责记录，并纳入专家个人档案信息。</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pacing w:val="4"/>
          <w:sz w:val="32"/>
          <w:szCs w:val="32"/>
          <w14:textFill>
            <w14:solidFill>
              <w14:schemeClr w14:val="tx1"/>
            </w14:solidFill>
          </w14:textFill>
        </w:rPr>
        <w:t>第三十二条</w:t>
      </w:r>
      <w:r>
        <w:rPr>
          <w:rFonts w:hint="eastAsia" w:ascii="仿宋" w:hAnsi="仿宋" w:eastAsia="仿宋" w:cs="仿宋"/>
          <w:color w:val="000000" w:themeColor="text1"/>
          <w:spacing w:val="4"/>
          <w:sz w:val="32"/>
          <w:szCs w:val="32"/>
          <w14:textFill>
            <w14:solidFill>
              <w14:schemeClr w14:val="tx1"/>
            </w14:solidFill>
          </w14:textFill>
        </w:rPr>
        <w:t xml:space="preserve">  </w:t>
      </w:r>
      <w:r>
        <w:rPr>
          <w:rFonts w:ascii="仿宋" w:hAnsi="仿宋" w:eastAsia="仿宋" w:cs="仿宋"/>
          <w:color w:val="000000" w:themeColor="text1"/>
          <w:spacing w:val="4"/>
          <w:sz w:val="32"/>
          <w:szCs w:val="32"/>
          <w14:textFill>
            <w14:solidFill>
              <w14:schemeClr w14:val="tx1"/>
            </w14:solidFill>
          </w14:textFill>
        </w:rPr>
        <w:t>有下列情形之一的，申请人、利害关系人可以</w:t>
      </w:r>
      <w:r>
        <w:rPr>
          <w:rFonts w:ascii="仿宋" w:hAnsi="仿宋" w:eastAsia="仿宋" w:cs="仿宋"/>
          <w:color w:val="000000" w:themeColor="text1"/>
          <w:spacing w:val="7"/>
          <w:sz w:val="32"/>
          <w:szCs w:val="32"/>
          <w14:textFill>
            <w14:solidFill>
              <w14:schemeClr w14:val="tx1"/>
            </w14:solidFill>
          </w14:textFill>
        </w:rPr>
        <w:t>提出重新组织专家评审的申请。</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（一）专家评审依据的法律法规、技术规范、行业标准、部</w:t>
      </w:r>
      <w:r>
        <w:rPr>
          <w:rFonts w:ascii="仿宋" w:hAnsi="仿宋" w:eastAsia="仿宋" w:cs="仿宋"/>
          <w:color w:val="000000" w:themeColor="text1"/>
          <w:spacing w:val="5"/>
          <w:sz w:val="32"/>
          <w:szCs w:val="32"/>
          <w14:textFill>
            <w14:solidFill>
              <w14:schemeClr w14:val="tx1"/>
            </w14:solidFill>
          </w14:textFill>
        </w:rPr>
        <w:t>门规章或者规定适用不当的；</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
          <w:sz w:val="32"/>
          <w:szCs w:val="32"/>
          <w14:textFill>
            <w14:solidFill>
              <w14:schemeClr w14:val="tx1"/>
            </w14:solidFill>
          </w14:textFill>
        </w:rPr>
        <w:t>（二）申请人、利害关系人或者论证编制单位对专家评审意</w:t>
      </w:r>
      <w:r>
        <w:rPr>
          <w:rFonts w:ascii="仿宋" w:hAnsi="仿宋" w:eastAsia="仿宋" w:cs="仿宋"/>
          <w:color w:val="000000" w:themeColor="text1"/>
          <w:spacing w:val="7"/>
          <w:sz w:val="32"/>
          <w:szCs w:val="32"/>
          <w14:textFill>
            <w14:solidFill>
              <w14:schemeClr w14:val="tx1"/>
            </w14:solidFill>
          </w14:textFill>
        </w:rPr>
        <w:t>见不服的，并有客观和事实依据的；</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72"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8"/>
          <w:sz w:val="32"/>
          <w:szCs w:val="32"/>
          <w14:textFill>
            <w14:solidFill>
              <w14:schemeClr w14:val="tx1"/>
            </w14:solidFill>
          </w14:textFill>
        </w:rPr>
        <w:t>（三）违反本办法规定的专家禁止行为和回避制度的；</w:t>
      </w:r>
    </w:p>
    <w:p>
      <w:pPr>
        <w:keepNext w:val="0"/>
        <w:keepLines w:val="0"/>
        <w:pageBreakBefore w:val="0"/>
        <w:widowControl w:val="0"/>
        <w:kinsoku/>
        <w:wordWrap/>
        <w:overflowPunct/>
        <w:topLinePunct w:val="0"/>
        <w:autoSpaceDE/>
        <w:autoSpaceDN/>
        <w:bidi w:val="0"/>
        <w:adjustRightInd w:val="0"/>
        <w:snapToGrid w:val="0"/>
        <w:spacing w:line="579" w:lineRule="exact"/>
        <w:ind w:firstLine="62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3"/>
          <w:sz w:val="32"/>
          <w:szCs w:val="32"/>
          <w14:textFill>
            <w14:solidFill>
              <w14:schemeClr w14:val="tx1"/>
            </w14:solidFill>
          </w14:textFill>
        </w:rPr>
        <w:t>（四）其</w:t>
      </w:r>
      <w:r>
        <w:rPr>
          <w:rFonts w:hint="default" w:ascii="仿宋" w:hAnsi="仿宋" w:eastAsia="仿宋" w:cs="仿宋"/>
          <w:color w:val="000000" w:themeColor="text1"/>
          <w:spacing w:val="-3"/>
          <w:sz w:val="32"/>
          <w:szCs w:val="32"/>
          <w:lang w:eastAsia="zh-CN"/>
          <w14:textFill>
            <w14:solidFill>
              <w14:schemeClr w14:val="tx1"/>
            </w14:solidFill>
          </w14:textFill>
        </w:rPr>
        <w:t>它</w:t>
      </w:r>
      <w:r>
        <w:rPr>
          <w:rFonts w:ascii="仿宋" w:hAnsi="仿宋" w:eastAsia="仿宋" w:cs="仿宋"/>
          <w:color w:val="000000" w:themeColor="text1"/>
          <w:spacing w:val="-3"/>
          <w:sz w:val="32"/>
          <w:szCs w:val="32"/>
          <w14:textFill>
            <w14:solidFill>
              <w14:schemeClr w14:val="tx1"/>
            </w14:solidFill>
          </w14:textFill>
        </w:rPr>
        <w:t>违反法律、法规、规章、规范性文件规定情形的。</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pacing w:val="4"/>
          <w:sz w:val="32"/>
          <w:szCs w:val="32"/>
          <w14:textFill>
            <w14:solidFill>
              <w14:schemeClr w14:val="tx1"/>
            </w14:solidFill>
          </w14:textFill>
        </w:rPr>
        <w:t>第三十三条</w:t>
      </w:r>
      <w:r>
        <w:rPr>
          <w:rFonts w:hint="eastAsia" w:ascii="仿宋" w:hAnsi="仿宋" w:eastAsia="仿宋" w:cs="仿宋"/>
          <w:color w:val="000000" w:themeColor="text1"/>
          <w:spacing w:val="3"/>
          <w:sz w:val="32"/>
          <w:szCs w:val="32"/>
          <w14:textFill>
            <w14:solidFill>
              <w14:schemeClr w14:val="tx1"/>
            </w14:solidFill>
          </w14:textFill>
        </w:rPr>
        <w:t xml:space="preserve">  </w:t>
      </w:r>
      <w:r>
        <w:rPr>
          <w:rFonts w:ascii="仿宋" w:hAnsi="仿宋" w:eastAsia="仿宋" w:cs="仿宋"/>
          <w:color w:val="000000" w:themeColor="text1"/>
          <w:spacing w:val="3"/>
          <w:sz w:val="32"/>
          <w:szCs w:val="32"/>
          <w14:textFill>
            <w14:solidFill>
              <w14:schemeClr w14:val="tx1"/>
            </w14:solidFill>
          </w14:textFill>
        </w:rPr>
        <w:t>建立专家培训制度。实行“一年一训”</w:t>
      </w:r>
      <w:r>
        <w:rPr>
          <w:rFonts w:ascii="仿宋" w:hAnsi="仿宋" w:eastAsia="仿宋" w:cs="仿宋"/>
          <w:color w:val="000000" w:themeColor="text1"/>
          <w:spacing w:val="2"/>
          <w:sz w:val="32"/>
          <w:szCs w:val="32"/>
          <w14:textFill>
            <w14:solidFill>
              <w14:schemeClr w14:val="tx1"/>
            </w14:solidFill>
          </w14:textFill>
        </w:rPr>
        <w:t>，市物</w:t>
      </w:r>
      <w:r>
        <w:rPr>
          <w:rFonts w:ascii="仿宋" w:hAnsi="仿宋" w:eastAsia="仿宋" w:cs="仿宋"/>
          <w:color w:val="000000" w:themeColor="text1"/>
          <w:spacing w:val="14"/>
          <w:sz w:val="32"/>
          <w:szCs w:val="32"/>
          <w14:textFill>
            <w14:solidFill>
              <w14:schemeClr w14:val="tx1"/>
            </w14:solidFill>
          </w14:textFill>
        </w:rPr>
        <w:t>业行政主管部门应当在每个考核年度内对专家组织不</w:t>
      </w:r>
      <w:r>
        <w:rPr>
          <w:rFonts w:ascii="仿宋" w:hAnsi="仿宋" w:eastAsia="仿宋" w:cs="仿宋"/>
          <w:color w:val="000000" w:themeColor="text1"/>
          <w:spacing w:val="13"/>
          <w:sz w:val="32"/>
          <w:szCs w:val="32"/>
          <w14:textFill>
            <w14:solidFill>
              <w14:schemeClr w14:val="tx1"/>
            </w14:solidFill>
          </w14:textFill>
        </w:rPr>
        <w:t>少于1次</w:t>
      </w:r>
      <w:r>
        <w:rPr>
          <w:rFonts w:ascii="仿宋" w:hAnsi="仿宋" w:eastAsia="仿宋" w:cs="仿宋"/>
          <w:color w:val="000000" w:themeColor="text1"/>
          <w:spacing w:val="8"/>
          <w:sz w:val="32"/>
          <w:szCs w:val="32"/>
          <w14:textFill>
            <w14:solidFill>
              <w14:schemeClr w14:val="tx1"/>
            </w14:solidFill>
          </w14:textFill>
        </w:rPr>
        <w:t>的业务培训。专家参加业务培训情况纳入年度考核范围。</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2"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3"/>
          <w:sz w:val="32"/>
          <w:szCs w:val="32"/>
          <w14:textFill>
            <w14:solidFill>
              <w14:schemeClr w14:val="tx1"/>
            </w14:solidFill>
          </w14:textFill>
        </w:rPr>
        <w:t>建立专家考核制度。实行“一年一核”，市物业行政主管部</w:t>
      </w:r>
      <w:r>
        <w:rPr>
          <w:rFonts w:ascii="仿宋" w:hAnsi="仿宋" w:eastAsia="仿宋" w:cs="仿宋"/>
          <w:color w:val="000000" w:themeColor="text1"/>
          <w:spacing w:val="5"/>
          <w:sz w:val="32"/>
          <w:szCs w:val="32"/>
          <w14:textFill>
            <w14:solidFill>
              <w14:schemeClr w14:val="tx1"/>
            </w14:solidFill>
          </w14:textFill>
        </w:rPr>
        <w:t>门应当在每个考核年度内对每位专家的业务能力、义务履行、纪律遵守等履职情况进行考核。邀请专家参与相关活动的单位应当</w:t>
      </w:r>
      <w:r>
        <w:rPr>
          <w:rFonts w:ascii="仿宋" w:hAnsi="仿宋" w:eastAsia="仿宋" w:cs="仿宋"/>
          <w:color w:val="000000" w:themeColor="text1"/>
          <w:spacing w:val="6"/>
          <w:sz w:val="32"/>
          <w:szCs w:val="32"/>
          <w14:textFill>
            <w14:solidFill>
              <w14:schemeClr w14:val="tx1"/>
            </w14:solidFill>
          </w14:textFill>
        </w:rPr>
        <w:t>在每次活动结束后15个自然日内向市物业行政主管部门</w:t>
      </w:r>
      <w:r>
        <w:rPr>
          <w:rFonts w:ascii="仿宋" w:hAnsi="仿宋" w:eastAsia="仿宋" w:cs="仿宋"/>
          <w:color w:val="000000" w:themeColor="text1"/>
          <w:spacing w:val="5"/>
          <w:sz w:val="32"/>
          <w:szCs w:val="32"/>
          <w14:textFill>
            <w14:solidFill>
              <w14:schemeClr w14:val="tx1"/>
            </w14:solidFill>
          </w14:textFill>
        </w:rPr>
        <w:t>提交专</w:t>
      </w:r>
      <w:r>
        <w:rPr>
          <w:rFonts w:ascii="仿宋" w:hAnsi="仿宋" w:eastAsia="仿宋" w:cs="仿宋"/>
          <w:color w:val="000000" w:themeColor="text1"/>
          <w:spacing w:val="6"/>
          <w:sz w:val="32"/>
          <w:szCs w:val="32"/>
          <w14:textFill>
            <w14:solidFill>
              <w14:schemeClr w14:val="tx1"/>
            </w14:solidFill>
          </w14:textFill>
        </w:rPr>
        <w:t>家履职情况书面报告。</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2" w:firstLineChars="200"/>
        <w:jc w:val="both"/>
        <w:textAlignment w:val="auto"/>
        <w:rPr>
          <w:rFonts w:hint="eastAsia" w:ascii="仿宋" w:hAnsi="仿宋" w:eastAsia="仿宋" w:cs="仿宋"/>
          <w:color w:val="000000" w:themeColor="text1"/>
          <w:spacing w:val="-6"/>
          <w:sz w:val="32"/>
          <w:szCs w:val="32"/>
          <w14:textFill>
            <w14:solidFill>
              <w14:schemeClr w14:val="tx1"/>
            </w14:solidFill>
          </w14:textFill>
        </w:rPr>
      </w:pPr>
      <w:r>
        <w:rPr>
          <w:rFonts w:ascii="仿宋" w:hAnsi="仿宋" w:eastAsia="仿宋" w:cs="仿宋"/>
          <w:color w:val="000000" w:themeColor="text1"/>
          <w:spacing w:val="3"/>
          <w:sz w:val="32"/>
          <w:szCs w:val="32"/>
          <w14:textFill>
            <w14:solidFill>
              <w14:schemeClr w14:val="tx1"/>
            </w14:solidFill>
          </w14:textFill>
        </w:rPr>
        <w:t>建立专家档案制度。实行“一人一档”，市物业行政主管部</w:t>
      </w:r>
      <w:r>
        <w:rPr>
          <w:rFonts w:ascii="仿宋" w:hAnsi="仿宋" w:eastAsia="仿宋" w:cs="仿宋"/>
          <w:color w:val="000000" w:themeColor="text1"/>
          <w:spacing w:val="5"/>
          <w:sz w:val="32"/>
          <w:szCs w:val="32"/>
          <w14:textFill>
            <w14:solidFill>
              <w14:schemeClr w14:val="tx1"/>
            </w14:solidFill>
          </w14:textFill>
        </w:rPr>
        <w:t>门应当对专家参与相关物业服务管理活动、接受培训以及年度考</w:t>
      </w:r>
      <w:r>
        <w:rPr>
          <w:rFonts w:ascii="仿宋" w:hAnsi="仿宋" w:eastAsia="仿宋" w:cs="仿宋"/>
          <w:color w:val="000000" w:themeColor="text1"/>
          <w:spacing w:val="8"/>
          <w:sz w:val="32"/>
          <w:szCs w:val="32"/>
          <w14:textFill>
            <w14:solidFill>
              <w14:schemeClr w14:val="tx1"/>
            </w14:solidFill>
          </w14:textFill>
        </w:rPr>
        <w:t>核等情况记录存档，作为对专家监督管理的依据。</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58"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pacing w:val="4"/>
          <w:sz w:val="32"/>
          <w:szCs w:val="32"/>
          <w14:textFill>
            <w14:solidFill>
              <w14:schemeClr w14:val="tx1"/>
            </w14:solidFill>
          </w14:textFill>
        </w:rPr>
        <w:t>第三十四条</w:t>
      </w:r>
      <w:r>
        <w:rPr>
          <w:rFonts w:hint="eastAsia" w:ascii="仿宋" w:hAnsi="仿宋" w:eastAsia="仿宋" w:cs="仿宋"/>
          <w:color w:val="000000" w:themeColor="text1"/>
          <w:spacing w:val="-6"/>
          <w:sz w:val="32"/>
          <w:szCs w:val="32"/>
          <w14:textFill>
            <w14:solidFill>
              <w14:schemeClr w14:val="tx1"/>
            </w14:solidFill>
          </w14:textFill>
        </w:rPr>
        <w:t xml:space="preserve">  </w:t>
      </w:r>
      <w:r>
        <w:rPr>
          <w:rFonts w:ascii="仿宋" w:hAnsi="仿宋" w:eastAsia="仿宋" w:cs="仿宋"/>
          <w:color w:val="000000" w:themeColor="text1"/>
          <w:spacing w:val="-6"/>
          <w:sz w:val="32"/>
          <w:szCs w:val="32"/>
          <w14:textFill>
            <w14:solidFill>
              <w14:schemeClr w14:val="tx1"/>
            </w14:solidFill>
          </w14:textFill>
        </w:rPr>
        <w:t>专家培训、专家库管理费用列入市物业行政主管</w:t>
      </w:r>
      <w:r>
        <w:rPr>
          <w:rFonts w:ascii="仿宋" w:hAnsi="仿宋" w:eastAsia="仿宋" w:cs="仿宋"/>
          <w:color w:val="000000" w:themeColor="text1"/>
          <w:spacing w:val="-11"/>
          <w:sz w:val="32"/>
          <w:szCs w:val="32"/>
          <w14:textFill>
            <w14:solidFill>
              <w14:schemeClr w14:val="tx1"/>
            </w14:solidFill>
          </w14:textFill>
        </w:rPr>
        <w:t>部门预算。</w:t>
      </w:r>
    </w:p>
    <w:p>
      <w:pPr>
        <w:pStyle w:val="4"/>
        <w:keepNext w:val="0"/>
        <w:keepLines w:val="0"/>
        <w:pageBreakBefore w:val="0"/>
        <w:widowControl w:val="0"/>
        <w:kinsoku w:val="0"/>
        <w:wordWrap/>
        <w:overflowPunct/>
        <w:topLinePunct w:val="0"/>
        <w:autoSpaceDE w:val="0"/>
        <w:autoSpaceDN w:val="0"/>
        <w:bidi w:val="0"/>
        <w:adjustRightInd w:val="0"/>
        <w:snapToGrid w:val="0"/>
        <w:spacing w:line="579" w:lineRule="exact"/>
        <w:jc w:val="both"/>
        <w:textAlignment w:val="baseline"/>
        <w:rPr>
          <w:color w:val="000000" w:themeColor="text1"/>
          <w14:textFill>
            <w14:solidFill>
              <w14:schemeClr w14:val="tx1"/>
            </w14:solidFill>
          </w14:textFill>
        </w:rPr>
      </w:pPr>
    </w:p>
    <w:p>
      <w:pPr>
        <w:keepNext w:val="0"/>
        <w:keepLines w:val="0"/>
        <w:pageBreakBefore w:val="0"/>
        <w:widowControl w:val="0"/>
        <w:kinsoku w:val="0"/>
        <w:wordWrap/>
        <w:overflowPunct/>
        <w:topLinePunct w:val="0"/>
        <w:autoSpaceDE w:val="0"/>
        <w:autoSpaceDN w:val="0"/>
        <w:bidi w:val="0"/>
        <w:adjustRightInd w:val="0"/>
        <w:snapToGrid w:val="0"/>
        <w:spacing w:line="579" w:lineRule="exact"/>
        <w:ind w:left="0"/>
        <w:jc w:val="center"/>
        <w:textAlignment w:val="baseline"/>
        <w:rPr>
          <w:rFonts w:ascii="黑体" w:hAnsi="黑体" w:eastAsia="黑体" w:cs="黑体"/>
          <w:color w:val="000000" w:themeColor="text1"/>
          <w:spacing w:val="2"/>
          <w:sz w:val="32"/>
          <w:szCs w:val="32"/>
          <w14:textFill>
            <w14:solidFill>
              <w14:schemeClr w14:val="tx1"/>
            </w14:solidFill>
          </w14:textFill>
        </w:rPr>
      </w:pPr>
      <w:r>
        <w:rPr>
          <w:rFonts w:ascii="黑体" w:hAnsi="黑体" w:eastAsia="黑体" w:cs="黑体"/>
          <w:color w:val="000000" w:themeColor="text1"/>
          <w:spacing w:val="2"/>
          <w:sz w:val="32"/>
          <w:szCs w:val="32"/>
          <w14:textFill>
            <w14:solidFill>
              <w14:schemeClr w14:val="tx1"/>
            </w14:solidFill>
          </w14:textFill>
        </w:rPr>
        <w:t>第四章  监督管理</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6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pacing w:val="6"/>
          <w:sz w:val="32"/>
          <w:szCs w:val="32"/>
          <w14:textFill>
            <w14:solidFill>
              <w14:schemeClr w14:val="tx1"/>
            </w14:solidFill>
          </w14:textFill>
        </w:rPr>
        <w:t>第三十五条</w:t>
      </w:r>
      <w:r>
        <w:rPr>
          <w:rFonts w:hint="eastAsia" w:ascii="仿宋" w:hAnsi="仿宋" w:eastAsia="仿宋" w:cs="仿宋"/>
          <w:color w:val="000000" w:themeColor="text1"/>
          <w:spacing w:val="6"/>
          <w:sz w:val="32"/>
          <w:szCs w:val="32"/>
          <w14:textFill>
            <w14:solidFill>
              <w14:schemeClr w14:val="tx1"/>
            </w14:solidFill>
          </w14:textFill>
        </w:rPr>
        <w:t xml:space="preserve">  </w:t>
      </w:r>
      <w:r>
        <w:rPr>
          <w:rFonts w:ascii="仿宋" w:hAnsi="仿宋" w:eastAsia="仿宋" w:cs="仿宋"/>
          <w:color w:val="000000" w:themeColor="text1"/>
          <w:spacing w:val="6"/>
          <w:sz w:val="32"/>
          <w:szCs w:val="32"/>
          <w14:textFill>
            <w14:solidFill>
              <w14:schemeClr w14:val="tx1"/>
            </w14:solidFill>
          </w14:textFill>
        </w:rPr>
        <w:t>专家评审活动应坚持“依据充分、客观公正、</w:t>
      </w:r>
      <w:r>
        <w:rPr>
          <w:rFonts w:ascii="仿宋" w:hAnsi="仿宋" w:eastAsia="仿宋" w:cs="仿宋"/>
          <w:color w:val="000000" w:themeColor="text1"/>
          <w:spacing w:val="3"/>
          <w:sz w:val="32"/>
          <w:szCs w:val="32"/>
          <w14:textFill>
            <w14:solidFill>
              <w14:schemeClr w14:val="tx1"/>
            </w14:solidFill>
          </w14:textFill>
        </w:rPr>
        <w:t>廉洁高效”原则，申请人或者利害关系人可根据专家违法违规的</w:t>
      </w:r>
      <w:r>
        <w:rPr>
          <w:rFonts w:ascii="仿宋" w:hAnsi="仿宋" w:eastAsia="仿宋" w:cs="仿宋"/>
          <w:color w:val="000000" w:themeColor="text1"/>
          <w:spacing w:val="4"/>
          <w:sz w:val="32"/>
          <w:szCs w:val="32"/>
          <w14:textFill>
            <w14:solidFill>
              <w14:schemeClr w14:val="tx1"/>
            </w14:solidFill>
          </w14:textFill>
        </w:rPr>
        <w:t>事实，向市物业行政主管部门举报或者投诉。</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6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pacing w:val="6"/>
          <w:sz w:val="32"/>
          <w:szCs w:val="32"/>
          <w14:textFill>
            <w14:solidFill>
              <w14:schemeClr w14:val="tx1"/>
            </w14:solidFill>
          </w14:textFill>
        </w:rPr>
        <w:t>第三十六条</w:t>
      </w:r>
      <w:r>
        <w:rPr>
          <w:rFonts w:hint="eastAsia" w:ascii="仿宋" w:hAnsi="仿宋" w:eastAsia="仿宋" w:cs="仿宋"/>
          <w:color w:val="000000" w:themeColor="text1"/>
          <w:spacing w:val="4"/>
          <w:sz w:val="32"/>
          <w:szCs w:val="32"/>
          <w14:textFill>
            <w14:solidFill>
              <w14:schemeClr w14:val="tx1"/>
            </w14:solidFill>
          </w14:textFill>
        </w:rPr>
        <w:t xml:space="preserve">  </w:t>
      </w:r>
      <w:r>
        <w:rPr>
          <w:rFonts w:ascii="仿宋" w:hAnsi="仿宋" w:eastAsia="仿宋" w:cs="仿宋"/>
          <w:color w:val="000000" w:themeColor="text1"/>
          <w:spacing w:val="4"/>
          <w:sz w:val="32"/>
          <w:szCs w:val="32"/>
          <w14:textFill>
            <w14:solidFill>
              <w14:schemeClr w14:val="tx1"/>
            </w14:solidFill>
          </w14:textFill>
        </w:rPr>
        <w:t>组织单位工作人员在活动中涉及徇私舞弊、滥</w:t>
      </w:r>
      <w:r>
        <w:rPr>
          <w:rFonts w:ascii="仿宋" w:hAnsi="仿宋" w:eastAsia="仿宋" w:cs="仿宋"/>
          <w:color w:val="000000" w:themeColor="text1"/>
          <w:spacing w:val="8"/>
          <w:sz w:val="32"/>
          <w:szCs w:val="32"/>
          <w14:textFill>
            <w14:solidFill>
              <w14:schemeClr w14:val="tx1"/>
            </w14:solidFill>
          </w14:textFill>
        </w:rPr>
        <w:t>用职权、玩忽职守造成不良后果的，按照有关规定处理。</w:t>
      </w:r>
    </w:p>
    <w:p>
      <w:pPr>
        <w:keepNext w:val="0"/>
        <w:keepLines w:val="0"/>
        <w:pageBreakBefore w:val="0"/>
        <w:widowControl w:val="0"/>
        <w:kinsoku/>
        <w:wordWrap/>
        <w:overflowPunct/>
        <w:topLinePunct w:val="0"/>
        <w:autoSpaceDE/>
        <w:autoSpaceDN/>
        <w:bidi w:val="0"/>
        <w:adjustRightInd w:val="0"/>
        <w:snapToGrid w:val="0"/>
        <w:spacing w:line="579" w:lineRule="exact"/>
        <w:ind w:left="0" w:right="0" w:firstLine="666"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pacing w:val="6"/>
          <w:sz w:val="32"/>
          <w:szCs w:val="32"/>
          <w14:textFill>
            <w14:solidFill>
              <w14:schemeClr w14:val="tx1"/>
            </w14:solidFill>
          </w14:textFill>
        </w:rPr>
        <w:t>第三十七条</w:t>
      </w:r>
      <w:r>
        <w:rPr>
          <w:rFonts w:hint="eastAsia" w:ascii="仿宋" w:hAnsi="仿宋" w:eastAsia="仿宋" w:cs="仿宋"/>
          <w:color w:val="000000" w:themeColor="text1"/>
          <w:spacing w:val="4"/>
          <w:sz w:val="32"/>
          <w:szCs w:val="32"/>
          <w14:textFill>
            <w14:solidFill>
              <w14:schemeClr w14:val="tx1"/>
            </w14:solidFill>
          </w14:textFill>
        </w:rPr>
        <w:t xml:space="preserve">  </w:t>
      </w:r>
      <w:r>
        <w:rPr>
          <w:rFonts w:ascii="仿宋" w:hAnsi="仿宋" w:eastAsia="仿宋" w:cs="仿宋"/>
          <w:color w:val="000000" w:themeColor="text1"/>
          <w:spacing w:val="4"/>
          <w:sz w:val="32"/>
          <w:szCs w:val="32"/>
          <w14:textFill>
            <w14:solidFill>
              <w14:schemeClr w14:val="tx1"/>
            </w14:solidFill>
          </w14:textFill>
        </w:rPr>
        <w:t>各级行政机关工作人员违反本办法规定的，按</w:t>
      </w:r>
      <w:r>
        <w:rPr>
          <w:rFonts w:ascii="仿宋" w:hAnsi="仿宋" w:eastAsia="仿宋" w:cs="仿宋"/>
          <w:color w:val="000000" w:themeColor="text1"/>
          <w:spacing w:val="7"/>
          <w:sz w:val="32"/>
          <w:szCs w:val="32"/>
          <w14:textFill>
            <w14:solidFill>
              <w14:schemeClr w14:val="tx1"/>
            </w14:solidFill>
          </w14:textFill>
        </w:rPr>
        <w:t>照公务员行为规范有关规定处理。</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66" w:firstLineChars="200"/>
        <w:jc w:val="both"/>
        <w:textAlignment w:val="auto"/>
        <w:outlineLvl w:val="0"/>
        <w:rPr>
          <w:rFonts w:ascii="仿宋" w:hAnsi="仿宋" w:eastAsia="仿宋" w:cs="仿宋"/>
          <w:b/>
          <w:bCs/>
          <w:color w:val="000000" w:themeColor="text1"/>
          <w:spacing w:val="-7"/>
          <w:sz w:val="32"/>
          <w:szCs w:val="32"/>
          <w14:textFill>
            <w14:solidFill>
              <w14:schemeClr w14:val="tx1"/>
            </w14:solidFill>
          </w14:textFill>
        </w:rPr>
      </w:pPr>
      <w:r>
        <w:rPr>
          <w:rFonts w:hint="eastAsia" w:ascii="仿宋" w:hAnsi="仿宋" w:eastAsia="仿宋" w:cs="仿宋"/>
          <w:b/>
          <w:bCs/>
          <w:color w:val="000000" w:themeColor="text1"/>
          <w:spacing w:val="6"/>
          <w:sz w:val="32"/>
          <w:szCs w:val="32"/>
          <w14:textFill>
            <w14:solidFill>
              <w14:schemeClr w14:val="tx1"/>
            </w14:solidFill>
          </w14:textFill>
        </w:rPr>
        <w:t>第三十八条</w:t>
      </w:r>
      <w:r>
        <w:rPr>
          <w:rFonts w:hint="eastAsia" w:ascii="仿宋" w:hAnsi="仿宋" w:eastAsia="仿宋" w:cs="仿宋"/>
          <w:color w:val="000000" w:themeColor="text1"/>
          <w:spacing w:val="16"/>
          <w:sz w:val="32"/>
          <w:szCs w:val="32"/>
          <w14:textFill>
            <w14:solidFill>
              <w14:schemeClr w14:val="tx1"/>
            </w14:solidFill>
          </w14:textFill>
        </w:rPr>
        <w:t xml:space="preserve">  </w:t>
      </w:r>
      <w:r>
        <w:rPr>
          <w:rFonts w:ascii="仿宋" w:hAnsi="仿宋" w:eastAsia="仿宋" w:cs="仿宋"/>
          <w:color w:val="000000" w:themeColor="text1"/>
          <w:spacing w:val="16"/>
          <w:sz w:val="32"/>
          <w:szCs w:val="32"/>
          <w14:textFill>
            <w14:solidFill>
              <w14:schemeClr w14:val="tx1"/>
            </w14:solidFill>
          </w14:textFill>
        </w:rPr>
        <w:t>专家个人的违法违规等行为对有关单位造成</w:t>
      </w:r>
      <w:r>
        <w:rPr>
          <w:rFonts w:ascii="仿宋" w:hAnsi="仿宋" w:eastAsia="仿宋" w:cs="仿宋"/>
          <w:color w:val="000000" w:themeColor="text1"/>
          <w:spacing w:val="8"/>
          <w:sz w:val="32"/>
          <w:szCs w:val="32"/>
          <w14:textFill>
            <w14:solidFill>
              <w14:schemeClr w14:val="tx1"/>
            </w14:solidFill>
          </w14:textFill>
        </w:rPr>
        <w:t>损失的，应当由专家个人承担相应责任。</w:t>
      </w:r>
    </w:p>
    <w:p>
      <w:pPr>
        <w:keepNext w:val="0"/>
        <w:keepLines w:val="0"/>
        <w:pageBreakBefore w:val="0"/>
        <w:widowControl w:val="0"/>
        <w:kinsoku w:val="0"/>
        <w:wordWrap/>
        <w:overflowPunct/>
        <w:topLinePunct w:val="0"/>
        <w:autoSpaceDE w:val="0"/>
        <w:autoSpaceDN w:val="0"/>
        <w:bidi w:val="0"/>
        <w:adjustRightInd w:val="0"/>
        <w:snapToGrid w:val="0"/>
        <w:spacing w:line="579" w:lineRule="exact"/>
        <w:ind w:left="3559"/>
        <w:jc w:val="both"/>
        <w:textAlignment w:val="baseline"/>
        <w:outlineLvl w:val="0"/>
        <w:rPr>
          <w:rFonts w:ascii="仿宋" w:hAnsi="仿宋" w:eastAsia="仿宋" w:cs="仿宋"/>
          <w:b/>
          <w:bCs/>
          <w:color w:val="000000" w:themeColor="text1"/>
          <w:spacing w:val="-7"/>
          <w:sz w:val="31"/>
          <w:szCs w:val="31"/>
          <w14:textFill>
            <w14:solidFill>
              <w14:schemeClr w14:val="tx1"/>
            </w14:solidFill>
          </w14:textFill>
        </w:rPr>
      </w:pPr>
    </w:p>
    <w:p>
      <w:pPr>
        <w:keepNext w:val="0"/>
        <w:keepLines w:val="0"/>
        <w:pageBreakBefore w:val="0"/>
        <w:widowControl w:val="0"/>
        <w:kinsoku w:val="0"/>
        <w:wordWrap/>
        <w:overflowPunct/>
        <w:topLinePunct w:val="0"/>
        <w:autoSpaceDE w:val="0"/>
        <w:autoSpaceDN w:val="0"/>
        <w:bidi w:val="0"/>
        <w:adjustRightInd w:val="0"/>
        <w:snapToGrid w:val="0"/>
        <w:spacing w:line="579" w:lineRule="exact"/>
        <w:ind w:left="0"/>
        <w:jc w:val="center"/>
        <w:textAlignment w:val="baseline"/>
        <w:outlineLvl w:val="9"/>
        <w:rPr>
          <w:rFonts w:ascii="黑体" w:hAnsi="黑体" w:eastAsia="黑体" w:cs="黑体"/>
          <w:color w:val="000000" w:themeColor="text1"/>
          <w:spacing w:val="2"/>
          <w:sz w:val="32"/>
          <w:szCs w:val="32"/>
          <w14:textFill>
            <w14:solidFill>
              <w14:schemeClr w14:val="tx1"/>
            </w14:solidFill>
          </w14:textFill>
        </w:rPr>
      </w:pPr>
      <w:r>
        <w:rPr>
          <w:rFonts w:ascii="黑体" w:hAnsi="黑体" w:eastAsia="黑体" w:cs="黑体"/>
          <w:b w:val="0"/>
          <w:bCs w:val="0"/>
          <w:color w:val="000000" w:themeColor="text1"/>
          <w:spacing w:val="2"/>
          <w:sz w:val="32"/>
          <w:szCs w:val="32"/>
          <w14:textFill>
            <w14:solidFill>
              <w14:schemeClr w14:val="tx1"/>
            </w14:solidFill>
          </w14:textFill>
        </w:rPr>
        <w:t>第五章</w:t>
      </w:r>
      <w:r>
        <w:rPr>
          <w:rFonts w:ascii="黑体" w:hAnsi="黑体" w:eastAsia="黑体" w:cs="黑体"/>
          <w:color w:val="000000" w:themeColor="text1"/>
          <w:spacing w:val="2"/>
          <w:sz w:val="32"/>
          <w:szCs w:val="32"/>
          <w14:textFill>
            <w14:solidFill>
              <w14:schemeClr w14:val="tx1"/>
            </w14:solidFill>
          </w14:textFill>
        </w:rPr>
        <w:t xml:space="preserve"> </w:t>
      </w:r>
      <w:r>
        <w:rPr>
          <w:rFonts w:ascii="黑体" w:hAnsi="黑体" w:eastAsia="黑体" w:cs="黑体"/>
          <w:b w:val="0"/>
          <w:bCs w:val="0"/>
          <w:color w:val="000000" w:themeColor="text1"/>
          <w:spacing w:val="2"/>
          <w:sz w:val="32"/>
          <w:szCs w:val="32"/>
          <w14:textFill>
            <w14:solidFill>
              <w14:schemeClr w14:val="tx1"/>
            </w14:solidFill>
          </w14:textFill>
        </w:rPr>
        <w:t>附则</w:t>
      </w:r>
    </w:p>
    <w:p>
      <w:pPr>
        <w:keepNext w:val="0"/>
        <w:keepLines w:val="0"/>
        <w:pageBreakBefore w:val="0"/>
        <w:widowControl w:val="0"/>
        <w:kinsoku/>
        <w:wordWrap/>
        <w:overflowPunct/>
        <w:topLinePunct w:val="0"/>
        <w:autoSpaceDE/>
        <w:autoSpaceDN/>
        <w:bidi w:val="0"/>
        <w:adjustRightInd w:val="0"/>
        <w:snapToGrid w:val="0"/>
        <w:spacing w:line="579" w:lineRule="exact"/>
        <w:ind w:firstLine="670"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pacing w:val="7"/>
          <w:sz w:val="32"/>
          <w:szCs w:val="32"/>
          <w14:textFill>
            <w14:solidFill>
              <w14:schemeClr w14:val="tx1"/>
            </w14:solidFill>
          </w14:textFill>
        </w:rPr>
        <w:t>第三十九条</w:t>
      </w:r>
      <w:r>
        <w:rPr>
          <w:rFonts w:hint="eastAsia" w:ascii="仿宋" w:hAnsi="仿宋" w:eastAsia="仿宋" w:cs="仿宋"/>
          <w:color w:val="000000" w:themeColor="text1"/>
          <w:spacing w:val="7"/>
          <w:sz w:val="32"/>
          <w:szCs w:val="32"/>
          <w14:textFill>
            <w14:solidFill>
              <w14:schemeClr w14:val="tx1"/>
            </w14:solidFill>
          </w14:textFill>
        </w:rPr>
        <w:t xml:space="preserve">  </w:t>
      </w:r>
      <w:r>
        <w:rPr>
          <w:rFonts w:ascii="仿宋" w:hAnsi="仿宋" w:eastAsia="仿宋" w:cs="仿宋"/>
          <w:color w:val="000000" w:themeColor="text1"/>
          <w:spacing w:val="7"/>
          <w:sz w:val="32"/>
          <w:szCs w:val="32"/>
          <w14:textFill>
            <w14:solidFill>
              <w14:schemeClr w14:val="tx1"/>
            </w14:solidFill>
          </w14:textFill>
        </w:rPr>
        <w:t>本办法由珠海市住房和城乡建设局负责解释。</w:t>
      </w:r>
    </w:p>
    <w:p>
      <w:pPr>
        <w:keepNext w:val="0"/>
        <w:keepLines w:val="0"/>
        <w:pageBreakBefore w:val="0"/>
        <w:widowControl w:val="0"/>
        <w:kinsoku/>
        <w:wordWrap/>
        <w:overflowPunct/>
        <w:topLinePunct w:val="0"/>
        <w:autoSpaceDE/>
        <w:autoSpaceDN/>
        <w:bidi w:val="0"/>
        <w:adjustRightInd w:val="0"/>
        <w:snapToGrid w:val="0"/>
        <w:spacing w:line="579" w:lineRule="exact"/>
        <w:ind w:right="0" w:firstLine="670"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pacing w:val="7"/>
          <w:sz w:val="32"/>
          <w:szCs w:val="32"/>
          <w14:textFill>
            <w14:solidFill>
              <w14:schemeClr w14:val="tx1"/>
            </w14:solidFill>
          </w14:textFill>
        </w:rPr>
        <w:t>第四十条</w:t>
      </w:r>
      <w:r>
        <w:rPr>
          <w:rFonts w:hint="eastAsia" w:ascii="仿宋" w:hAnsi="仿宋" w:eastAsia="仿宋" w:cs="仿宋"/>
          <w:color w:val="000000" w:themeColor="text1"/>
          <w:sz w:val="32"/>
          <w:szCs w:val="32"/>
          <w14:textFill>
            <w14:solidFill>
              <w14:schemeClr w14:val="tx1"/>
            </w14:solidFill>
          </w14:textFill>
        </w:rPr>
        <w:t xml:space="preserve">  </w:t>
      </w:r>
      <w:r>
        <w:rPr>
          <w:rFonts w:ascii="仿宋" w:hAnsi="仿宋" w:eastAsia="仿宋" w:cs="仿宋"/>
          <w:color w:val="000000" w:themeColor="text1"/>
          <w:sz w:val="32"/>
          <w:szCs w:val="32"/>
          <w14:textFill>
            <w14:solidFill>
              <w14:schemeClr w14:val="tx1"/>
            </w14:solidFill>
          </w14:textFill>
        </w:rPr>
        <w:t>本办法自202</w:t>
      </w:r>
      <w:r>
        <w:rPr>
          <w:rFonts w:hint="default" w:ascii="仿宋" w:hAnsi="仿宋" w:eastAsia="仿宋" w:cs="仿宋"/>
          <w:color w:val="000000" w:themeColor="text1"/>
          <w:sz w:val="32"/>
          <w:szCs w:val="32"/>
          <w:lang w:val="en-US" w:eastAsia="zh-CN"/>
          <w14:textFill>
            <w14:solidFill>
              <w14:schemeClr w14:val="tx1"/>
            </w14:solidFill>
          </w14:textFill>
        </w:rPr>
        <w:t>6</w:t>
      </w:r>
      <w:r>
        <w:rPr>
          <w:rFonts w:ascii="仿宋" w:hAnsi="仿宋" w:eastAsia="仿宋" w:cs="仿宋"/>
          <w:color w:val="000000" w:themeColor="text1"/>
          <w:sz w:val="32"/>
          <w:szCs w:val="32"/>
          <w14:textFill>
            <w14:solidFill>
              <w14:schemeClr w14:val="tx1"/>
            </w14:solidFill>
          </w14:textFill>
        </w:rPr>
        <w:t>年5月1日起施行，有效期至</w:t>
      </w:r>
      <w:r>
        <w:rPr>
          <w:rFonts w:ascii="仿宋" w:hAnsi="仿宋" w:eastAsia="仿宋" w:cs="仿宋"/>
          <w:color w:val="000000" w:themeColor="text1"/>
          <w:spacing w:val="0"/>
          <w:sz w:val="32"/>
          <w:szCs w:val="32"/>
          <w14:textFill>
            <w14:solidFill>
              <w14:schemeClr w14:val="tx1"/>
            </w14:solidFill>
          </w14:textFill>
        </w:rPr>
        <w:t>20</w:t>
      </w:r>
      <w:r>
        <w:rPr>
          <w:rFonts w:hint="default" w:ascii="仿宋" w:hAnsi="仿宋" w:eastAsia="仿宋" w:cs="仿宋"/>
          <w:color w:val="000000" w:themeColor="text1"/>
          <w:spacing w:val="0"/>
          <w:sz w:val="32"/>
          <w:szCs w:val="32"/>
          <w:lang w:val="en-US" w:eastAsia="zh-CN"/>
          <w14:textFill>
            <w14:solidFill>
              <w14:schemeClr w14:val="tx1"/>
            </w14:solidFill>
          </w14:textFill>
        </w:rPr>
        <w:t>31</w:t>
      </w:r>
      <w:r>
        <w:rPr>
          <w:rFonts w:ascii="仿宋" w:hAnsi="仿宋" w:eastAsia="仿宋" w:cs="仿宋"/>
          <w:color w:val="000000" w:themeColor="text1"/>
          <w:spacing w:val="0"/>
          <w:sz w:val="32"/>
          <w:szCs w:val="32"/>
          <w14:textFill>
            <w14:solidFill>
              <w14:schemeClr w14:val="tx1"/>
            </w14:solidFill>
          </w14:textFill>
        </w:rPr>
        <w:t>年4月30日。</w:t>
      </w:r>
    </w:p>
    <w:p>
      <w:pPr>
        <w:pStyle w:val="4"/>
        <w:keepNext w:val="0"/>
        <w:keepLines w:val="0"/>
        <w:pageBreakBefore w:val="0"/>
        <w:widowControl w:val="0"/>
        <w:kinsoku w:val="0"/>
        <w:wordWrap/>
        <w:overflowPunct/>
        <w:topLinePunct w:val="0"/>
        <w:autoSpaceDE w:val="0"/>
        <w:autoSpaceDN w:val="0"/>
        <w:bidi w:val="0"/>
        <w:adjustRightInd w:val="0"/>
        <w:snapToGrid w:val="0"/>
        <w:spacing w:line="579" w:lineRule="exact"/>
        <w:jc w:val="left"/>
        <w:textAlignment w:val="baseline"/>
        <w:rPr>
          <w:color w:val="000000" w:themeColor="text1"/>
          <w14:textFill>
            <w14:solidFill>
              <w14:schemeClr w14:val="tx1"/>
            </w14:solidFill>
          </w14:textFill>
        </w:rPr>
      </w:pPr>
    </w:p>
    <w:p>
      <w:pPr>
        <w:keepNext w:val="0"/>
        <w:keepLines w:val="0"/>
        <w:pageBreakBefore w:val="0"/>
        <w:widowControl w:val="0"/>
        <w:kinsoku w:val="0"/>
        <w:wordWrap/>
        <w:overflowPunct/>
        <w:topLinePunct w:val="0"/>
        <w:autoSpaceDE w:val="0"/>
        <w:autoSpaceDN w:val="0"/>
        <w:bidi w:val="0"/>
        <w:adjustRightInd w:val="0"/>
        <w:snapToGrid w:val="0"/>
        <w:spacing w:line="579" w:lineRule="exact"/>
        <w:ind w:left="660"/>
        <w:jc w:val="left"/>
        <w:textAlignment w:val="baseline"/>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7"/>
          <w:sz w:val="31"/>
          <w:szCs w:val="31"/>
          <w14:textFill>
            <w14:solidFill>
              <w14:schemeClr w14:val="tx1"/>
            </w14:solidFill>
          </w14:textFill>
        </w:rPr>
        <w:t>附件：1.珠海市物业管理行业专家申请表</w:t>
      </w:r>
    </w:p>
    <w:p>
      <w:pPr>
        <w:keepNext w:val="0"/>
        <w:keepLines w:val="0"/>
        <w:pageBreakBefore w:val="0"/>
        <w:widowControl w:val="0"/>
        <w:kinsoku w:val="0"/>
        <w:wordWrap/>
        <w:overflowPunct/>
        <w:topLinePunct w:val="0"/>
        <w:autoSpaceDE w:val="0"/>
        <w:autoSpaceDN w:val="0"/>
        <w:bidi w:val="0"/>
        <w:adjustRightInd w:val="0"/>
        <w:snapToGrid w:val="0"/>
        <w:spacing w:line="579" w:lineRule="exact"/>
        <w:ind w:left="1610"/>
        <w:jc w:val="left"/>
        <w:textAlignment w:val="baseline"/>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8"/>
          <w:sz w:val="31"/>
          <w:szCs w:val="31"/>
          <w14:textFill>
            <w14:solidFill>
              <w14:schemeClr w14:val="tx1"/>
            </w14:solidFill>
          </w14:textFill>
        </w:rPr>
        <w:t>2.珠海市物业管理行业专家请假申请表</w:t>
      </w:r>
    </w:p>
    <w:p>
      <w:pPr>
        <w:widowControl w:val="0"/>
        <w:spacing w:before="0" w:line="579" w:lineRule="exact"/>
        <w:ind w:left="1619"/>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4"/>
          <w:sz w:val="31"/>
          <w:szCs w:val="31"/>
          <w14:textFill>
            <w14:solidFill>
              <w14:schemeClr w14:val="tx1"/>
            </w14:solidFill>
          </w14:textFill>
        </w:rPr>
        <w:t>3.承诺书</w:t>
      </w:r>
    </w:p>
    <w:p>
      <w:pPr>
        <w:widowControl w:val="0"/>
        <w:spacing w:before="0" w:line="579" w:lineRule="exact"/>
        <w:ind w:left="1611"/>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8"/>
          <w:sz w:val="31"/>
          <w:szCs w:val="31"/>
          <w14:textFill>
            <w14:solidFill>
              <w14:schemeClr w14:val="tx1"/>
            </w14:solidFill>
          </w14:textFill>
        </w:rPr>
        <w:t>4.珠海市物业管理行业专家申请回避报告书</w:t>
      </w:r>
    </w:p>
    <w:p>
      <w:pPr>
        <w:widowControl w:val="0"/>
        <w:spacing w:before="0" w:line="579" w:lineRule="exact"/>
        <w:ind w:left="1619"/>
        <w:outlineLvl w:val="2"/>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7"/>
          <w:sz w:val="31"/>
          <w:szCs w:val="31"/>
          <w14:textFill>
            <w14:solidFill>
              <w14:schemeClr w14:val="tx1"/>
            </w14:solidFill>
          </w14:textFill>
        </w:rPr>
        <w:t>5.邀请专家提供服务申请书</w:t>
      </w:r>
    </w:p>
    <w:p>
      <w:pPr>
        <w:widowControl w:val="0"/>
        <w:spacing w:line="579" w:lineRule="exact"/>
        <w:jc w:val="left"/>
        <w:rPr>
          <w:rFonts w:ascii="仿宋" w:hAnsi="仿宋" w:eastAsia="仿宋" w:cs="仿宋"/>
          <w:color w:val="000000" w:themeColor="text1"/>
          <w:sz w:val="31"/>
          <w:szCs w:val="31"/>
          <w14:textFill>
            <w14:solidFill>
              <w14:schemeClr w14:val="tx1"/>
            </w14:solidFill>
          </w14:textFill>
        </w:rPr>
        <w:sectPr>
          <w:footerReference r:id="rId5" w:type="default"/>
          <w:pgSz w:w="11906" w:h="16839"/>
          <w:pgMar w:top="2041" w:right="1531" w:bottom="2041" w:left="1531" w:header="0" w:footer="803" w:gutter="0"/>
          <w:pgNumType w:fmt="decimal"/>
          <w:cols w:space="720" w:num="1"/>
        </w:sectPr>
      </w:pPr>
    </w:p>
    <w:p>
      <w:pPr>
        <w:spacing w:before="101" w:line="225" w:lineRule="auto"/>
        <w:ind w:left="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pacing w:val="-9"/>
          <w:sz w:val="32"/>
          <w:szCs w:val="32"/>
          <w14:textFill>
            <w14:solidFill>
              <w14:schemeClr w14:val="tx1"/>
            </w14:solidFill>
          </w14:textFill>
        </w:rPr>
        <w:t>附件</w:t>
      </w:r>
      <w:r>
        <w:rPr>
          <w:rFonts w:hint="eastAsia" w:ascii="黑体" w:hAnsi="黑体" w:eastAsia="黑体" w:cs="黑体"/>
          <w:color w:val="000000" w:themeColor="text1"/>
          <w:spacing w:val="-38"/>
          <w:sz w:val="32"/>
          <w:szCs w:val="32"/>
          <w14:textFill>
            <w14:solidFill>
              <w14:schemeClr w14:val="tx1"/>
            </w14:solidFill>
          </w14:textFill>
        </w:rPr>
        <w:t xml:space="preserve"> </w:t>
      </w:r>
      <w:r>
        <w:rPr>
          <w:rFonts w:hint="eastAsia" w:ascii="黑体" w:hAnsi="黑体" w:eastAsia="黑体" w:cs="黑体"/>
          <w:b w:val="0"/>
          <w:bCs w:val="0"/>
          <w:color w:val="000000" w:themeColor="text1"/>
          <w:spacing w:val="-9"/>
          <w:sz w:val="32"/>
          <w:szCs w:val="32"/>
          <w14:textFill>
            <w14:solidFill>
              <w14:schemeClr w14:val="tx1"/>
            </w14:solidFill>
          </w14:textFill>
        </w:rPr>
        <w:t>1</w:t>
      </w:r>
    </w:p>
    <w:p>
      <w:pPr>
        <w:spacing w:before="140" w:line="225" w:lineRule="auto"/>
        <w:ind w:left="2135"/>
        <w:outlineLvl w:val="0"/>
        <w:rPr>
          <w:rFonts w:ascii="宋体" w:hAnsi="宋体" w:eastAsia="宋体" w:cs="宋体"/>
          <w:color w:val="000000" w:themeColor="text1"/>
          <w:sz w:val="35"/>
          <w:szCs w:val="35"/>
          <w14:textFill>
            <w14:solidFill>
              <w14:schemeClr w14:val="tx1"/>
            </w14:solidFill>
          </w14:textFill>
        </w:rPr>
      </w:pPr>
      <w:r>
        <w:rPr>
          <w:rFonts w:ascii="宋体" w:hAnsi="宋体" w:eastAsia="宋体" w:cs="宋体"/>
          <w:b/>
          <w:bCs/>
          <w:color w:val="000000" w:themeColor="text1"/>
          <w:spacing w:val="6"/>
          <w:sz w:val="35"/>
          <w:szCs w:val="35"/>
          <w14:textFill>
            <w14:solidFill>
              <w14:schemeClr w14:val="tx1"/>
            </w14:solidFill>
          </w14:textFill>
        </w:rPr>
        <w:t>珠海市物业管理行业专家申请表</w:t>
      </w:r>
    </w:p>
    <w:p>
      <w:pPr>
        <w:spacing w:line="64" w:lineRule="exact"/>
        <w:rPr>
          <w:color w:val="000000" w:themeColor="text1"/>
          <w14:textFill>
            <w14:solidFill>
              <w14:schemeClr w14:val="tx1"/>
            </w14:solidFill>
          </w14:textFill>
        </w:rPr>
      </w:pPr>
    </w:p>
    <w:tbl>
      <w:tblPr>
        <w:tblStyle w:val="10"/>
        <w:tblW w:w="92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7"/>
        <w:gridCol w:w="1399"/>
        <w:gridCol w:w="1084"/>
        <w:gridCol w:w="1091"/>
        <w:gridCol w:w="1002"/>
        <w:gridCol w:w="162"/>
        <w:gridCol w:w="1722"/>
        <w:gridCol w:w="15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37" w:type="dxa"/>
            <w:vAlign w:val="top"/>
          </w:tcPr>
          <w:p>
            <w:pPr>
              <w:spacing w:before="195" w:line="224" w:lineRule="auto"/>
              <w:ind w:left="361"/>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2"/>
                <w:sz w:val="20"/>
                <w:szCs w:val="20"/>
                <w14:textFill>
                  <w14:solidFill>
                    <w14:schemeClr w14:val="tx1"/>
                  </w14:solidFill>
                </w14:textFill>
              </w:rPr>
              <w:t>姓</w:t>
            </w:r>
            <w:r>
              <w:rPr>
                <w:rFonts w:ascii="FangSong_GB2312" w:hAnsi="FangSong_GB2312" w:eastAsia="FangSong_GB2312" w:cs="FangSong_GB2312"/>
                <w:color w:val="000000" w:themeColor="text1"/>
                <w:spacing w:val="10"/>
                <w:sz w:val="20"/>
                <w:szCs w:val="20"/>
                <w14:textFill>
                  <w14:solidFill>
                    <w14:schemeClr w14:val="tx1"/>
                  </w14:solidFill>
                </w14:textFill>
              </w:rPr>
              <w:t xml:space="preserve"> </w:t>
            </w:r>
            <w:r>
              <w:rPr>
                <w:rFonts w:ascii="FangSong_GB2312" w:hAnsi="FangSong_GB2312" w:eastAsia="FangSong_GB2312" w:cs="FangSong_GB2312"/>
                <w:color w:val="000000" w:themeColor="text1"/>
                <w:spacing w:val="2"/>
                <w:sz w:val="20"/>
                <w:szCs w:val="20"/>
                <w14:textFill>
                  <w14:solidFill>
                    <w14:schemeClr w14:val="tx1"/>
                  </w14:solidFill>
                </w14:textFill>
              </w:rPr>
              <w:t>名</w:t>
            </w:r>
          </w:p>
        </w:tc>
        <w:tc>
          <w:tcPr>
            <w:tcW w:w="1399" w:type="dxa"/>
            <w:vAlign w:val="top"/>
          </w:tcPr>
          <w:p>
            <w:pPr>
              <w:pStyle w:val="11"/>
              <w:rPr>
                <w:color w:val="000000" w:themeColor="text1"/>
                <w14:textFill>
                  <w14:solidFill>
                    <w14:schemeClr w14:val="tx1"/>
                  </w14:solidFill>
                </w14:textFill>
              </w:rPr>
            </w:pPr>
          </w:p>
        </w:tc>
        <w:tc>
          <w:tcPr>
            <w:tcW w:w="1084" w:type="dxa"/>
            <w:vAlign w:val="top"/>
          </w:tcPr>
          <w:p>
            <w:pPr>
              <w:spacing w:before="195" w:line="222" w:lineRule="auto"/>
              <w:ind w:left="326"/>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1"/>
                <w:sz w:val="20"/>
                <w:szCs w:val="20"/>
                <w14:textFill>
                  <w14:solidFill>
                    <w14:schemeClr w14:val="tx1"/>
                  </w14:solidFill>
                </w14:textFill>
              </w:rPr>
              <w:t>性</w:t>
            </w:r>
            <w:r>
              <w:rPr>
                <w:rFonts w:ascii="FangSong_GB2312" w:hAnsi="FangSong_GB2312" w:eastAsia="FangSong_GB2312" w:cs="FangSong_GB2312"/>
                <w:color w:val="000000" w:themeColor="text1"/>
                <w:spacing w:val="12"/>
                <w:sz w:val="20"/>
                <w:szCs w:val="20"/>
                <w14:textFill>
                  <w14:solidFill>
                    <w14:schemeClr w14:val="tx1"/>
                  </w14:solidFill>
                </w14:textFill>
              </w:rPr>
              <w:t xml:space="preserve"> </w:t>
            </w:r>
            <w:r>
              <w:rPr>
                <w:rFonts w:ascii="FangSong_GB2312" w:hAnsi="FangSong_GB2312" w:eastAsia="FangSong_GB2312" w:cs="FangSong_GB2312"/>
                <w:color w:val="000000" w:themeColor="text1"/>
                <w:spacing w:val="-1"/>
                <w:sz w:val="20"/>
                <w:szCs w:val="20"/>
                <w14:textFill>
                  <w14:solidFill>
                    <w14:schemeClr w14:val="tx1"/>
                  </w14:solidFill>
                </w14:textFill>
              </w:rPr>
              <w:t>别</w:t>
            </w:r>
          </w:p>
        </w:tc>
        <w:tc>
          <w:tcPr>
            <w:tcW w:w="1091" w:type="dxa"/>
            <w:vAlign w:val="top"/>
          </w:tcPr>
          <w:p>
            <w:pPr>
              <w:pStyle w:val="11"/>
              <w:rPr>
                <w:color w:val="000000" w:themeColor="text1"/>
                <w14:textFill>
                  <w14:solidFill>
                    <w14:schemeClr w14:val="tx1"/>
                  </w14:solidFill>
                </w14:textFill>
              </w:rPr>
            </w:pPr>
          </w:p>
        </w:tc>
        <w:tc>
          <w:tcPr>
            <w:tcW w:w="1002" w:type="dxa"/>
            <w:vAlign w:val="top"/>
          </w:tcPr>
          <w:p>
            <w:pPr>
              <w:spacing w:before="195" w:line="226" w:lineRule="auto"/>
              <w:ind w:left="273"/>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13"/>
                <w:sz w:val="20"/>
                <w:szCs w:val="20"/>
                <w14:textFill>
                  <w14:solidFill>
                    <w14:schemeClr w14:val="tx1"/>
                  </w14:solidFill>
                </w14:textFill>
              </w:rPr>
              <w:t>民</w:t>
            </w:r>
            <w:r>
              <w:rPr>
                <w:rFonts w:ascii="FangSong_GB2312" w:hAnsi="FangSong_GB2312" w:eastAsia="FangSong_GB2312" w:cs="FangSong_GB2312"/>
                <w:color w:val="000000" w:themeColor="text1"/>
                <w:spacing w:val="11"/>
                <w:sz w:val="20"/>
                <w:szCs w:val="20"/>
                <w14:textFill>
                  <w14:solidFill>
                    <w14:schemeClr w14:val="tx1"/>
                  </w14:solidFill>
                </w14:textFill>
              </w:rPr>
              <w:t xml:space="preserve"> </w:t>
            </w:r>
            <w:r>
              <w:rPr>
                <w:rFonts w:ascii="FangSong_GB2312" w:hAnsi="FangSong_GB2312" w:eastAsia="FangSong_GB2312" w:cs="FangSong_GB2312"/>
                <w:color w:val="000000" w:themeColor="text1"/>
                <w:spacing w:val="-13"/>
                <w:sz w:val="20"/>
                <w:szCs w:val="20"/>
                <w14:textFill>
                  <w14:solidFill>
                    <w14:schemeClr w14:val="tx1"/>
                  </w14:solidFill>
                </w14:textFill>
              </w:rPr>
              <w:t>族</w:t>
            </w:r>
          </w:p>
        </w:tc>
        <w:tc>
          <w:tcPr>
            <w:tcW w:w="1884" w:type="dxa"/>
            <w:gridSpan w:val="2"/>
            <w:vAlign w:val="top"/>
          </w:tcPr>
          <w:p>
            <w:pPr>
              <w:pStyle w:val="11"/>
              <w:rPr>
                <w:color w:val="000000" w:themeColor="text1"/>
                <w14:textFill>
                  <w14:solidFill>
                    <w14:schemeClr w14:val="tx1"/>
                  </w14:solidFill>
                </w14:textFill>
              </w:rPr>
            </w:pPr>
          </w:p>
        </w:tc>
        <w:tc>
          <w:tcPr>
            <w:tcW w:w="1592" w:type="dxa"/>
            <w:vMerge w:val="restart"/>
            <w:tcBorders>
              <w:bottom w:val="nil"/>
            </w:tcBorders>
            <w:vAlign w:val="top"/>
          </w:tcPr>
          <w:p>
            <w:pPr>
              <w:pStyle w:val="11"/>
              <w:spacing w:line="251" w:lineRule="auto"/>
              <w:rPr>
                <w:color w:val="000000" w:themeColor="text1"/>
                <w14:textFill>
                  <w14:solidFill>
                    <w14:schemeClr w14:val="tx1"/>
                  </w14:solidFill>
                </w14:textFill>
              </w:rPr>
            </w:pPr>
          </w:p>
          <w:p>
            <w:pPr>
              <w:pStyle w:val="11"/>
              <w:spacing w:line="251" w:lineRule="auto"/>
              <w:rPr>
                <w:color w:val="000000" w:themeColor="text1"/>
                <w14:textFill>
                  <w14:solidFill>
                    <w14:schemeClr w14:val="tx1"/>
                  </w14:solidFill>
                </w14:textFill>
              </w:rPr>
            </w:pPr>
          </w:p>
          <w:p>
            <w:pPr>
              <w:pStyle w:val="11"/>
              <w:spacing w:line="251" w:lineRule="auto"/>
              <w:rPr>
                <w:color w:val="000000" w:themeColor="text1"/>
                <w14:textFill>
                  <w14:solidFill>
                    <w14:schemeClr w14:val="tx1"/>
                  </w14:solidFill>
                </w14:textFill>
              </w:rPr>
            </w:pPr>
          </w:p>
          <w:p>
            <w:pPr>
              <w:pStyle w:val="11"/>
              <w:spacing w:line="252" w:lineRule="auto"/>
              <w:rPr>
                <w:color w:val="000000" w:themeColor="text1"/>
                <w14:textFill>
                  <w14:solidFill>
                    <w14:schemeClr w14:val="tx1"/>
                  </w14:solidFill>
                </w14:textFill>
              </w:rPr>
            </w:pPr>
          </w:p>
          <w:p>
            <w:pPr>
              <w:spacing w:before="65" w:line="223" w:lineRule="auto"/>
              <w:ind w:left="444"/>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4"/>
                <w:sz w:val="20"/>
                <w:szCs w:val="20"/>
                <w14:textFill>
                  <w14:solidFill>
                    <w14:schemeClr w14:val="tx1"/>
                  </w14:solidFill>
                </w14:textFill>
              </w:rPr>
              <w:t>张贴两寸</w:t>
            </w:r>
          </w:p>
          <w:p>
            <w:pPr>
              <w:spacing w:before="204" w:line="224" w:lineRule="auto"/>
              <w:ind w:left="422"/>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4"/>
                <w:sz w:val="20"/>
                <w:szCs w:val="20"/>
                <w14:textFill>
                  <w14:solidFill>
                    <w14:schemeClr w14:val="tx1"/>
                  </w14:solidFill>
                </w14:textFill>
              </w:rPr>
              <w:t>免冠彩照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237" w:type="dxa"/>
            <w:vAlign w:val="top"/>
          </w:tcPr>
          <w:p>
            <w:pPr>
              <w:spacing w:before="189" w:line="222" w:lineRule="auto"/>
              <w:ind w:left="207"/>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6"/>
                <w:sz w:val="20"/>
                <w:szCs w:val="20"/>
                <w14:textFill>
                  <w14:solidFill>
                    <w14:schemeClr w14:val="tx1"/>
                  </w14:solidFill>
                </w14:textFill>
              </w:rPr>
              <w:t>政治面貌</w:t>
            </w:r>
          </w:p>
        </w:tc>
        <w:tc>
          <w:tcPr>
            <w:tcW w:w="1399" w:type="dxa"/>
            <w:vAlign w:val="top"/>
          </w:tcPr>
          <w:p>
            <w:pPr>
              <w:pStyle w:val="11"/>
              <w:rPr>
                <w:color w:val="000000" w:themeColor="text1"/>
                <w14:textFill>
                  <w14:solidFill>
                    <w14:schemeClr w14:val="tx1"/>
                  </w14:solidFill>
                </w14:textFill>
              </w:rPr>
            </w:pPr>
          </w:p>
        </w:tc>
        <w:tc>
          <w:tcPr>
            <w:tcW w:w="1084" w:type="dxa"/>
            <w:vAlign w:val="top"/>
          </w:tcPr>
          <w:p>
            <w:pPr>
              <w:spacing w:before="189" w:line="224" w:lineRule="auto"/>
              <w:ind w:left="334"/>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6"/>
                <w:sz w:val="20"/>
                <w:szCs w:val="20"/>
                <w14:textFill>
                  <w14:solidFill>
                    <w14:schemeClr w14:val="tx1"/>
                  </w14:solidFill>
                </w14:textFill>
              </w:rPr>
              <w:t>学</w:t>
            </w:r>
            <w:r>
              <w:rPr>
                <w:rFonts w:ascii="FangSong_GB2312" w:hAnsi="FangSong_GB2312" w:eastAsia="FangSong_GB2312" w:cs="FangSong_GB2312"/>
                <w:color w:val="000000" w:themeColor="text1"/>
                <w:spacing w:val="13"/>
                <w:sz w:val="20"/>
                <w:szCs w:val="20"/>
                <w14:textFill>
                  <w14:solidFill>
                    <w14:schemeClr w14:val="tx1"/>
                  </w14:solidFill>
                </w14:textFill>
              </w:rPr>
              <w:t xml:space="preserve"> </w:t>
            </w:r>
            <w:r>
              <w:rPr>
                <w:rFonts w:ascii="FangSong_GB2312" w:hAnsi="FangSong_GB2312" w:eastAsia="FangSong_GB2312" w:cs="FangSong_GB2312"/>
                <w:color w:val="000000" w:themeColor="text1"/>
                <w:spacing w:val="-6"/>
                <w:sz w:val="20"/>
                <w:szCs w:val="20"/>
                <w14:textFill>
                  <w14:solidFill>
                    <w14:schemeClr w14:val="tx1"/>
                  </w14:solidFill>
                </w14:textFill>
              </w:rPr>
              <w:t>历</w:t>
            </w:r>
          </w:p>
        </w:tc>
        <w:tc>
          <w:tcPr>
            <w:tcW w:w="1091" w:type="dxa"/>
            <w:vAlign w:val="top"/>
          </w:tcPr>
          <w:p>
            <w:pPr>
              <w:pStyle w:val="11"/>
              <w:rPr>
                <w:color w:val="000000" w:themeColor="text1"/>
                <w14:textFill>
                  <w14:solidFill>
                    <w14:schemeClr w14:val="tx1"/>
                  </w14:solidFill>
                </w14:textFill>
              </w:rPr>
            </w:pPr>
          </w:p>
        </w:tc>
        <w:tc>
          <w:tcPr>
            <w:tcW w:w="1002" w:type="dxa"/>
            <w:vAlign w:val="top"/>
          </w:tcPr>
          <w:p>
            <w:pPr>
              <w:spacing w:before="189" w:line="222" w:lineRule="auto"/>
              <w:ind w:left="254"/>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5"/>
                <w:sz w:val="20"/>
                <w:szCs w:val="20"/>
                <w14:textFill>
                  <w14:solidFill>
                    <w14:schemeClr w14:val="tx1"/>
                  </w14:solidFill>
                </w14:textFill>
              </w:rPr>
              <w:t>职</w:t>
            </w:r>
            <w:r>
              <w:rPr>
                <w:rFonts w:ascii="FangSong_GB2312" w:hAnsi="FangSong_GB2312" w:eastAsia="FangSong_GB2312" w:cs="FangSong_GB2312"/>
                <w:color w:val="000000" w:themeColor="text1"/>
                <w:spacing w:val="18"/>
                <w:sz w:val="20"/>
                <w:szCs w:val="20"/>
                <w14:textFill>
                  <w14:solidFill>
                    <w14:schemeClr w14:val="tx1"/>
                  </w14:solidFill>
                </w14:textFill>
              </w:rPr>
              <w:t xml:space="preserve"> </w:t>
            </w:r>
            <w:r>
              <w:rPr>
                <w:rFonts w:ascii="FangSong_GB2312" w:hAnsi="FangSong_GB2312" w:eastAsia="FangSong_GB2312" w:cs="FangSong_GB2312"/>
                <w:color w:val="000000" w:themeColor="text1"/>
                <w:spacing w:val="-5"/>
                <w:sz w:val="20"/>
                <w:szCs w:val="20"/>
                <w14:textFill>
                  <w14:solidFill>
                    <w14:schemeClr w14:val="tx1"/>
                  </w14:solidFill>
                </w14:textFill>
              </w:rPr>
              <w:t>务</w:t>
            </w:r>
          </w:p>
        </w:tc>
        <w:tc>
          <w:tcPr>
            <w:tcW w:w="1884" w:type="dxa"/>
            <w:gridSpan w:val="2"/>
            <w:vAlign w:val="top"/>
          </w:tcPr>
          <w:p>
            <w:pPr>
              <w:pStyle w:val="11"/>
              <w:rPr>
                <w:color w:val="000000" w:themeColor="text1"/>
                <w14:textFill>
                  <w14:solidFill>
                    <w14:schemeClr w14:val="tx1"/>
                  </w14:solidFill>
                </w14:textFill>
              </w:rPr>
            </w:pPr>
          </w:p>
        </w:tc>
        <w:tc>
          <w:tcPr>
            <w:tcW w:w="1592" w:type="dxa"/>
            <w:vMerge w:val="continue"/>
            <w:tcBorders>
              <w:top w:val="nil"/>
              <w:bottom w:val="nil"/>
            </w:tcBorders>
            <w:vAlign w:val="top"/>
          </w:tcPr>
          <w:p>
            <w:pPr>
              <w:pStyle w:val="11"/>
              <w:rPr>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1237" w:type="dxa"/>
            <w:vAlign w:val="top"/>
          </w:tcPr>
          <w:p>
            <w:pPr>
              <w:pStyle w:val="11"/>
              <w:spacing w:line="334" w:lineRule="auto"/>
              <w:rPr>
                <w:color w:val="000000" w:themeColor="text1"/>
                <w14:textFill>
                  <w14:solidFill>
                    <w14:schemeClr w14:val="tx1"/>
                  </w14:solidFill>
                </w14:textFill>
              </w:rPr>
            </w:pPr>
          </w:p>
          <w:p>
            <w:pPr>
              <w:spacing w:before="65" w:line="225" w:lineRule="auto"/>
              <w:ind w:left="209"/>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5"/>
                <w:sz w:val="20"/>
                <w:szCs w:val="20"/>
                <w14:textFill>
                  <w14:solidFill>
                    <w14:schemeClr w14:val="tx1"/>
                  </w14:solidFill>
                </w14:textFill>
              </w:rPr>
              <w:t>专业职称</w:t>
            </w:r>
          </w:p>
        </w:tc>
        <w:tc>
          <w:tcPr>
            <w:tcW w:w="1399" w:type="dxa"/>
            <w:vAlign w:val="top"/>
          </w:tcPr>
          <w:p>
            <w:pPr>
              <w:pStyle w:val="11"/>
              <w:rPr>
                <w:color w:val="000000" w:themeColor="text1"/>
                <w14:textFill>
                  <w14:solidFill>
                    <w14:schemeClr w14:val="tx1"/>
                  </w14:solidFill>
                </w14:textFill>
              </w:rPr>
            </w:pPr>
          </w:p>
        </w:tc>
        <w:tc>
          <w:tcPr>
            <w:tcW w:w="2175" w:type="dxa"/>
            <w:gridSpan w:val="2"/>
            <w:vMerge w:val="restart"/>
            <w:tcBorders>
              <w:bottom w:val="nil"/>
            </w:tcBorders>
            <w:vAlign w:val="top"/>
          </w:tcPr>
          <w:p>
            <w:pPr>
              <w:pStyle w:val="11"/>
              <w:spacing w:line="259" w:lineRule="auto"/>
              <w:rPr>
                <w:color w:val="000000" w:themeColor="text1"/>
                <w14:textFill>
                  <w14:solidFill>
                    <w14:schemeClr w14:val="tx1"/>
                  </w14:solidFill>
                </w14:textFill>
              </w:rPr>
            </w:pPr>
          </w:p>
          <w:p>
            <w:pPr>
              <w:pStyle w:val="11"/>
              <w:spacing w:line="260" w:lineRule="auto"/>
              <w:rPr>
                <w:color w:val="000000" w:themeColor="text1"/>
                <w14:textFill>
                  <w14:solidFill>
                    <w14:schemeClr w14:val="tx1"/>
                  </w14:solidFill>
                </w14:textFill>
              </w:rPr>
            </w:pPr>
          </w:p>
          <w:p>
            <w:pPr>
              <w:pStyle w:val="11"/>
              <w:spacing w:line="260" w:lineRule="auto"/>
              <w:rPr>
                <w:color w:val="000000" w:themeColor="text1"/>
                <w14:textFill>
                  <w14:solidFill>
                    <w14:schemeClr w14:val="tx1"/>
                  </w14:solidFill>
                </w14:textFill>
              </w:rPr>
            </w:pPr>
          </w:p>
          <w:p>
            <w:pPr>
              <w:spacing w:before="66" w:line="221" w:lineRule="auto"/>
              <w:ind w:left="492"/>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3"/>
                <w:sz w:val="20"/>
                <w:szCs w:val="20"/>
                <w14:textFill>
                  <w14:solidFill>
                    <w14:schemeClr w14:val="tx1"/>
                  </w14:solidFill>
                </w14:textFill>
              </w:rPr>
              <w:t>申请专家类别</w:t>
            </w:r>
          </w:p>
        </w:tc>
        <w:tc>
          <w:tcPr>
            <w:tcW w:w="2886" w:type="dxa"/>
            <w:gridSpan w:val="3"/>
            <w:vMerge w:val="restart"/>
            <w:tcBorders>
              <w:bottom w:val="nil"/>
            </w:tcBorders>
            <w:vAlign w:val="top"/>
          </w:tcPr>
          <w:p>
            <w:pPr>
              <w:spacing w:before="167" w:line="200" w:lineRule="auto"/>
              <w:ind w:left="333"/>
              <w:rPr>
                <w:rFonts w:ascii="FangSong_GB2312" w:hAnsi="FangSong_GB2312" w:eastAsia="FangSong_GB2312" w:cs="FangSong_GB2312"/>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0"/>
                <w:sz w:val="20"/>
                <w:szCs w:val="20"/>
                <w14:textFill>
                  <w14:solidFill>
                    <w14:schemeClr w14:val="tx1"/>
                  </w14:solidFill>
                </w14:textFill>
              </w:rPr>
              <w:t>□</w:t>
            </w:r>
            <w:r>
              <w:rPr>
                <w:rFonts w:ascii="微软雅黑" w:hAnsi="微软雅黑" w:eastAsia="微软雅黑" w:cs="微软雅黑"/>
                <w:color w:val="000000" w:themeColor="text1"/>
                <w:spacing w:val="3"/>
                <w:sz w:val="20"/>
                <w:szCs w:val="20"/>
                <w14:textFill>
                  <w14:solidFill>
                    <w14:schemeClr w14:val="tx1"/>
                  </w14:solidFill>
                </w14:textFill>
              </w:rPr>
              <w:t xml:space="preserve">  </w:t>
            </w:r>
            <w:r>
              <w:rPr>
                <w:rFonts w:ascii="FangSong_GB2312" w:hAnsi="FangSong_GB2312" w:eastAsia="FangSong_GB2312" w:cs="FangSong_GB2312"/>
                <w:color w:val="000000" w:themeColor="text1"/>
                <w:spacing w:val="10"/>
                <w:sz w:val="20"/>
                <w:szCs w:val="20"/>
                <w14:textFill>
                  <w14:solidFill>
                    <w14:schemeClr w14:val="tx1"/>
                  </w14:solidFill>
                </w14:textFill>
              </w:rPr>
              <w:t>现场检查类-文书资料</w:t>
            </w:r>
          </w:p>
          <w:p>
            <w:pPr>
              <w:spacing w:before="34" w:line="201" w:lineRule="auto"/>
              <w:ind w:left="333"/>
              <w:rPr>
                <w:rFonts w:ascii="FangSong_GB2312" w:hAnsi="FangSong_GB2312" w:eastAsia="FangSong_GB2312" w:cs="FangSong_GB2312"/>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0"/>
                <w:sz w:val="20"/>
                <w:szCs w:val="20"/>
                <w14:textFill>
                  <w14:solidFill>
                    <w14:schemeClr w14:val="tx1"/>
                  </w14:solidFill>
                </w14:textFill>
              </w:rPr>
              <w:t>□</w:t>
            </w:r>
            <w:r>
              <w:rPr>
                <w:rFonts w:ascii="微软雅黑" w:hAnsi="微软雅黑" w:eastAsia="微软雅黑" w:cs="微软雅黑"/>
                <w:color w:val="000000" w:themeColor="text1"/>
                <w:spacing w:val="3"/>
                <w:sz w:val="20"/>
                <w:szCs w:val="20"/>
                <w14:textFill>
                  <w14:solidFill>
                    <w14:schemeClr w14:val="tx1"/>
                  </w14:solidFill>
                </w14:textFill>
              </w:rPr>
              <w:t xml:space="preserve">  </w:t>
            </w:r>
            <w:r>
              <w:rPr>
                <w:rFonts w:ascii="FangSong_GB2312" w:hAnsi="FangSong_GB2312" w:eastAsia="FangSong_GB2312" w:cs="FangSong_GB2312"/>
                <w:color w:val="000000" w:themeColor="text1"/>
                <w:spacing w:val="10"/>
                <w:sz w:val="20"/>
                <w:szCs w:val="20"/>
                <w14:textFill>
                  <w14:solidFill>
                    <w14:schemeClr w14:val="tx1"/>
                  </w14:solidFill>
                </w14:textFill>
              </w:rPr>
              <w:t>现场检查类-秩序环境</w:t>
            </w:r>
          </w:p>
          <w:p>
            <w:pPr>
              <w:spacing w:before="31" w:line="201" w:lineRule="auto"/>
              <w:ind w:left="333"/>
              <w:rPr>
                <w:rFonts w:ascii="FangSong_GB2312" w:hAnsi="FangSong_GB2312" w:eastAsia="FangSong_GB2312" w:cs="FangSong_GB2312"/>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0"/>
                <w:sz w:val="20"/>
                <w:szCs w:val="20"/>
                <w14:textFill>
                  <w14:solidFill>
                    <w14:schemeClr w14:val="tx1"/>
                  </w14:solidFill>
                </w14:textFill>
              </w:rPr>
              <w:t>□</w:t>
            </w:r>
            <w:r>
              <w:rPr>
                <w:rFonts w:ascii="微软雅黑" w:hAnsi="微软雅黑" w:eastAsia="微软雅黑" w:cs="微软雅黑"/>
                <w:color w:val="000000" w:themeColor="text1"/>
                <w:spacing w:val="3"/>
                <w:sz w:val="20"/>
                <w:szCs w:val="20"/>
                <w14:textFill>
                  <w14:solidFill>
                    <w14:schemeClr w14:val="tx1"/>
                  </w14:solidFill>
                </w14:textFill>
              </w:rPr>
              <w:t xml:space="preserve">  </w:t>
            </w:r>
            <w:r>
              <w:rPr>
                <w:rFonts w:ascii="FangSong_GB2312" w:hAnsi="FangSong_GB2312" w:eastAsia="FangSong_GB2312" w:cs="FangSong_GB2312"/>
                <w:color w:val="000000" w:themeColor="text1"/>
                <w:spacing w:val="10"/>
                <w:sz w:val="20"/>
                <w:szCs w:val="20"/>
                <w14:textFill>
                  <w14:solidFill>
                    <w14:schemeClr w14:val="tx1"/>
                  </w14:solidFill>
                </w14:textFill>
              </w:rPr>
              <w:t>现场检查类-设施设备</w:t>
            </w:r>
          </w:p>
          <w:p>
            <w:pPr>
              <w:spacing w:before="33" w:line="200" w:lineRule="auto"/>
              <w:ind w:left="333"/>
              <w:rPr>
                <w:rFonts w:ascii="FangSong_GB2312" w:hAnsi="FangSong_GB2312" w:eastAsia="FangSong_GB2312" w:cs="FangSong_GB2312"/>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2"/>
                <w:sz w:val="20"/>
                <w:szCs w:val="20"/>
                <w14:textFill>
                  <w14:solidFill>
                    <w14:schemeClr w14:val="tx1"/>
                  </w14:solidFill>
                </w14:textFill>
              </w:rPr>
              <w:t>□</w:t>
            </w:r>
            <w:r>
              <w:rPr>
                <w:rFonts w:ascii="微软雅黑" w:hAnsi="微软雅黑" w:eastAsia="微软雅黑" w:cs="微软雅黑"/>
                <w:color w:val="000000" w:themeColor="text1"/>
                <w:spacing w:val="61"/>
                <w:sz w:val="20"/>
                <w:szCs w:val="20"/>
                <w14:textFill>
                  <w14:solidFill>
                    <w14:schemeClr w14:val="tx1"/>
                  </w14:solidFill>
                </w14:textFill>
              </w:rPr>
              <w:t xml:space="preserve"> </w:t>
            </w:r>
            <w:r>
              <w:rPr>
                <w:rFonts w:ascii="FangSong_GB2312" w:hAnsi="FangSong_GB2312" w:eastAsia="FangSong_GB2312" w:cs="FangSong_GB2312"/>
                <w:color w:val="000000" w:themeColor="text1"/>
                <w:spacing w:val="12"/>
                <w:sz w:val="20"/>
                <w:szCs w:val="20"/>
                <w14:textFill>
                  <w14:solidFill>
                    <w14:schemeClr w14:val="tx1"/>
                  </w14:solidFill>
                </w14:textFill>
              </w:rPr>
              <w:t>技术保障类</w:t>
            </w:r>
          </w:p>
          <w:p>
            <w:pPr>
              <w:spacing w:before="34" w:line="201" w:lineRule="auto"/>
              <w:ind w:left="333"/>
              <w:rPr>
                <w:rFonts w:ascii="FangSong_GB2312" w:hAnsi="FangSong_GB2312" w:eastAsia="FangSong_GB2312" w:cs="FangSong_GB2312"/>
                <w:color w:val="000000" w:themeColor="text1"/>
                <w:sz w:val="20"/>
                <w:szCs w:val="20"/>
                <w14:textFill>
                  <w14:solidFill>
                    <w14:schemeClr w14:val="tx1"/>
                  </w14:solidFill>
                </w14:textFill>
              </w:rPr>
            </w:pPr>
            <w:r>
              <w:rPr>
                <w:rFonts w:ascii="微软雅黑" w:hAnsi="微软雅黑" w:eastAsia="微软雅黑" w:cs="微软雅黑"/>
                <w:color w:val="000000" w:themeColor="text1"/>
                <w:spacing w:val="14"/>
                <w:sz w:val="20"/>
                <w:szCs w:val="20"/>
                <w14:textFill>
                  <w14:solidFill>
                    <w14:schemeClr w14:val="tx1"/>
                  </w14:solidFill>
                </w14:textFill>
              </w:rPr>
              <w:t>□</w:t>
            </w:r>
            <w:r>
              <w:rPr>
                <w:rFonts w:ascii="FangSong_GB2312" w:hAnsi="FangSong_GB2312" w:eastAsia="FangSong_GB2312" w:cs="FangSong_GB2312"/>
                <w:color w:val="000000" w:themeColor="text1"/>
                <w:spacing w:val="14"/>
                <w:sz w:val="20"/>
                <w:szCs w:val="20"/>
                <w14:textFill>
                  <w14:solidFill>
                    <w14:schemeClr w14:val="tx1"/>
                  </w14:solidFill>
                </w14:textFill>
              </w:rPr>
              <w:t>咨询管理类</w:t>
            </w:r>
          </w:p>
        </w:tc>
        <w:tc>
          <w:tcPr>
            <w:tcW w:w="1592" w:type="dxa"/>
            <w:vMerge w:val="continue"/>
            <w:tcBorders>
              <w:top w:val="nil"/>
              <w:bottom w:val="nil"/>
            </w:tcBorders>
            <w:vAlign w:val="top"/>
          </w:tcPr>
          <w:p>
            <w:pPr>
              <w:pStyle w:val="11"/>
              <w:rPr>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237" w:type="dxa"/>
            <w:vAlign w:val="top"/>
          </w:tcPr>
          <w:p>
            <w:pPr>
              <w:pStyle w:val="11"/>
              <w:spacing w:line="302" w:lineRule="auto"/>
              <w:rPr>
                <w:color w:val="000000" w:themeColor="text1"/>
                <w14:textFill>
                  <w14:solidFill>
                    <w14:schemeClr w14:val="tx1"/>
                  </w14:solidFill>
                </w14:textFill>
              </w:rPr>
            </w:pPr>
          </w:p>
          <w:p>
            <w:pPr>
              <w:spacing w:before="65" w:line="222" w:lineRule="auto"/>
              <w:ind w:left="208"/>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6"/>
                <w:sz w:val="20"/>
                <w:szCs w:val="20"/>
                <w14:textFill>
                  <w14:solidFill>
                    <w14:schemeClr w14:val="tx1"/>
                  </w14:solidFill>
                </w14:textFill>
              </w:rPr>
              <w:t>执业资格</w:t>
            </w:r>
          </w:p>
        </w:tc>
        <w:tc>
          <w:tcPr>
            <w:tcW w:w="1399" w:type="dxa"/>
            <w:vAlign w:val="top"/>
          </w:tcPr>
          <w:p>
            <w:pPr>
              <w:pStyle w:val="11"/>
              <w:rPr>
                <w:color w:val="000000" w:themeColor="text1"/>
                <w14:textFill>
                  <w14:solidFill>
                    <w14:schemeClr w14:val="tx1"/>
                  </w14:solidFill>
                </w14:textFill>
              </w:rPr>
            </w:pPr>
          </w:p>
        </w:tc>
        <w:tc>
          <w:tcPr>
            <w:tcW w:w="2175" w:type="dxa"/>
            <w:gridSpan w:val="2"/>
            <w:vMerge w:val="continue"/>
            <w:tcBorders>
              <w:top w:val="nil"/>
            </w:tcBorders>
            <w:vAlign w:val="top"/>
          </w:tcPr>
          <w:p>
            <w:pPr>
              <w:pStyle w:val="11"/>
              <w:rPr>
                <w:color w:val="000000" w:themeColor="text1"/>
                <w14:textFill>
                  <w14:solidFill>
                    <w14:schemeClr w14:val="tx1"/>
                  </w14:solidFill>
                </w14:textFill>
              </w:rPr>
            </w:pPr>
          </w:p>
        </w:tc>
        <w:tc>
          <w:tcPr>
            <w:tcW w:w="2886" w:type="dxa"/>
            <w:gridSpan w:val="3"/>
            <w:vMerge w:val="continue"/>
            <w:tcBorders>
              <w:top w:val="nil"/>
            </w:tcBorders>
            <w:vAlign w:val="top"/>
          </w:tcPr>
          <w:p>
            <w:pPr>
              <w:pStyle w:val="11"/>
              <w:rPr>
                <w:color w:val="000000" w:themeColor="text1"/>
                <w14:textFill>
                  <w14:solidFill>
                    <w14:schemeClr w14:val="tx1"/>
                  </w14:solidFill>
                </w14:textFill>
              </w:rPr>
            </w:pPr>
          </w:p>
        </w:tc>
        <w:tc>
          <w:tcPr>
            <w:tcW w:w="1592" w:type="dxa"/>
            <w:vMerge w:val="continue"/>
            <w:tcBorders>
              <w:top w:val="nil"/>
            </w:tcBorders>
            <w:vAlign w:val="top"/>
          </w:tcPr>
          <w:p>
            <w:pPr>
              <w:pStyle w:val="11"/>
              <w:rPr>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237" w:type="dxa"/>
            <w:vAlign w:val="top"/>
          </w:tcPr>
          <w:p>
            <w:pPr>
              <w:spacing w:before="218" w:line="224" w:lineRule="auto"/>
              <w:ind w:left="207"/>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6"/>
                <w:sz w:val="20"/>
                <w:szCs w:val="20"/>
                <w14:textFill>
                  <w14:solidFill>
                    <w14:schemeClr w14:val="tx1"/>
                  </w14:solidFill>
                </w14:textFill>
              </w:rPr>
              <w:t>身份证号</w:t>
            </w:r>
          </w:p>
        </w:tc>
        <w:tc>
          <w:tcPr>
            <w:tcW w:w="2483" w:type="dxa"/>
            <w:gridSpan w:val="2"/>
            <w:vAlign w:val="top"/>
          </w:tcPr>
          <w:p>
            <w:pPr>
              <w:pStyle w:val="11"/>
              <w:rPr>
                <w:color w:val="000000" w:themeColor="text1"/>
                <w14:textFill>
                  <w14:solidFill>
                    <w14:schemeClr w14:val="tx1"/>
                  </w14:solidFill>
                </w14:textFill>
              </w:rPr>
            </w:pPr>
          </w:p>
        </w:tc>
        <w:tc>
          <w:tcPr>
            <w:tcW w:w="2093" w:type="dxa"/>
            <w:gridSpan w:val="2"/>
            <w:vAlign w:val="top"/>
          </w:tcPr>
          <w:p>
            <w:pPr>
              <w:spacing w:before="218" w:line="222" w:lineRule="auto"/>
              <w:ind w:left="637"/>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6"/>
                <w:sz w:val="20"/>
                <w:szCs w:val="20"/>
                <w14:textFill>
                  <w14:solidFill>
                    <w14:schemeClr w14:val="tx1"/>
                  </w14:solidFill>
                </w14:textFill>
              </w:rPr>
              <w:t>工作单位</w:t>
            </w:r>
          </w:p>
        </w:tc>
        <w:tc>
          <w:tcPr>
            <w:tcW w:w="3476" w:type="dxa"/>
            <w:gridSpan w:val="3"/>
            <w:vAlign w:val="top"/>
          </w:tcPr>
          <w:p>
            <w:pPr>
              <w:pStyle w:val="11"/>
              <w:rPr>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237" w:type="dxa"/>
            <w:vAlign w:val="top"/>
          </w:tcPr>
          <w:p>
            <w:pPr>
              <w:spacing w:before="187" w:line="223" w:lineRule="auto"/>
              <w:ind w:left="212"/>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5"/>
                <w:sz w:val="20"/>
                <w:szCs w:val="20"/>
                <w14:textFill>
                  <w14:solidFill>
                    <w14:schemeClr w14:val="tx1"/>
                  </w14:solidFill>
                </w14:textFill>
              </w:rPr>
              <w:t>办公电话</w:t>
            </w:r>
          </w:p>
        </w:tc>
        <w:tc>
          <w:tcPr>
            <w:tcW w:w="1399" w:type="dxa"/>
            <w:vAlign w:val="top"/>
          </w:tcPr>
          <w:p>
            <w:pPr>
              <w:pStyle w:val="11"/>
              <w:rPr>
                <w:color w:val="000000" w:themeColor="text1"/>
                <w14:textFill>
                  <w14:solidFill>
                    <w14:schemeClr w14:val="tx1"/>
                  </w14:solidFill>
                </w14:textFill>
              </w:rPr>
            </w:pPr>
          </w:p>
        </w:tc>
        <w:tc>
          <w:tcPr>
            <w:tcW w:w="1084" w:type="dxa"/>
            <w:vAlign w:val="top"/>
          </w:tcPr>
          <w:p>
            <w:pPr>
              <w:spacing w:before="187" w:line="223" w:lineRule="auto"/>
              <w:ind w:left="345"/>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z w:val="20"/>
                <w:szCs w:val="20"/>
                <w14:textFill>
                  <w14:solidFill>
                    <w14:schemeClr w14:val="tx1"/>
                  </w14:solidFill>
                </w14:textFill>
              </w:rPr>
              <w:t>手机</w:t>
            </w:r>
          </w:p>
        </w:tc>
        <w:tc>
          <w:tcPr>
            <w:tcW w:w="2093" w:type="dxa"/>
            <w:gridSpan w:val="2"/>
            <w:vAlign w:val="top"/>
          </w:tcPr>
          <w:p>
            <w:pPr>
              <w:pStyle w:val="11"/>
              <w:rPr>
                <w:color w:val="000000" w:themeColor="text1"/>
                <w14:textFill>
                  <w14:solidFill>
                    <w14:schemeClr w14:val="tx1"/>
                  </w14:solidFill>
                </w14:textFill>
              </w:rPr>
            </w:pPr>
          </w:p>
        </w:tc>
        <w:tc>
          <w:tcPr>
            <w:tcW w:w="1884" w:type="dxa"/>
            <w:gridSpan w:val="2"/>
            <w:vAlign w:val="top"/>
          </w:tcPr>
          <w:p>
            <w:pPr>
              <w:spacing w:before="188" w:line="222" w:lineRule="auto"/>
              <w:ind w:left="554"/>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1"/>
                <w:sz w:val="20"/>
                <w:szCs w:val="20"/>
                <w14:textFill>
                  <w14:solidFill>
                    <w14:schemeClr w14:val="tx1"/>
                  </w14:solidFill>
                </w14:textFill>
              </w:rPr>
              <w:t>电子邮箱</w:t>
            </w:r>
          </w:p>
        </w:tc>
        <w:tc>
          <w:tcPr>
            <w:tcW w:w="1592" w:type="dxa"/>
            <w:vAlign w:val="top"/>
          </w:tcPr>
          <w:p>
            <w:pPr>
              <w:pStyle w:val="11"/>
              <w:rPr>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1237" w:type="dxa"/>
            <w:vAlign w:val="top"/>
          </w:tcPr>
          <w:p>
            <w:pPr>
              <w:spacing w:before="237" w:line="224" w:lineRule="auto"/>
              <w:ind w:left="209"/>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5"/>
                <w:sz w:val="20"/>
                <w:szCs w:val="20"/>
                <w14:textFill>
                  <w14:solidFill>
                    <w14:schemeClr w14:val="tx1"/>
                  </w14:solidFill>
                </w14:textFill>
              </w:rPr>
              <w:t>专业特长</w:t>
            </w:r>
          </w:p>
          <w:p>
            <w:pPr>
              <w:spacing w:before="157" w:line="223" w:lineRule="auto"/>
              <w:ind w:left="113"/>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8"/>
                <w:sz w:val="20"/>
                <w:szCs w:val="20"/>
                <w14:textFill>
                  <w14:solidFill>
                    <w14:schemeClr w14:val="tx1"/>
                  </w14:solidFill>
                </w14:textFill>
              </w:rPr>
              <w:t>（可多选）</w:t>
            </w:r>
          </w:p>
        </w:tc>
        <w:tc>
          <w:tcPr>
            <w:tcW w:w="8052" w:type="dxa"/>
            <w:gridSpan w:val="7"/>
            <w:vAlign w:val="top"/>
          </w:tcPr>
          <w:p>
            <w:pPr>
              <w:spacing w:before="237" w:line="221" w:lineRule="auto"/>
              <w:ind w:left="135"/>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4"/>
                <w:sz w:val="20"/>
                <w:szCs w:val="20"/>
                <w14:textFill>
                  <w14:solidFill>
                    <w14:schemeClr w14:val="tx1"/>
                  </w14:solidFill>
                </w14:textFill>
              </w:rPr>
              <w:t>□土木建筑工程</w:t>
            </w:r>
            <w:r>
              <w:rPr>
                <w:rFonts w:ascii="FangSong_GB2312" w:hAnsi="FangSong_GB2312" w:eastAsia="FangSong_GB2312" w:cs="FangSong_GB2312"/>
                <w:color w:val="000000" w:themeColor="text1"/>
                <w:spacing w:val="19"/>
                <w:sz w:val="20"/>
                <w:szCs w:val="20"/>
                <w14:textFill>
                  <w14:solidFill>
                    <w14:schemeClr w14:val="tx1"/>
                  </w14:solidFill>
                </w14:textFill>
              </w:rPr>
              <w:t xml:space="preserve">   </w:t>
            </w:r>
            <w:r>
              <w:rPr>
                <w:rFonts w:ascii="FangSong_GB2312" w:hAnsi="FangSong_GB2312" w:eastAsia="FangSong_GB2312" w:cs="FangSong_GB2312"/>
                <w:color w:val="000000" w:themeColor="text1"/>
                <w:spacing w:val="4"/>
                <w:sz w:val="20"/>
                <w:szCs w:val="20"/>
                <w14:textFill>
                  <w14:solidFill>
                    <w14:schemeClr w14:val="tx1"/>
                  </w14:solidFill>
                </w14:textFill>
              </w:rPr>
              <w:t>□环境工程</w:t>
            </w:r>
            <w:r>
              <w:rPr>
                <w:rFonts w:ascii="FangSong_GB2312" w:hAnsi="FangSong_GB2312" w:eastAsia="FangSong_GB2312" w:cs="FangSong_GB2312"/>
                <w:color w:val="000000" w:themeColor="text1"/>
                <w:spacing w:val="17"/>
                <w:sz w:val="20"/>
                <w:szCs w:val="20"/>
                <w14:textFill>
                  <w14:solidFill>
                    <w14:schemeClr w14:val="tx1"/>
                  </w14:solidFill>
                </w14:textFill>
              </w:rPr>
              <w:t xml:space="preserve">   </w:t>
            </w:r>
            <w:r>
              <w:rPr>
                <w:rFonts w:ascii="FangSong_GB2312" w:hAnsi="FangSong_GB2312" w:eastAsia="FangSong_GB2312" w:cs="FangSong_GB2312"/>
                <w:color w:val="000000" w:themeColor="text1"/>
                <w:spacing w:val="4"/>
                <w:sz w:val="20"/>
                <w:szCs w:val="20"/>
                <w14:textFill>
                  <w14:solidFill>
                    <w14:schemeClr w14:val="tx1"/>
                  </w14:solidFill>
                </w14:textFill>
              </w:rPr>
              <w:t>□机电设备管理</w:t>
            </w:r>
          </w:p>
          <w:p>
            <w:pPr>
              <w:spacing w:before="161" w:line="222" w:lineRule="auto"/>
              <w:ind w:left="135"/>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2"/>
                <w:sz w:val="20"/>
                <w:szCs w:val="20"/>
                <w14:textFill>
                  <w14:solidFill>
                    <w14:schemeClr w14:val="tx1"/>
                  </w14:solidFill>
                </w14:textFill>
              </w:rPr>
              <w:t>□物业管理</w:t>
            </w:r>
            <w:r>
              <w:rPr>
                <w:rFonts w:ascii="FangSong_GB2312" w:hAnsi="FangSong_GB2312" w:eastAsia="FangSong_GB2312" w:cs="FangSong_GB2312"/>
                <w:color w:val="000000" w:themeColor="text1"/>
                <w:spacing w:val="17"/>
                <w:sz w:val="20"/>
                <w:szCs w:val="20"/>
                <w14:textFill>
                  <w14:solidFill>
                    <w14:schemeClr w14:val="tx1"/>
                  </w14:solidFill>
                </w14:textFill>
              </w:rPr>
              <w:t xml:space="preserve">   </w:t>
            </w:r>
            <w:r>
              <w:rPr>
                <w:rFonts w:ascii="FangSong_GB2312" w:hAnsi="FangSong_GB2312" w:eastAsia="FangSong_GB2312" w:cs="FangSong_GB2312"/>
                <w:color w:val="000000" w:themeColor="text1"/>
                <w:spacing w:val="2"/>
                <w:sz w:val="20"/>
                <w:szCs w:val="20"/>
                <w14:textFill>
                  <w14:solidFill>
                    <w14:schemeClr w14:val="tx1"/>
                  </w14:solidFill>
                </w14:textFill>
              </w:rPr>
              <w:t>□档案管理</w:t>
            </w:r>
            <w:r>
              <w:rPr>
                <w:rFonts w:ascii="FangSong_GB2312" w:hAnsi="FangSong_GB2312" w:eastAsia="FangSong_GB2312" w:cs="FangSong_GB2312"/>
                <w:color w:val="000000" w:themeColor="text1"/>
                <w:spacing w:val="17"/>
                <w:sz w:val="20"/>
                <w:szCs w:val="20"/>
                <w14:textFill>
                  <w14:solidFill>
                    <w14:schemeClr w14:val="tx1"/>
                  </w14:solidFill>
                </w14:textFill>
              </w:rPr>
              <w:t xml:space="preserve">   </w:t>
            </w:r>
            <w:r>
              <w:rPr>
                <w:rFonts w:ascii="FangSong_GB2312" w:hAnsi="FangSong_GB2312" w:eastAsia="FangSong_GB2312" w:cs="FangSong_GB2312"/>
                <w:color w:val="000000" w:themeColor="text1"/>
                <w:spacing w:val="2"/>
                <w:sz w:val="20"/>
                <w:szCs w:val="20"/>
                <w14:textFill>
                  <w14:solidFill>
                    <w14:schemeClr w14:val="tx1"/>
                  </w14:solidFill>
                </w14:textFill>
              </w:rPr>
              <w:t>□财务管理</w:t>
            </w:r>
            <w:r>
              <w:rPr>
                <w:rFonts w:ascii="FangSong_GB2312" w:hAnsi="FangSong_GB2312" w:eastAsia="FangSong_GB2312" w:cs="FangSong_GB2312"/>
                <w:color w:val="000000" w:themeColor="text1"/>
                <w:spacing w:val="17"/>
                <w:sz w:val="20"/>
                <w:szCs w:val="20"/>
                <w14:textFill>
                  <w14:solidFill>
                    <w14:schemeClr w14:val="tx1"/>
                  </w14:solidFill>
                </w14:textFill>
              </w:rPr>
              <w:t xml:space="preserve">   </w:t>
            </w:r>
            <w:r>
              <w:rPr>
                <w:rFonts w:ascii="FangSong_GB2312" w:hAnsi="FangSong_GB2312" w:eastAsia="FangSong_GB2312" w:cs="FangSong_GB2312"/>
                <w:color w:val="000000" w:themeColor="text1"/>
                <w:spacing w:val="2"/>
                <w:sz w:val="20"/>
                <w:szCs w:val="20"/>
                <w14:textFill>
                  <w14:solidFill>
                    <w14:schemeClr w14:val="tx1"/>
                  </w14:solidFill>
                </w14:textFill>
              </w:rPr>
              <w:t>□法律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1" w:hRule="atLeast"/>
        </w:trPr>
        <w:tc>
          <w:tcPr>
            <w:tcW w:w="1237" w:type="dxa"/>
            <w:vAlign w:val="top"/>
          </w:tcPr>
          <w:p>
            <w:pPr>
              <w:pStyle w:val="11"/>
              <w:spacing w:line="251" w:lineRule="auto"/>
              <w:rPr>
                <w:color w:val="000000" w:themeColor="text1"/>
                <w14:textFill>
                  <w14:solidFill>
                    <w14:schemeClr w14:val="tx1"/>
                  </w14:solidFill>
                </w14:textFill>
              </w:rPr>
            </w:pPr>
          </w:p>
          <w:p>
            <w:pPr>
              <w:pStyle w:val="11"/>
              <w:spacing w:line="251" w:lineRule="auto"/>
              <w:rPr>
                <w:color w:val="000000" w:themeColor="text1"/>
                <w14:textFill>
                  <w14:solidFill>
                    <w14:schemeClr w14:val="tx1"/>
                  </w14:solidFill>
                </w14:textFill>
              </w:rPr>
            </w:pPr>
          </w:p>
          <w:p>
            <w:pPr>
              <w:pStyle w:val="11"/>
              <w:spacing w:line="251" w:lineRule="auto"/>
              <w:rPr>
                <w:color w:val="000000" w:themeColor="text1"/>
                <w14:textFill>
                  <w14:solidFill>
                    <w14:schemeClr w14:val="tx1"/>
                  </w14:solidFill>
                </w14:textFill>
              </w:rPr>
            </w:pPr>
          </w:p>
          <w:p>
            <w:pPr>
              <w:pStyle w:val="11"/>
              <w:spacing w:line="251" w:lineRule="auto"/>
              <w:rPr>
                <w:color w:val="000000" w:themeColor="text1"/>
                <w14:textFill>
                  <w14:solidFill>
                    <w14:schemeClr w14:val="tx1"/>
                  </w14:solidFill>
                </w14:textFill>
              </w:rPr>
            </w:pPr>
          </w:p>
          <w:p>
            <w:pPr>
              <w:pStyle w:val="11"/>
              <w:spacing w:line="252" w:lineRule="auto"/>
              <w:rPr>
                <w:color w:val="000000" w:themeColor="text1"/>
                <w14:textFill>
                  <w14:solidFill>
                    <w14:schemeClr w14:val="tx1"/>
                  </w14:solidFill>
                </w14:textFill>
              </w:rPr>
            </w:pPr>
          </w:p>
          <w:p>
            <w:pPr>
              <w:pStyle w:val="11"/>
              <w:spacing w:line="252" w:lineRule="auto"/>
              <w:rPr>
                <w:color w:val="000000" w:themeColor="text1"/>
                <w14:textFill>
                  <w14:solidFill>
                    <w14:schemeClr w14:val="tx1"/>
                  </w14:solidFill>
                </w14:textFill>
              </w:rPr>
            </w:pPr>
          </w:p>
          <w:p>
            <w:pPr>
              <w:spacing w:before="65" w:line="224" w:lineRule="auto"/>
              <w:ind w:left="205"/>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6"/>
                <w:sz w:val="20"/>
                <w:szCs w:val="20"/>
                <w14:textFill>
                  <w14:solidFill>
                    <w14:schemeClr w14:val="tx1"/>
                  </w14:solidFill>
                </w14:textFill>
              </w:rPr>
              <w:t>个人基本</w:t>
            </w:r>
          </w:p>
          <w:p>
            <w:pPr>
              <w:spacing w:before="157" w:line="222" w:lineRule="auto"/>
              <w:ind w:left="211"/>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5"/>
                <w:sz w:val="20"/>
                <w:szCs w:val="20"/>
                <w14:textFill>
                  <w14:solidFill>
                    <w14:schemeClr w14:val="tx1"/>
                  </w14:solidFill>
                </w14:textFill>
              </w:rPr>
              <w:t>情况简介</w:t>
            </w:r>
          </w:p>
        </w:tc>
        <w:tc>
          <w:tcPr>
            <w:tcW w:w="8052" w:type="dxa"/>
            <w:gridSpan w:val="7"/>
            <w:vAlign w:val="top"/>
          </w:tcPr>
          <w:p>
            <w:pPr>
              <w:pStyle w:val="11"/>
              <w:spacing w:line="243" w:lineRule="auto"/>
              <w:rPr>
                <w:color w:val="000000" w:themeColor="text1"/>
                <w14:textFill>
                  <w14:solidFill>
                    <w14:schemeClr w14:val="tx1"/>
                  </w14:solidFill>
                </w14:textFill>
              </w:rPr>
            </w:pPr>
          </w:p>
          <w:p>
            <w:pPr>
              <w:pStyle w:val="11"/>
              <w:spacing w:line="243" w:lineRule="auto"/>
              <w:rPr>
                <w:color w:val="000000" w:themeColor="text1"/>
                <w14:textFill>
                  <w14:solidFill>
                    <w14:schemeClr w14:val="tx1"/>
                  </w14:solidFill>
                </w14:textFill>
              </w:rPr>
            </w:pPr>
          </w:p>
          <w:p>
            <w:pPr>
              <w:pStyle w:val="11"/>
              <w:spacing w:line="244" w:lineRule="auto"/>
              <w:rPr>
                <w:color w:val="000000" w:themeColor="text1"/>
                <w14:textFill>
                  <w14:solidFill>
                    <w14:schemeClr w14:val="tx1"/>
                  </w14:solidFill>
                </w14:textFill>
              </w:rPr>
            </w:pPr>
          </w:p>
          <w:p>
            <w:pPr>
              <w:pStyle w:val="11"/>
              <w:spacing w:line="244" w:lineRule="auto"/>
              <w:rPr>
                <w:color w:val="000000" w:themeColor="text1"/>
                <w14:textFill>
                  <w14:solidFill>
                    <w14:schemeClr w14:val="tx1"/>
                  </w14:solidFill>
                </w14:textFill>
              </w:rPr>
            </w:pPr>
          </w:p>
          <w:p>
            <w:pPr>
              <w:pStyle w:val="11"/>
              <w:spacing w:line="244" w:lineRule="auto"/>
              <w:rPr>
                <w:color w:val="000000" w:themeColor="text1"/>
                <w14:textFill>
                  <w14:solidFill>
                    <w14:schemeClr w14:val="tx1"/>
                  </w14:solidFill>
                </w14:textFill>
              </w:rPr>
            </w:pPr>
          </w:p>
          <w:p>
            <w:pPr>
              <w:pStyle w:val="11"/>
              <w:spacing w:line="244" w:lineRule="auto"/>
              <w:rPr>
                <w:color w:val="000000" w:themeColor="text1"/>
                <w14:textFill>
                  <w14:solidFill>
                    <w14:schemeClr w14:val="tx1"/>
                  </w14:solidFill>
                </w14:textFill>
              </w:rPr>
            </w:pPr>
          </w:p>
          <w:p>
            <w:pPr>
              <w:pStyle w:val="11"/>
              <w:spacing w:line="244" w:lineRule="auto"/>
              <w:rPr>
                <w:color w:val="000000" w:themeColor="text1"/>
                <w14:textFill>
                  <w14:solidFill>
                    <w14:schemeClr w14:val="tx1"/>
                  </w14:solidFill>
                </w14:textFill>
              </w:rPr>
            </w:pPr>
          </w:p>
          <w:p>
            <w:pPr>
              <w:spacing w:before="65" w:line="222" w:lineRule="auto"/>
              <w:ind w:right="6"/>
              <w:jc w:val="right"/>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9"/>
                <w:sz w:val="20"/>
                <w:szCs w:val="20"/>
                <w14:textFill>
                  <w14:solidFill>
                    <w14:schemeClr w14:val="tx1"/>
                  </w14:solidFill>
                </w14:textFill>
              </w:rPr>
              <w:t>（主要介绍本人学习、工作经历，专业职称，执业资格，研究</w:t>
            </w:r>
            <w:r>
              <w:rPr>
                <w:rFonts w:ascii="FangSong_GB2312" w:hAnsi="FangSong_GB2312" w:eastAsia="FangSong_GB2312" w:cs="FangSong_GB2312"/>
                <w:color w:val="000000" w:themeColor="text1"/>
                <w:spacing w:val="8"/>
                <w:sz w:val="20"/>
                <w:szCs w:val="20"/>
                <w14:textFill>
                  <w14:solidFill>
                    <w14:schemeClr w14:val="tx1"/>
                  </w14:solidFill>
                </w14:textFill>
              </w:rPr>
              <w:t>经历，发表论文等情况）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237" w:type="dxa"/>
            <w:vMerge w:val="restart"/>
            <w:tcBorders>
              <w:bottom w:val="nil"/>
            </w:tcBorders>
            <w:vAlign w:val="top"/>
          </w:tcPr>
          <w:p>
            <w:pPr>
              <w:pStyle w:val="11"/>
              <w:spacing w:line="281" w:lineRule="auto"/>
              <w:rPr>
                <w:color w:val="000000" w:themeColor="text1"/>
                <w14:textFill>
                  <w14:solidFill>
                    <w14:schemeClr w14:val="tx1"/>
                  </w14:solidFill>
                </w14:textFill>
              </w:rPr>
            </w:pPr>
          </w:p>
          <w:p>
            <w:pPr>
              <w:pStyle w:val="11"/>
              <w:spacing w:line="282" w:lineRule="auto"/>
              <w:rPr>
                <w:color w:val="000000" w:themeColor="text1"/>
                <w14:textFill>
                  <w14:solidFill>
                    <w14:schemeClr w14:val="tx1"/>
                  </w14:solidFill>
                </w14:textFill>
              </w:rPr>
            </w:pPr>
          </w:p>
          <w:p>
            <w:pPr>
              <w:pStyle w:val="11"/>
              <w:spacing w:line="282" w:lineRule="auto"/>
              <w:rPr>
                <w:color w:val="000000" w:themeColor="text1"/>
                <w14:textFill>
                  <w14:solidFill>
                    <w14:schemeClr w14:val="tx1"/>
                  </w14:solidFill>
                </w14:textFill>
              </w:rPr>
            </w:pPr>
          </w:p>
          <w:p>
            <w:pPr>
              <w:pStyle w:val="11"/>
              <w:spacing w:line="282" w:lineRule="auto"/>
              <w:rPr>
                <w:color w:val="000000" w:themeColor="text1"/>
                <w14:textFill>
                  <w14:solidFill>
                    <w14:schemeClr w14:val="tx1"/>
                  </w14:solidFill>
                </w14:textFill>
              </w:rPr>
            </w:pPr>
          </w:p>
          <w:p>
            <w:pPr>
              <w:spacing w:before="65" w:line="222" w:lineRule="auto"/>
              <w:ind w:left="200"/>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8"/>
                <w:sz w:val="20"/>
                <w:szCs w:val="20"/>
                <w14:textFill>
                  <w14:solidFill>
                    <w14:schemeClr w14:val="tx1"/>
                  </w14:solidFill>
                </w14:textFill>
              </w:rPr>
              <w:t>相关岗位</w:t>
            </w:r>
          </w:p>
          <w:p>
            <w:pPr>
              <w:spacing w:before="160" w:line="224" w:lineRule="auto"/>
              <w:ind w:left="208"/>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6"/>
                <w:sz w:val="20"/>
                <w:szCs w:val="20"/>
                <w14:textFill>
                  <w14:solidFill>
                    <w14:schemeClr w14:val="tx1"/>
                  </w14:solidFill>
                </w14:textFill>
              </w:rPr>
              <w:t>工作经历</w:t>
            </w:r>
          </w:p>
        </w:tc>
        <w:tc>
          <w:tcPr>
            <w:tcW w:w="2483" w:type="dxa"/>
            <w:gridSpan w:val="2"/>
            <w:vAlign w:val="top"/>
          </w:tcPr>
          <w:p>
            <w:pPr>
              <w:spacing w:before="169" w:line="223" w:lineRule="auto"/>
              <w:ind w:left="302"/>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8"/>
                <w:sz w:val="20"/>
                <w:szCs w:val="20"/>
                <w14:textFill>
                  <w14:solidFill>
                    <w14:schemeClr w14:val="tx1"/>
                  </w14:solidFill>
                </w14:textFill>
              </w:rPr>
              <w:t>起止时间（年月日）</w:t>
            </w:r>
          </w:p>
        </w:tc>
        <w:tc>
          <w:tcPr>
            <w:tcW w:w="2255" w:type="dxa"/>
            <w:gridSpan w:val="3"/>
            <w:vAlign w:val="top"/>
          </w:tcPr>
          <w:p>
            <w:pPr>
              <w:spacing w:before="145" w:line="222" w:lineRule="auto"/>
              <w:ind w:left="719"/>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6"/>
                <w:sz w:val="20"/>
                <w:szCs w:val="20"/>
                <w14:textFill>
                  <w14:solidFill>
                    <w14:schemeClr w14:val="tx1"/>
                  </w14:solidFill>
                </w14:textFill>
              </w:rPr>
              <w:t>工作岗位</w:t>
            </w:r>
          </w:p>
        </w:tc>
        <w:tc>
          <w:tcPr>
            <w:tcW w:w="3314" w:type="dxa"/>
            <w:gridSpan w:val="2"/>
            <w:vAlign w:val="top"/>
          </w:tcPr>
          <w:p>
            <w:pPr>
              <w:spacing w:before="169" w:line="222" w:lineRule="auto"/>
              <w:ind w:left="1243"/>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6"/>
                <w:sz w:val="20"/>
                <w:szCs w:val="20"/>
                <w14:textFill>
                  <w14:solidFill>
                    <w14:schemeClr w14:val="tx1"/>
                  </w14:solidFill>
                </w14:textFill>
              </w:rPr>
              <w:t>服务单位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37" w:type="dxa"/>
            <w:vMerge w:val="continue"/>
            <w:tcBorders>
              <w:top w:val="nil"/>
              <w:bottom w:val="nil"/>
            </w:tcBorders>
            <w:vAlign w:val="top"/>
          </w:tcPr>
          <w:p>
            <w:pPr>
              <w:pStyle w:val="11"/>
              <w:rPr>
                <w:color w:val="000000" w:themeColor="text1"/>
                <w14:textFill>
                  <w14:solidFill>
                    <w14:schemeClr w14:val="tx1"/>
                  </w14:solidFill>
                </w14:textFill>
              </w:rPr>
            </w:pPr>
          </w:p>
        </w:tc>
        <w:tc>
          <w:tcPr>
            <w:tcW w:w="2483" w:type="dxa"/>
            <w:gridSpan w:val="2"/>
            <w:vAlign w:val="top"/>
          </w:tcPr>
          <w:p>
            <w:pPr>
              <w:pStyle w:val="11"/>
              <w:rPr>
                <w:color w:val="000000" w:themeColor="text1"/>
                <w14:textFill>
                  <w14:solidFill>
                    <w14:schemeClr w14:val="tx1"/>
                  </w14:solidFill>
                </w14:textFill>
              </w:rPr>
            </w:pPr>
          </w:p>
        </w:tc>
        <w:tc>
          <w:tcPr>
            <w:tcW w:w="2255" w:type="dxa"/>
            <w:gridSpan w:val="3"/>
            <w:vAlign w:val="top"/>
          </w:tcPr>
          <w:p>
            <w:pPr>
              <w:pStyle w:val="11"/>
              <w:rPr>
                <w:color w:val="000000" w:themeColor="text1"/>
                <w14:textFill>
                  <w14:solidFill>
                    <w14:schemeClr w14:val="tx1"/>
                  </w14:solidFill>
                </w14:textFill>
              </w:rPr>
            </w:pPr>
          </w:p>
        </w:tc>
        <w:tc>
          <w:tcPr>
            <w:tcW w:w="3314" w:type="dxa"/>
            <w:gridSpan w:val="2"/>
            <w:vAlign w:val="top"/>
          </w:tcPr>
          <w:p>
            <w:pPr>
              <w:pStyle w:val="11"/>
              <w:rPr>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37" w:type="dxa"/>
            <w:vMerge w:val="continue"/>
            <w:tcBorders>
              <w:top w:val="nil"/>
              <w:bottom w:val="nil"/>
            </w:tcBorders>
            <w:vAlign w:val="top"/>
          </w:tcPr>
          <w:p>
            <w:pPr>
              <w:pStyle w:val="11"/>
              <w:rPr>
                <w:color w:val="000000" w:themeColor="text1"/>
                <w14:textFill>
                  <w14:solidFill>
                    <w14:schemeClr w14:val="tx1"/>
                  </w14:solidFill>
                </w14:textFill>
              </w:rPr>
            </w:pPr>
          </w:p>
        </w:tc>
        <w:tc>
          <w:tcPr>
            <w:tcW w:w="2483" w:type="dxa"/>
            <w:gridSpan w:val="2"/>
            <w:vAlign w:val="top"/>
          </w:tcPr>
          <w:p>
            <w:pPr>
              <w:pStyle w:val="11"/>
              <w:rPr>
                <w:color w:val="000000" w:themeColor="text1"/>
                <w14:textFill>
                  <w14:solidFill>
                    <w14:schemeClr w14:val="tx1"/>
                  </w14:solidFill>
                </w14:textFill>
              </w:rPr>
            </w:pPr>
          </w:p>
        </w:tc>
        <w:tc>
          <w:tcPr>
            <w:tcW w:w="2255" w:type="dxa"/>
            <w:gridSpan w:val="3"/>
            <w:vAlign w:val="top"/>
          </w:tcPr>
          <w:p>
            <w:pPr>
              <w:pStyle w:val="11"/>
              <w:rPr>
                <w:color w:val="000000" w:themeColor="text1"/>
                <w14:textFill>
                  <w14:solidFill>
                    <w14:schemeClr w14:val="tx1"/>
                  </w14:solidFill>
                </w14:textFill>
              </w:rPr>
            </w:pPr>
          </w:p>
        </w:tc>
        <w:tc>
          <w:tcPr>
            <w:tcW w:w="3314" w:type="dxa"/>
            <w:gridSpan w:val="2"/>
            <w:vAlign w:val="top"/>
          </w:tcPr>
          <w:p>
            <w:pPr>
              <w:pStyle w:val="11"/>
              <w:rPr>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37" w:type="dxa"/>
            <w:vMerge w:val="continue"/>
            <w:tcBorders>
              <w:top w:val="nil"/>
              <w:bottom w:val="nil"/>
            </w:tcBorders>
            <w:vAlign w:val="top"/>
          </w:tcPr>
          <w:p>
            <w:pPr>
              <w:pStyle w:val="11"/>
              <w:rPr>
                <w:color w:val="000000" w:themeColor="text1"/>
                <w14:textFill>
                  <w14:solidFill>
                    <w14:schemeClr w14:val="tx1"/>
                  </w14:solidFill>
                </w14:textFill>
              </w:rPr>
            </w:pPr>
          </w:p>
        </w:tc>
        <w:tc>
          <w:tcPr>
            <w:tcW w:w="2483" w:type="dxa"/>
            <w:gridSpan w:val="2"/>
            <w:vAlign w:val="top"/>
          </w:tcPr>
          <w:p>
            <w:pPr>
              <w:pStyle w:val="11"/>
              <w:rPr>
                <w:color w:val="000000" w:themeColor="text1"/>
                <w14:textFill>
                  <w14:solidFill>
                    <w14:schemeClr w14:val="tx1"/>
                  </w14:solidFill>
                </w14:textFill>
              </w:rPr>
            </w:pPr>
          </w:p>
        </w:tc>
        <w:tc>
          <w:tcPr>
            <w:tcW w:w="2255" w:type="dxa"/>
            <w:gridSpan w:val="3"/>
            <w:vAlign w:val="top"/>
          </w:tcPr>
          <w:p>
            <w:pPr>
              <w:pStyle w:val="11"/>
              <w:rPr>
                <w:color w:val="000000" w:themeColor="text1"/>
                <w14:textFill>
                  <w14:solidFill>
                    <w14:schemeClr w14:val="tx1"/>
                  </w14:solidFill>
                </w14:textFill>
              </w:rPr>
            </w:pPr>
          </w:p>
        </w:tc>
        <w:tc>
          <w:tcPr>
            <w:tcW w:w="3314" w:type="dxa"/>
            <w:gridSpan w:val="2"/>
            <w:vAlign w:val="top"/>
          </w:tcPr>
          <w:p>
            <w:pPr>
              <w:pStyle w:val="11"/>
              <w:rPr>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37" w:type="dxa"/>
            <w:vMerge w:val="continue"/>
            <w:tcBorders>
              <w:top w:val="nil"/>
              <w:bottom w:val="nil"/>
            </w:tcBorders>
            <w:vAlign w:val="top"/>
          </w:tcPr>
          <w:p>
            <w:pPr>
              <w:pStyle w:val="11"/>
              <w:rPr>
                <w:color w:val="000000" w:themeColor="text1"/>
                <w14:textFill>
                  <w14:solidFill>
                    <w14:schemeClr w14:val="tx1"/>
                  </w14:solidFill>
                </w14:textFill>
              </w:rPr>
            </w:pPr>
          </w:p>
        </w:tc>
        <w:tc>
          <w:tcPr>
            <w:tcW w:w="2483" w:type="dxa"/>
            <w:gridSpan w:val="2"/>
            <w:vAlign w:val="top"/>
          </w:tcPr>
          <w:p>
            <w:pPr>
              <w:pStyle w:val="11"/>
              <w:rPr>
                <w:color w:val="000000" w:themeColor="text1"/>
                <w14:textFill>
                  <w14:solidFill>
                    <w14:schemeClr w14:val="tx1"/>
                  </w14:solidFill>
                </w14:textFill>
              </w:rPr>
            </w:pPr>
          </w:p>
        </w:tc>
        <w:tc>
          <w:tcPr>
            <w:tcW w:w="2255" w:type="dxa"/>
            <w:gridSpan w:val="3"/>
            <w:vAlign w:val="top"/>
          </w:tcPr>
          <w:p>
            <w:pPr>
              <w:pStyle w:val="11"/>
              <w:rPr>
                <w:color w:val="000000" w:themeColor="text1"/>
                <w14:textFill>
                  <w14:solidFill>
                    <w14:schemeClr w14:val="tx1"/>
                  </w14:solidFill>
                </w14:textFill>
              </w:rPr>
            </w:pPr>
          </w:p>
        </w:tc>
        <w:tc>
          <w:tcPr>
            <w:tcW w:w="3314" w:type="dxa"/>
            <w:gridSpan w:val="2"/>
            <w:vAlign w:val="top"/>
          </w:tcPr>
          <w:p>
            <w:pPr>
              <w:pStyle w:val="11"/>
              <w:rPr>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37" w:type="dxa"/>
            <w:vMerge w:val="continue"/>
            <w:tcBorders>
              <w:top w:val="nil"/>
              <w:bottom w:val="nil"/>
            </w:tcBorders>
            <w:vAlign w:val="top"/>
          </w:tcPr>
          <w:p>
            <w:pPr>
              <w:pStyle w:val="11"/>
              <w:rPr>
                <w:color w:val="000000" w:themeColor="text1"/>
                <w14:textFill>
                  <w14:solidFill>
                    <w14:schemeClr w14:val="tx1"/>
                  </w14:solidFill>
                </w14:textFill>
              </w:rPr>
            </w:pPr>
          </w:p>
        </w:tc>
        <w:tc>
          <w:tcPr>
            <w:tcW w:w="2483" w:type="dxa"/>
            <w:gridSpan w:val="2"/>
            <w:vAlign w:val="top"/>
          </w:tcPr>
          <w:p>
            <w:pPr>
              <w:pStyle w:val="11"/>
              <w:rPr>
                <w:color w:val="000000" w:themeColor="text1"/>
                <w14:textFill>
                  <w14:solidFill>
                    <w14:schemeClr w14:val="tx1"/>
                  </w14:solidFill>
                </w14:textFill>
              </w:rPr>
            </w:pPr>
          </w:p>
        </w:tc>
        <w:tc>
          <w:tcPr>
            <w:tcW w:w="2255" w:type="dxa"/>
            <w:gridSpan w:val="3"/>
            <w:vAlign w:val="top"/>
          </w:tcPr>
          <w:p>
            <w:pPr>
              <w:pStyle w:val="11"/>
              <w:rPr>
                <w:color w:val="000000" w:themeColor="text1"/>
                <w14:textFill>
                  <w14:solidFill>
                    <w14:schemeClr w14:val="tx1"/>
                  </w14:solidFill>
                </w14:textFill>
              </w:rPr>
            </w:pPr>
          </w:p>
        </w:tc>
        <w:tc>
          <w:tcPr>
            <w:tcW w:w="3314" w:type="dxa"/>
            <w:gridSpan w:val="2"/>
            <w:vAlign w:val="top"/>
          </w:tcPr>
          <w:p>
            <w:pPr>
              <w:pStyle w:val="11"/>
              <w:rPr>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237" w:type="dxa"/>
            <w:vMerge w:val="continue"/>
            <w:tcBorders>
              <w:top w:val="nil"/>
            </w:tcBorders>
            <w:vAlign w:val="top"/>
          </w:tcPr>
          <w:p>
            <w:pPr>
              <w:pStyle w:val="11"/>
              <w:rPr>
                <w:color w:val="000000" w:themeColor="text1"/>
                <w14:textFill>
                  <w14:solidFill>
                    <w14:schemeClr w14:val="tx1"/>
                  </w14:solidFill>
                </w14:textFill>
              </w:rPr>
            </w:pPr>
          </w:p>
        </w:tc>
        <w:tc>
          <w:tcPr>
            <w:tcW w:w="2483" w:type="dxa"/>
            <w:gridSpan w:val="2"/>
            <w:vAlign w:val="top"/>
          </w:tcPr>
          <w:p>
            <w:pPr>
              <w:pStyle w:val="11"/>
              <w:rPr>
                <w:color w:val="000000" w:themeColor="text1"/>
                <w14:textFill>
                  <w14:solidFill>
                    <w14:schemeClr w14:val="tx1"/>
                  </w14:solidFill>
                </w14:textFill>
              </w:rPr>
            </w:pPr>
          </w:p>
        </w:tc>
        <w:tc>
          <w:tcPr>
            <w:tcW w:w="2255" w:type="dxa"/>
            <w:gridSpan w:val="3"/>
            <w:vAlign w:val="top"/>
          </w:tcPr>
          <w:p>
            <w:pPr>
              <w:pStyle w:val="11"/>
              <w:rPr>
                <w:color w:val="000000" w:themeColor="text1"/>
                <w14:textFill>
                  <w14:solidFill>
                    <w14:schemeClr w14:val="tx1"/>
                  </w14:solidFill>
                </w14:textFill>
              </w:rPr>
            </w:pPr>
          </w:p>
        </w:tc>
        <w:tc>
          <w:tcPr>
            <w:tcW w:w="3314" w:type="dxa"/>
            <w:gridSpan w:val="2"/>
            <w:vAlign w:val="top"/>
          </w:tcPr>
          <w:p>
            <w:pPr>
              <w:pStyle w:val="11"/>
              <w:rPr>
                <w:color w:val="000000" w:themeColor="text1"/>
                <w14:textFill>
                  <w14:solidFill>
                    <w14:schemeClr w14:val="tx1"/>
                  </w14:solidFill>
                </w14:textFill>
              </w:rPr>
            </w:pPr>
          </w:p>
        </w:tc>
      </w:tr>
    </w:tbl>
    <w:p>
      <w:pPr>
        <w:rPr>
          <w:color w:val="000000" w:themeColor="text1"/>
          <w14:textFill>
            <w14:solidFill>
              <w14:schemeClr w14:val="tx1"/>
            </w14:solidFill>
          </w14:textFill>
        </w:rPr>
        <w:sectPr>
          <w:footerReference r:id="rId6" w:type="default"/>
          <w:pgSz w:w="11906" w:h="16839"/>
          <w:pgMar w:top="2041" w:right="1531" w:bottom="2041" w:left="1531" w:header="0" w:footer="805" w:gutter="0"/>
          <w:pgNumType w:fmt="decimal"/>
          <w:cols w:space="720" w:num="1"/>
        </w:sectPr>
      </w:pPr>
    </w:p>
    <w:tbl>
      <w:tblPr>
        <w:tblStyle w:val="10"/>
        <w:tblW w:w="92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7"/>
        <w:gridCol w:w="2483"/>
        <w:gridCol w:w="2255"/>
        <w:gridCol w:w="33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237" w:type="dxa"/>
            <w:vMerge w:val="restart"/>
            <w:tcBorders>
              <w:bottom w:val="nil"/>
            </w:tcBorders>
            <w:vAlign w:val="top"/>
          </w:tcPr>
          <w:p>
            <w:pPr>
              <w:pStyle w:val="11"/>
              <w:rPr>
                <w:color w:val="000000" w:themeColor="text1"/>
                <w14:textFill>
                  <w14:solidFill>
                    <w14:schemeClr w14:val="tx1"/>
                  </w14:solidFill>
                </w14:textFill>
              </w:rPr>
            </w:pPr>
          </w:p>
        </w:tc>
        <w:tc>
          <w:tcPr>
            <w:tcW w:w="2483" w:type="dxa"/>
            <w:vAlign w:val="top"/>
          </w:tcPr>
          <w:p>
            <w:pPr>
              <w:spacing w:before="145" w:line="223" w:lineRule="auto"/>
              <w:ind w:left="302"/>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8"/>
                <w:sz w:val="20"/>
                <w:szCs w:val="20"/>
                <w14:textFill>
                  <w14:solidFill>
                    <w14:schemeClr w14:val="tx1"/>
                  </w14:solidFill>
                </w14:textFill>
              </w:rPr>
              <w:t>起止时间（年月日）</w:t>
            </w:r>
          </w:p>
        </w:tc>
        <w:tc>
          <w:tcPr>
            <w:tcW w:w="2255" w:type="dxa"/>
            <w:vAlign w:val="top"/>
          </w:tcPr>
          <w:p>
            <w:pPr>
              <w:spacing w:before="145" w:line="222" w:lineRule="auto"/>
              <w:ind w:left="719"/>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6"/>
                <w:sz w:val="20"/>
                <w:szCs w:val="20"/>
                <w14:textFill>
                  <w14:solidFill>
                    <w14:schemeClr w14:val="tx1"/>
                  </w14:solidFill>
                </w14:textFill>
              </w:rPr>
              <w:t>工作岗位</w:t>
            </w:r>
          </w:p>
        </w:tc>
        <w:tc>
          <w:tcPr>
            <w:tcW w:w="3314" w:type="dxa"/>
            <w:vAlign w:val="top"/>
          </w:tcPr>
          <w:p>
            <w:pPr>
              <w:spacing w:before="145" w:line="222" w:lineRule="auto"/>
              <w:ind w:left="1243"/>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6"/>
                <w:sz w:val="20"/>
                <w:szCs w:val="20"/>
                <w14:textFill>
                  <w14:solidFill>
                    <w14:schemeClr w14:val="tx1"/>
                  </w14:solidFill>
                </w14:textFill>
              </w:rPr>
              <w:t>服务单位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37" w:type="dxa"/>
            <w:vMerge w:val="continue"/>
            <w:tcBorders>
              <w:top w:val="nil"/>
              <w:bottom w:val="nil"/>
            </w:tcBorders>
            <w:vAlign w:val="top"/>
          </w:tcPr>
          <w:p>
            <w:pPr>
              <w:pStyle w:val="11"/>
              <w:rPr>
                <w:color w:val="000000" w:themeColor="text1"/>
                <w14:textFill>
                  <w14:solidFill>
                    <w14:schemeClr w14:val="tx1"/>
                  </w14:solidFill>
                </w14:textFill>
              </w:rPr>
            </w:pPr>
          </w:p>
        </w:tc>
        <w:tc>
          <w:tcPr>
            <w:tcW w:w="2483" w:type="dxa"/>
            <w:vAlign w:val="top"/>
          </w:tcPr>
          <w:p>
            <w:pPr>
              <w:pStyle w:val="11"/>
              <w:rPr>
                <w:color w:val="000000" w:themeColor="text1"/>
                <w14:textFill>
                  <w14:solidFill>
                    <w14:schemeClr w14:val="tx1"/>
                  </w14:solidFill>
                </w14:textFill>
              </w:rPr>
            </w:pPr>
          </w:p>
        </w:tc>
        <w:tc>
          <w:tcPr>
            <w:tcW w:w="2255" w:type="dxa"/>
            <w:vAlign w:val="top"/>
          </w:tcPr>
          <w:p>
            <w:pPr>
              <w:pStyle w:val="11"/>
              <w:rPr>
                <w:color w:val="000000" w:themeColor="text1"/>
                <w14:textFill>
                  <w14:solidFill>
                    <w14:schemeClr w14:val="tx1"/>
                  </w14:solidFill>
                </w14:textFill>
              </w:rPr>
            </w:pPr>
          </w:p>
        </w:tc>
        <w:tc>
          <w:tcPr>
            <w:tcW w:w="3314" w:type="dxa"/>
            <w:vAlign w:val="top"/>
          </w:tcPr>
          <w:p>
            <w:pPr>
              <w:pStyle w:val="11"/>
              <w:rPr>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37" w:type="dxa"/>
            <w:vMerge w:val="continue"/>
            <w:tcBorders>
              <w:top w:val="nil"/>
              <w:bottom w:val="nil"/>
            </w:tcBorders>
            <w:vAlign w:val="top"/>
          </w:tcPr>
          <w:p>
            <w:pPr>
              <w:pStyle w:val="11"/>
              <w:rPr>
                <w:color w:val="000000" w:themeColor="text1"/>
                <w14:textFill>
                  <w14:solidFill>
                    <w14:schemeClr w14:val="tx1"/>
                  </w14:solidFill>
                </w14:textFill>
              </w:rPr>
            </w:pPr>
          </w:p>
        </w:tc>
        <w:tc>
          <w:tcPr>
            <w:tcW w:w="2483" w:type="dxa"/>
            <w:vAlign w:val="top"/>
          </w:tcPr>
          <w:p>
            <w:pPr>
              <w:pStyle w:val="11"/>
              <w:rPr>
                <w:color w:val="000000" w:themeColor="text1"/>
                <w14:textFill>
                  <w14:solidFill>
                    <w14:schemeClr w14:val="tx1"/>
                  </w14:solidFill>
                </w14:textFill>
              </w:rPr>
            </w:pPr>
          </w:p>
        </w:tc>
        <w:tc>
          <w:tcPr>
            <w:tcW w:w="2255" w:type="dxa"/>
            <w:vAlign w:val="top"/>
          </w:tcPr>
          <w:p>
            <w:pPr>
              <w:pStyle w:val="11"/>
              <w:rPr>
                <w:color w:val="000000" w:themeColor="text1"/>
                <w14:textFill>
                  <w14:solidFill>
                    <w14:schemeClr w14:val="tx1"/>
                  </w14:solidFill>
                </w14:textFill>
              </w:rPr>
            </w:pPr>
          </w:p>
        </w:tc>
        <w:tc>
          <w:tcPr>
            <w:tcW w:w="3314" w:type="dxa"/>
            <w:vAlign w:val="top"/>
          </w:tcPr>
          <w:p>
            <w:pPr>
              <w:pStyle w:val="11"/>
              <w:rPr>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37" w:type="dxa"/>
            <w:vMerge w:val="continue"/>
            <w:tcBorders>
              <w:top w:val="nil"/>
              <w:bottom w:val="nil"/>
            </w:tcBorders>
            <w:vAlign w:val="top"/>
          </w:tcPr>
          <w:p>
            <w:pPr>
              <w:pStyle w:val="11"/>
              <w:rPr>
                <w:color w:val="000000" w:themeColor="text1"/>
                <w14:textFill>
                  <w14:solidFill>
                    <w14:schemeClr w14:val="tx1"/>
                  </w14:solidFill>
                </w14:textFill>
              </w:rPr>
            </w:pPr>
          </w:p>
        </w:tc>
        <w:tc>
          <w:tcPr>
            <w:tcW w:w="2483" w:type="dxa"/>
            <w:vAlign w:val="top"/>
          </w:tcPr>
          <w:p>
            <w:pPr>
              <w:pStyle w:val="11"/>
              <w:rPr>
                <w:color w:val="000000" w:themeColor="text1"/>
                <w14:textFill>
                  <w14:solidFill>
                    <w14:schemeClr w14:val="tx1"/>
                  </w14:solidFill>
                </w14:textFill>
              </w:rPr>
            </w:pPr>
          </w:p>
        </w:tc>
        <w:tc>
          <w:tcPr>
            <w:tcW w:w="2255" w:type="dxa"/>
            <w:vAlign w:val="top"/>
          </w:tcPr>
          <w:p>
            <w:pPr>
              <w:pStyle w:val="11"/>
              <w:rPr>
                <w:color w:val="000000" w:themeColor="text1"/>
                <w14:textFill>
                  <w14:solidFill>
                    <w14:schemeClr w14:val="tx1"/>
                  </w14:solidFill>
                </w14:textFill>
              </w:rPr>
            </w:pPr>
          </w:p>
        </w:tc>
        <w:tc>
          <w:tcPr>
            <w:tcW w:w="3314" w:type="dxa"/>
            <w:vAlign w:val="top"/>
          </w:tcPr>
          <w:p>
            <w:pPr>
              <w:pStyle w:val="11"/>
              <w:rPr>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37" w:type="dxa"/>
            <w:vMerge w:val="continue"/>
            <w:tcBorders>
              <w:top w:val="nil"/>
            </w:tcBorders>
            <w:vAlign w:val="top"/>
          </w:tcPr>
          <w:p>
            <w:pPr>
              <w:pStyle w:val="11"/>
              <w:rPr>
                <w:color w:val="000000" w:themeColor="text1"/>
                <w14:textFill>
                  <w14:solidFill>
                    <w14:schemeClr w14:val="tx1"/>
                  </w14:solidFill>
                </w14:textFill>
              </w:rPr>
            </w:pPr>
          </w:p>
        </w:tc>
        <w:tc>
          <w:tcPr>
            <w:tcW w:w="2483" w:type="dxa"/>
            <w:vAlign w:val="top"/>
          </w:tcPr>
          <w:p>
            <w:pPr>
              <w:pStyle w:val="11"/>
              <w:rPr>
                <w:color w:val="000000" w:themeColor="text1"/>
                <w14:textFill>
                  <w14:solidFill>
                    <w14:schemeClr w14:val="tx1"/>
                  </w14:solidFill>
                </w14:textFill>
              </w:rPr>
            </w:pPr>
          </w:p>
        </w:tc>
        <w:tc>
          <w:tcPr>
            <w:tcW w:w="2255" w:type="dxa"/>
            <w:vAlign w:val="top"/>
          </w:tcPr>
          <w:p>
            <w:pPr>
              <w:pStyle w:val="11"/>
              <w:rPr>
                <w:color w:val="000000" w:themeColor="text1"/>
                <w14:textFill>
                  <w14:solidFill>
                    <w14:schemeClr w14:val="tx1"/>
                  </w14:solidFill>
                </w14:textFill>
              </w:rPr>
            </w:pPr>
          </w:p>
        </w:tc>
        <w:tc>
          <w:tcPr>
            <w:tcW w:w="3314" w:type="dxa"/>
            <w:vAlign w:val="top"/>
          </w:tcPr>
          <w:p>
            <w:pPr>
              <w:pStyle w:val="11"/>
              <w:rPr>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37" w:type="dxa"/>
            <w:vMerge w:val="restart"/>
            <w:tcBorders>
              <w:bottom w:val="nil"/>
            </w:tcBorders>
            <w:vAlign w:val="top"/>
          </w:tcPr>
          <w:p>
            <w:pPr>
              <w:pStyle w:val="11"/>
              <w:spacing w:line="262" w:lineRule="auto"/>
              <w:rPr>
                <w:color w:val="000000" w:themeColor="text1"/>
                <w14:textFill>
                  <w14:solidFill>
                    <w14:schemeClr w14:val="tx1"/>
                  </w14:solidFill>
                </w14:textFill>
              </w:rPr>
            </w:pPr>
          </w:p>
          <w:p>
            <w:pPr>
              <w:pStyle w:val="11"/>
              <w:spacing w:line="262" w:lineRule="auto"/>
              <w:rPr>
                <w:color w:val="000000" w:themeColor="text1"/>
                <w14:textFill>
                  <w14:solidFill>
                    <w14:schemeClr w14:val="tx1"/>
                  </w14:solidFill>
                </w14:textFill>
              </w:rPr>
            </w:pPr>
          </w:p>
          <w:p>
            <w:pPr>
              <w:pStyle w:val="11"/>
              <w:spacing w:line="262" w:lineRule="auto"/>
              <w:rPr>
                <w:color w:val="000000" w:themeColor="text1"/>
                <w14:textFill>
                  <w14:solidFill>
                    <w14:schemeClr w14:val="tx1"/>
                  </w14:solidFill>
                </w14:textFill>
              </w:rPr>
            </w:pPr>
          </w:p>
          <w:p>
            <w:pPr>
              <w:pStyle w:val="11"/>
              <w:spacing w:line="262" w:lineRule="auto"/>
              <w:rPr>
                <w:color w:val="000000" w:themeColor="text1"/>
                <w14:textFill>
                  <w14:solidFill>
                    <w14:schemeClr w14:val="tx1"/>
                  </w14:solidFill>
                </w14:textFill>
              </w:rPr>
            </w:pPr>
          </w:p>
          <w:p>
            <w:pPr>
              <w:pStyle w:val="11"/>
              <w:spacing w:line="262" w:lineRule="auto"/>
              <w:rPr>
                <w:color w:val="000000" w:themeColor="text1"/>
                <w14:textFill>
                  <w14:solidFill>
                    <w14:schemeClr w14:val="tx1"/>
                  </w14:solidFill>
                </w14:textFill>
              </w:rPr>
            </w:pPr>
          </w:p>
          <w:p>
            <w:pPr>
              <w:spacing w:before="66" w:line="224" w:lineRule="auto"/>
              <w:ind w:left="204"/>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7"/>
                <w:sz w:val="20"/>
                <w:szCs w:val="20"/>
                <w14:textFill>
                  <w14:solidFill>
                    <w14:schemeClr w14:val="tx1"/>
                  </w14:solidFill>
                </w14:textFill>
              </w:rPr>
              <w:t>所在企业</w:t>
            </w:r>
          </w:p>
          <w:p>
            <w:pPr>
              <w:spacing w:before="157" w:line="222" w:lineRule="auto"/>
              <w:ind w:left="205"/>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6"/>
                <w:sz w:val="20"/>
                <w:szCs w:val="20"/>
                <w14:textFill>
                  <w14:solidFill>
                    <w14:schemeClr w14:val="tx1"/>
                  </w14:solidFill>
                </w14:textFill>
              </w:rPr>
              <w:t>在管项目</w:t>
            </w:r>
          </w:p>
          <w:p>
            <w:pPr>
              <w:spacing w:before="157" w:line="222" w:lineRule="auto"/>
              <w:ind w:left="207"/>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6"/>
                <w:sz w:val="20"/>
                <w:szCs w:val="20"/>
                <w14:textFill>
                  <w14:solidFill>
                    <w14:schemeClr w14:val="tx1"/>
                  </w14:solidFill>
                </w14:textFill>
              </w:rPr>
              <w:t>获优情况</w:t>
            </w:r>
          </w:p>
        </w:tc>
        <w:tc>
          <w:tcPr>
            <w:tcW w:w="2483" w:type="dxa"/>
            <w:vAlign w:val="top"/>
          </w:tcPr>
          <w:p>
            <w:pPr>
              <w:spacing w:before="143" w:line="224" w:lineRule="auto"/>
              <w:ind w:left="828"/>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6"/>
                <w:sz w:val="20"/>
                <w:szCs w:val="20"/>
                <w14:textFill>
                  <w14:solidFill>
                    <w14:schemeClr w14:val="tx1"/>
                  </w14:solidFill>
                </w14:textFill>
              </w:rPr>
              <w:t>项目名称</w:t>
            </w:r>
          </w:p>
        </w:tc>
        <w:tc>
          <w:tcPr>
            <w:tcW w:w="2255" w:type="dxa"/>
            <w:vAlign w:val="top"/>
          </w:tcPr>
          <w:p>
            <w:pPr>
              <w:spacing w:before="143" w:line="225" w:lineRule="auto"/>
              <w:ind w:left="925"/>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3"/>
                <w:sz w:val="20"/>
                <w:szCs w:val="20"/>
                <w14:textFill>
                  <w14:solidFill>
                    <w14:schemeClr w14:val="tx1"/>
                  </w14:solidFill>
                </w14:textFill>
              </w:rPr>
              <w:t>称号</w:t>
            </w:r>
          </w:p>
        </w:tc>
        <w:tc>
          <w:tcPr>
            <w:tcW w:w="3314" w:type="dxa"/>
            <w:vAlign w:val="top"/>
          </w:tcPr>
          <w:p>
            <w:pPr>
              <w:spacing w:before="143" w:line="223" w:lineRule="auto"/>
              <w:ind w:left="1471"/>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5"/>
                <w:sz w:val="20"/>
                <w:szCs w:val="20"/>
                <w14:textFill>
                  <w14:solidFill>
                    <w14:schemeClr w14:val="tx1"/>
                  </w14:solidFill>
                </w14:textFill>
              </w:rPr>
              <w:t>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37" w:type="dxa"/>
            <w:vMerge w:val="continue"/>
            <w:tcBorders>
              <w:top w:val="nil"/>
              <w:bottom w:val="nil"/>
            </w:tcBorders>
            <w:vAlign w:val="top"/>
          </w:tcPr>
          <w:p>
            <w:pPr>
              <w:pStyle w:val="11"/>
              <w:rPr>
                <w:color w:val="000000" w:themeColor="text1"/>
                <w14:textFill>
                  <w14:solidFill>
                    <w14:schemeClr w14:val="tx1"/>
                  </w14:solidFill>
                </w14:textFill>
              </w:rPr>
            </w:pPr>
          </w:p>
        </w:tc>
        <w:tc>
          <w:tcPr>
            <w:tcW w:w="2483" w:type="dxa"/>
            <w:vAlign w:val="top"/>
          </w:tcPr>
          <w:p>
            <w:pPr>
              <w:pStyle w:val="11"/>
              <w:rPr>
                <w:color w:val="000000" w:themeColor="text1"/>
                <w14:textFill>
                  <w14:solidFill>
                    <w14:schemeClr w14:val="tx1"/>
                  </w14:solidFill>
                </w14:textFill>
              </w:rPr>
            </w:pPr>
          </w:p>
        </w:tc>
        <w:tc>
          <w:tcPr>
            <w:tcW w:w="2255" w:type="dxa"/>
            <w:vAlign w:val="top"/>
          </w:tcPr>
          <w:p>
            <w:pPr>
              <w:pStyle w:val="11"/>
              <w:rPr>
                <w:color w:val="000000" w:themeColor="text1"/>
                <w14:textFill>
                  <w14:solidFill>
                    <w14:schemeClr w14:val="tx1"/>
                  </w14:solidFill>
                </w14:textFill>
              </w:rPr>
            </w:pPr>
          </w:p>
        </w:tc>
        <w:tc>
          <w:tcPr>
            <w:tcW w:w="3314" w:type="dxa"/>
            <w:vAlign w:val="top"/>
          </w:tcPr>
          <w:p>
            <w:pPr>
              <w:pStyle w:val="11"/>
              <w:rPr>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37" w:type="dxa"/>
            <w:vMerge w:val="continue"/>
            <w:tcBorders>
              <w:top w:val="nil"/>
              <w:bottom w:val="nil"/>
            </w:tcBorders>
            <w:vAlign w:val="top"/>
          </w:tcPr>
          <w:p>
            <w:pPr>
              <w:pStyle w:val="11"/>
              <w:rPr>
                <w:color w:val="000000" w:themeColor="text1"/>
                <w14:textFill>
                  <w14:solidFill>
                    <w14:schemeClr w14:val="tx1"/>
                  </w14:solidFill>
                </w14:textFill>
              </w:rPr>
            </w:pPr>
          </w:p>
        </w:tc>
        <w:tc>
          <w:tcPr>
            <w:tcW w:w="2483" w:type="dxa"/>
            <w:vAlign w:val="top"/>
          </w:tcPr>
          <w:p>
            <w:pPr>
              <w:pStyle w:val="11"/>
              <w:rPr>
                <w:color w:val="000000" w:themeColor="text1"/>
                <w14:textFill>
                  <w14:solidFill>
                    <w14:schemeClr w14:val="tx1"/>
                  </w14:solidFill>
                </w14:textFill>
              </w:rPr>
            </w:pPr>
          </w:p>
        </w:tc>
        <w:tc>
          <w:tcPr>
            <w:tcW w:w="2255" w:type="dxa"/>
            <w:vAlign w:val="top"/>
          </w:tcPr>
          <w:p>
            <w:pPr>
              <w:pStyle w:val="11"/>
              <w:rPr>
                <w:color w:val="000000" w:themeColor="text1"/>
                <w14:textFill>
                  <w14:solidFill>
                    <w14:schemeClr w14:val="tx1"/>
                  </w14:solidFill>
                </w14:textFill>
              </w:rPr>
            </w:pPr>
          </w:p>
        </w:tc>
        <w:tc>
          <w:tcPr>
            <w:tcW w:w="3314" w:type="dxa"/>
            <w:vAlign w:val="top"/>
          </w:tcPr>
          <w:p>
            <w:pPr>
              <w:pStyle w:val="11"/>
              <w:rPr>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37" w:type="dxa"/>
            <w:vMerge w:val="continue"/>
            <w:tcBorders>
              <w:top w:val="nil"/>
              <w:bottom w:val="nil"/>
            </w:tcBorders>
            <w:vAlign w:val="top"/>
          </w:tcPr>
          <w:p>
            <w:pPr>
              <w:pStyle w:val="11"/>
              <w:rPr>
                <w:color w:val="000000" w:themeColor="text1"/>
                <w14:textFill>
                  <w14:solidFill>
                    <w14:schemeClr w14:val="tx1"/>
                  </w14:solidFill>
                </w14:textFill>
              </w:rPr>
            </w:pPr>
          </w:p>
        </w:tc>
        <w:tc>
          <w:tcPr>
            <w:tcW w:w="2483" w:type="dxa"/>
            <w:vAlign w:val="top"/>
          </w:tcPr>
          <w:p>
            <w:pPr>
              <w:pStyle w:val="11"/>
              <w:rPr>
                <w:color w:val="000000" w:themeColor="text1"/>
                <w14:textFill>
                  <w14:solidFill>
                    <w14:schemeClr w14:val="tx1"/>
                  </w14:solidFill>
                </w14:textFill>
              </w:rPr>
            </w:pPr>
          </w:p>
        </w:tc>
        <w:tc>
          <w:tcPr>
            <w:tcW w:w="2255" w:type="dxa"/>
            <w:vAlign w:val="top"/>
          </w:tcPr>
          <w:p>
            <w:pPr>
              <w:pStyle w:val="11"/>
              <w:rPr>
                <w:color w:val="000000" w:themeColor="text1"/>
                <w14:textFill>
                  <w14:solidFill>
                    <w14:schemeClr w14:val="tx1"/>
                  </w14:solidFill>
                </w14:textFill>
              </w:rPr>
            </w:pPr>
          </w:p>
        </w:tc>
        <w:tc>
          <w:tcPr>
            <w:tcW w:w="3314" w:type="dxa"/>
            <w:vAlign w:val="top"/>
          </w:tcPr>
          <w:p>
            <w:pPr>
              <w:pStyle w:val="11"/>
              <w:rPr>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37" w:type="dxa"/>
            <w:vMerge w:val="continue"/>
            <w:tcBorders>
              <w:top w:val="nil"/>
              <w:bottom w:val="nil"/>
            </w:tcBorders>
            <w:vAlign w:val="top"/>
          </w:tcPr>
          <w:p>
            <w:pPr>
              <w:pStyle w:val="11"/>
              <w:rPr>
                <w:color w:val="000000" w:themeColor="text1"/>
                <w14:textFill>
                  <w14:solidFill>
                    <w14:schemeClr w14:val="tx1"/>
                  </w14:solidFill>
                </w14:textFill>
              </w:rPr>
            </w:pPr>
          </w:p>
        </w:tc>
        <w:tc>
          <w:tcPr>
            <w:tcW w:w="2483" w:type="dxa"/>
            <w:vAlign w:val="top"/>
          </w:tcPr>
          <w:p>
            <w:pPr>
              <w:pStyle w:val="11"/>
              <w:rPr>
                <w:color w:val="000000" w:themeColor="text1"/>
                <w14:textFill>
                  <w14:solidFill>
                    <w14:schemeClr w14:val="tx1"/>
                  </w14:solidFill>
                </w14:textFill>
              </w:rPr>
            </w:pPr>
          </w:p>
        </w:tc>
        <w:tc>
          <w:tcPr>
            <w:tcW w:w="2255" w:type="dxa"/>
            <w:vAlign w:val="top"/>
          </w:tcPr>
          <w:p>
            <w:pPr>
              <w:pStyle w:val="11"/>
              <w:rPr>
                <w:color w:val="000000" w:themeColor="text1"/>
                <w14:textFill>
                  <w14:solidFill>
                    <w14:schemeClr w14:val="tx1"/>
                  </w14:solidFill>
                </w14:textFill>
              </w:rPr>
            </w:pPr>
          </w:p>
        </w:tc>
        <w:tc>
          <w:tcPr>
            <w:tcW w:w="3314" w:type="dxa"/>
            <w:vAlign w:val="top"/>
          </w:tcPr>
          <w:p>
            <w:pPr>
              <w:pStyle w:val="11"/>
              <w:rPr>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37" w:type="dxa"/>
            <w:vMerge w:val="continue"/>
            <w:tcBorders>
              <w:top w:val="nil"/>
              <w:bottom w:val="nil"/>
            </w:tcBorders>
            <w:vAlign w:val="top"/>
          </w:tcPr>
          <w:p>
            <w:pPr>
              <w:pStyle w:val="11"/>
              <w:rPr>
                <w:color w:val="000000" w:themeColor="text1"/>
                <w14:textFill>
                  <w14:solidFill>
                    <w14:schemeClr w14:val="tx1"/>
                  </w14:solidFill>
                </w14:textFill>
              </w:rPr>
            </w:pPr>
          </w:p>
        </w:tc>
        <w:tc>
          <w:tcPr>
            <w:tcW w:w="2483" w:type="dxa"/>
            <w:vAlign w:val="top"/>
          </w:tcPr>
          <w:p>
            <w:pPr>
              <w:pStyle w:val="11"/>
              <w:rPr>
                <w:color w:val="000000" w:themeColor="text1"/>
                <w14:textFill>
                  <w14:solidFill>
                    <w14:schemeClr w14:val="tx1"/>
                  </w14:solidFill>
                </w14:textFill>
              </w:rPr>
            </w:pPr>
          </w:p>
        </w:tc>
        <w:tc>
          <w:tcPr>
            <w:tcW w:w="2255" w:type="dxa"/>
            <w:vAlign w:val="top"/>
          </w:tcPr>
          <w:p>
            <w:pPr>
              <w:pStyle w:val="11"/>
              <w:rPr>
                <w:color w:val="000000" w:themeColor="text1"/>
                <w14:textFill>
                  <w14:solidFill>
                    <w14:schemeClr w14:val="tx1"/>
                  </w14:solidFill>
                </w14:textFill>
              </w:rPr>
            </w:pPr>
          </w:p>
        </w:tc>
        <w:tc>
          <w:tcPr>
            <w:tcW w:w="3314" w:type="dxa"/>
            <w:vAlign w:val="top"/>
          </w:tcPr>
          <w:p>
            <w:pPr>
              <w:pStyle w:val="11"/>
              <w:rPr>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37" w:type="dxa"/>
            <w:vMerge w:val="continue"/>
            <w:tcBorders>
              <w:top w:val="nil"/>
              <w:bottom w:val="nil"/>
            </w:tcBorders>
            <w:vAlign w:val="top"/>
          </w:tcPr>
          <w:p>
            <w:pPr>
              <w:pStyle w:val="11"/>
              <w:rPr>
                <w:color w:val="000000" w:themeColor="text1"/>
                <w14:textFill>
                  <w14:solidFill>
                    <w14:schemeClr w14:val="tx1"/>
                  </w14:solidFill>
                </w14:textFill>
              </w:rPr>
            </w:pPr>
          </w:p>
        </w:tc>
        <w:tc>
          <w:tcPr>
            <w:tcW w:w="2483" w:type="dxa"/>
            <w:vAlign w:val="top"/>
          </w:tcPr>
          <w:p>
            <w:pPr>
              <w:pStyle w:val="11"/>
              <w:rPr>
                <w:color w:val="000000" w:themeColor="text1"/>
                <w14:textFill>
                  <w14:solidFill>
                    <w14:schemeClr w14:val="tx1"/>
                  </w14:solidFill>
                </w14:textFill>
              </w:rPr>
            </w:pPr>
          </w:p>
        </w:tc>
        <w:tc>
          <w:tcPr>
            <w:tcW w:w="2255" w:type="dxa"/>
            <w:vAlign w:val="top"/>
          </w:tcPr>
          <w:p>
            <w:pPr>
              <w:pStyle w:val="11"/>
              <w:rPr>
                <w:color w:val="000000" w:themeColor="text1"/>
                <w14:textFill>
                  <w14:solidFill>
                    <w14:schemeClr w14:val="tx1"/>
                  </w14:solidFill>
                </w14:textFill>
              </w:rPr>
            </w:pPr>
          </w:p>
        </w:tc>
        <w:tc>
          <w:tcPr>
            <w:tcW w:w="3314" w:type="dxa"/>
            <w:vAlign w:val="top"/>
          </w:tcPr>
          <w:p>
            <w:pPr>
              <w:pStyle w:val="11"/>
              <w:rPr>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37" w:type="dxa"/>
            <w:vMerge w:val="continue"/>
            <w:tcBorders>
              <w:top w:val="nil"/>
              <w:bottom w:val="nil"/>
            </w:tcBorders>
            <w:vAlign w:val="top"/>
          </w:tcPr>
          <w:p>
            <w:pPr>
              <w:pStyle w:val="11"/>
              <w:rPr>
                <w:color w:val="000000" w:themeColor="text1"/>
                <w14:textFill>
                  <w14:solidFill>
                    <w14:schemeClr w14:val="tx1"/>
                  </w14:solidFill>
                </w14:textFill>
              </w:rPr>
            </w:pPr>
          </w:p>
        </w:tc>
        <w:tc>
          <w:tcPr>
            <w:tcW w:w="2483" w:type="dxa"/>
            <w:vAlign w:val="top"/>
          </w:tcPr>
          <w:p>
            <w:pPr>
              <w:pStyle w:val="11"/>
              <w:rPr>
                <w:color w:val="000000" w:themeColor="text1"/>
                <w14:textFill>
                  <w14:solidFill>
                    <w14:schemeClr w14:val="tx1"/>
                  </w14:solidFill>
                </w14:textFill>
              </w:rPr>
            </w:pPr>
          </w:p>
        </w:tc>
        <w:tc>
          <w:tcPr>
            <w:tcW w:w="2255" w:type="dxa"/>
            <w:vAlign w:val="top"/>
          </w:tcPr>
          <w:p>
            <w:pPr>
              <w:pStyle w:val="11"/>
              <w:rPr>
                <w:color w:val="000000" w:themeColor="text1"/>
                <w14:textFill>
                  <w14:solidFill>
                    <w14:schemeClr w14:val="tx1"/>
                  </w14:solidFill>
                </w14:textFill>
              </w:rPr>
            </w:pPr>
          </w:p>
        </w:tc>
        <w:tc>
          <w:tcPr>
            <w:tcW w:w="3314" w:type="dxa"/>
            <w:vAlign w:val="top"/>
          </w:tcPr>
          <w:p>
            <w:pPr>
              <w:pStyle w:val="11"/>
              <w:rPr>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37" w:type="dxa"/>
            <w:vMerge w:val="continue"/>
            <w:tcBorders>
              <w:top w:val="nil"/>
            </w:tcBorders>
            <w:vAlign w:val="top"/>
          </w:tcPr>
          <w:p>
            <w:pPr>
              <w:pStyle w:val="11"/>
              <w:rPr>
                <w:color w:val="000000" w:themeColor="text1"/>
                <w14:textFill>
                  <w14:solidFill>
                    <w14:schemeClr w14:val="tx1"/>
                  </w14:solidFill>
                </w14:textFill>
              </w:rPr>
            </w:pPr>
          </w:p>
        </w:tc>
        <w:tc>
          <w:tcPr>
            <w:tcW w:w="2483" w:type="dxa"/>
            <w:vAlign w:val="top"/>
          </w:tcPr>
          <w:p>
            <w:pPr>
              <w:pStyle w:val="11"/>
              <w:rPr>
                <w:color w:val="000000" w:themeColor="text1"/>
                <w14:textFill>
                  <w14:solidFill>
                    <w14:schemeClr w14:val="tx1"/>
                  </w14:solidFill>
                </w14:textFill>
              </w:rPr>
            </w:pPr>
          </w:p>
        </w:tc>
        <w:tc>
          <w:tcPr>
            <w:tcW w:w="2255" w:type="dxa"/>
            <w:vAlign w:val="top"/>
          </w:tcPr>
          <w:p>
            <w:pPr>
              <w:pStyle w:val="11"/>
              <w:rPr>
                <w:color w:val="000000" w:themeColor="text1"/>
                <w14:textFill>
                  <w14:solidFill>
                    <w14:schemeClr w14:val="tx1"/>
                  </w14:solidFill>
                </w14:textFill>
              </w:rPr>
            </w:pPr>
          </w:p>
        </w:tc>
        <w:tc>
          <w:tcPr>
            <w:tcW w:w="3314" w:type="dxa"/>
            <w:vAlign w:val="top"/>
          </w:tcPr>
          <w:p>
            <w:pPr>
              <w:pStyle w:val="11"/>
              <w:rPr>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1237" w:type="dxa"/>
            <w:vAlign w:val="top"/>
          </w:tcPr>
          <w:p>
            <w:pPr>
              <w:pStyle w:val="11"/>
              <w:spacing w:line="278" w:lineRule="auto"/>
              <w:rPr>
                <w:color w:val="000000" w:themeColor="text1"/>
                <w14:textFill>
                  <w14:solidFill>
                    <w14:schemeClr w14:val="tx1"/>
                  </w14:solidFill>
                </w14:textFill>
              </w:rPr>
            </w:pPr>
          </w:p>
          <w:p>
            <w:pPr>
              <w:pStyle w:val="11"/>
              <w:spacing w:line="278" w:lineRule="auto"/>
              <w:rPr>
                <w:color w:val="000000" w:themeColor="text1"/>
                <w14:textFill>
                  <w14:solidFill>
                    <w14:schemeClr w14:val="tx1"/>
                  </w14:solidFill>
                </w14:textFill>
              </w:rPr>
            </w:pPr>
          </w:p>
          <w:p>
            <w:pPr>
              <w:pStyle w:val="11"/>
              <w:spacing w:line="279" w:lineRule="auto"/>
              <w:rPr>
                <w:color w:val="000000" w:themeColor="text1"/>
                <w14:textFill>
                  <w14:solidFill>
                    <w14:schemeClr w14:val="tx1"/>
                  </w14:solidFill>
                </w14:textFill>
              </w:rPr>
            </w:pPr>
          </w:p>
          <w:p>
            <w:pPr>
              <w:spacing w:before="65" w:line="224" w:lineRule="auto"/>
              <w:ind w:left="203"/>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7"/>
                <w:sz w:val="20"/>
                <w:szCs w:val="20"/>
                <w14:textFill>
                  <w14:solidFill>
                    <w14:schemeClr w14:val="tx1"/>
                  </w14:solidFill>
                </w14:textFill>
              </w:rPr>
              <w:t>本人承诺</w:t>
            </w:r>
          </w:p>
        </w:tc>
        <w:tc>
          <w:tcPr>
            <w:tcW w:w="8052" w:type="dxa"/>
            <w:gridSpan w:val="3"/>
            <w:vAlign w:val="top"/>
          </w:tcPr>
          <w:p>
            <w:pPr>
              <w:spacing w:before="79" w:line="295" w:lineRule="auto"/>
              <w:ind w:left="118" w:right="110" w:firstLine="412"/>
              <w:jc w:val="both"/>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12"/>
                <w:sz w:val="20"/>
                <w:szCs w:val="20"/>
                <w14:textFill>
                  <w14:solidFill>
                    <w14:schemeClr w14:val="tx1"/>
                  </w14:solidFill>
                </w14:textFill>
              </w:rPr>
              <w:t>本人郑重承诺：我已在填写本表前认真阅读</w:t>
            </w:r>
            <w:r>
              <w:rPr>
                <w:rFonts w:ascii="FangSong_GB2312" w:hAnsi="FangSong_GB2312" w:eastAsia="FangSong_GB2312" w:cs="FangSong_GB2312"/>
                <w:color w:val="000000" w:themeColor="text1"/>
                <w:spacing w:val="11"/>
                <w:sz w:val="20"/>
                <w:szCs w:val="20"/>
                <w14:textFill>
                  <w14:solidFill>
                    <w14:schemeClr w14:val="tx1"/>
                  </w14:solidFill>
                </w14:textFill>
              </w:rPr>
              <w:t>《珠海市物业管理行业专家库管理办</w:t>
            </w:r>
            <w:r>
              <w:rPr>
                <w:rFonts w:ascii="FangSong_GB2312" w:hAnsi="FangSong_GB2312" w:eastAsia="FangSong_GB2312" w:cs="FangSong_GB2312"/>
                <w:color w:val="000000" w:themeColor="text1"/>
                <w:sz w:val="20"/>
                <w:szCs w:val="20"/>
                <w14:textFill>
                  <w14:solidFill>
                    <w14:schemeClr w14:val="tx1"/>
                  </w14:solidFill>
                </w14:textFill>
              </w:rPr>
              <w:t xml:space="preserve"> </w:t>
            </w:r>
            <w:r>
              <w:rPr>
                <w:rFonts w:ascii="FangSong_GB2312" w:hAnsi="FangSong_GB2312" w:eastAsia="FangSong_GB2312" w:cs="FangSong_GB2312"/>
                <w:color w:val="000000" w:themeColor="text1"/>
                <w:spacing w:val="10"/>
                <w:sz w:val="20"/>
                <w:szCs w:val="20"/>
                <w14:textFill>
                  <w14:solidFill>
                    <w14:schemeClr w14:val="tx1"/>
                  </w14:solidFill>
                </w14:textFill>
              </w:rPr>
              <w:t>法》</w:t>
            </w:r>
            <w:r>
              <w:rPr>
                <w:rFonts w:ascii="FangSong_GB2312" w:hAnsi="FangSong_GB2312" w:eastAsia="FangSong_GB2312" w:cs="FangSong_GB2312"/>
                <w:color w:val="000000" w:themeColor="text1"/>
                <w:spacing w:val="-54"/>
                <w:sz w:val="20"/>
                <w:szCs w:val="20"/>
                <w14:textFill>
                  <w14:solidFill>
                    <w14:schemeClr w14:val="tx1"/>
                  </w14:solidFill>
                </w14:textFill>
              </w:rPr>
              <w:t xml:space="preserve"> </w:t>
            </w:r>
            <w:r>
              <w:rPr>
                <w:rFonts w:ascii="FangSong_GB2312" w:hAnsi="FangSong_GB2312" w:eastAsia="FangSong_GB2312" w:cs="FangSong_GB2312"/>
                <w:color w:val="000000" w:themeColor="text1"/>
                <w:spacing w:val="10"/>
                <w:sz w:val="20"/>
                <w:szCs w:val="20"/>
                <w14:textFill>
                  <w14:solidFill>
                    <w14:schemeClr w14:val="tx1"/>
                  </w14:solidFill>
                </w14:textFill>
              </w:rPr>
              <w:t>，本表填写的内容和所提交的相关资料真实，有效，如有不实，愿意依法依规接</w:t>
            </w:r>
            <w:r>
              <w:rPr>
                <w:rFonts w:ascii="FangSong_GB2312" w:hAnsi="FangSong_GB2312" w:eastAsia="FangSong_GB2312" w:cs="FangSong_GB2312"/>
                <w:color w:val="000000" w:themeColor="text1"/>
                <w:sz w:val="20"/>
                <w:szCs w:val="20"/>
                <w14:textFill>
                  <w14:solidFill>
                    <w14:schemeClr w14:val="tx1"/>
                  </w14:solidFill>
                </w14:textFill>
              </w:rPr>
              <w:t xml:space="preserve"> </w:t>
            </w:r>
            <w:r>
              <w:rPr>
                <w:rFonts w:ascii="FangSong_GB2312" w:hAnsi="FangSong_GB2312" w:eastAsia="FangSong_GB2312" w:cs="FangSong_GB2312"/>
                <w:color w:val="000000" w:themeColor="text1"/>
                <w:spacing w:val="8"/>
                <w:sz w:val="20"/>
                <w:szCs w:val="20"/>
                <w14:textFill>
                  <w14:solidFill>
                    <w14:schemeClr w14:val="tx1"/>
                  </w14:solidFill>
                </w14:textFill>
              </w:rPr>
              <w:t>受主管部门的处理和承担相关责任。</w:t>
            </w:r>
          </w:p>
          <w:p>
            <w:pPr>
              <w:pStyle w:val="11"/>
              <w:spacing w:line="255" w:lineRule="auto"/>
              <w:rPr>
                <w:color w:val="000000" w:themeColor="text1"/>
                <w14:textFill>
                  <w14:solidFill>
                    <w14:schemeClr w14:val="tx1"/>
                  </w14:solidFill>
                </w14:textFill>
              </w:rPr>
            </w:pPr>
          </w:p>
          <w:p>
            <w:pPr>
              <w:spacing w:before="65" w:line="222" w:lineRule="auto"/>
              <w:ind w:left="5007"/>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3"/>
                <w:sz w:val="20"/>
                <w:szCs w:val="20"/>
                <w14:textFill>
                  <w14:solidFill>
                    <w14:schemeClr w14:val="tx1"/>
                  </w14:solidFill>
                </w14:textFill>
              </w:rPr>
              <w:t>申请人（签章）：</w:t>
            </w:r>
          </w:p>
          <w:p>
            <w:pPr>
              <w:spacing w:before="78" w:line="216" w:lineRule="auto"/>
              <w:ind w:left="6004"/>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4"/>
                <w:sz w:val="20"/>
                <w:szCs w:val="20"/>
                <w14:textFill>
                  <w14:solidFill>
                    <w14:schemeClr w14:val="tx1"/>
                  </w14:solidFill>
                </w14:textFill>
              </w:rPr>
              <w:t>20</w:t>
            </w:r>
            <w:r>
              <w:rPr>
                <w:rFonts w:ascii="FangSong_GB2312" w:hAnsi="FangSong_GB2312" w:eastAsia="FangSong_GB2312" w:cs="FangSong_GB2312"/>
                <w:color w:val="000000" w:themeColor="text1"/>
                <w:spacing w:val="10"/>
                <w:sz w:val="20"/>
                <w:szCs w:val="20"/>
                <w14:textFill>
                  <w14:solidFill>
                    <w14:schemeClr w14:val="tx1"/>
                  </w14:solidFill>
                </w14:textFill>
              </w:rPr>
              <w:t xml:space="preserve">  </w:t>
            </w:r>
            <w:r>
              <w:rPr>
                <w:rFonts w:ascii="FangSong_GB2312" w:hAnsi="FangSong_GB2312" w:eastAsia="FangSong_GB2312" w:cs="FangSong_GB2312"/>
                <w:color w:val="000000" w:themeColor="text1"/>
                <w:spacing w:val="-4"/>
                <w:sz w:val="20"/>
                <w:szCs w:val="20"/>
                <w14:textFill>
                  <w14:solidFill>
                    <w14:schemeClr w14:val="tx1"/>
                  </w14:solidFill>
                </w14:textFill>
              </w:rPr>
              <w:t>年</w:t>
            </w:r>
            <w:r>
              <w:rPr>
                <w:rFonts w:ascii="FangSong_GB2312" w:hAnsi="FangSong_GB2312" w:eastAsia="FangSong_GB2312" w:cs="FangSong_GB2312"/>
                <w:color w:val="000000" w:themeColor="text1"/>
                <w:spacing w:val="15"/>
                <w:sz w:val="20"/>
                <w:szCs w:val="20"/>
                <w14:textFill>
                  <w14:solidFill>
                    <w14:schemeClr w14:val="tx1"/>
                  </w14:solidFill>
                </w14:textFill>
              </w:rPr>
              <w:t xml:space="preserve">  </w:t>
            </w:r>
            <w:r>
              <w:rPr>
                <w:rFonts w:ascii="FangSong_GB2312" w:hAnsi="FangSong_GB2312" w:eastAsia="FangSong_GB2312" w:cs="FangSong_GB2312"/>
                <w:color w:val="000000" w:themeColor="text1"/>
                <w:spacing w:val="-4"/>
                <w:sz w:val="20"/>
                <w:szCs w:val="20"/>
                <w14:textFill>
                  <w14:solidFill>
                    <w14:schemeClr w14:val="tx1"/>
                  </w14:solidFill>
                </w14:textFill>
              </w:rPr>
              <w:t>月</w:t>
            </w:r>
            <w:r>
              <w:rPr>
                <w:rFonts w:ascii="FangSong_GB2312" w:hAnsi="FangSong_GB2312" w:eastAsia="FangSong_GB2312" w:cs="FangSong_GB2312"/>
                <w:color w:val="000000" w:themeColor="text1"/>
                <w:spacing w:val="30"/>
                <w:sz w:val="20"/>
                <w:szCs w:val="20"/>
                <w14:textFill>
                  <w14:solidFill>
                    <w14:schemeClr w14:val="tx1"/>
                  </w14:solidFill>
                </w14:textFill>
              </w:rPr>
              <w:t xml:space="preserve">  </w:t>
            </w:r>
            <w:r>
              <w:rPr>
                <w:rFonts w:ascii="FangSong_GB2312" w:hAnsi="FangSong_GB2312" w:eastAsia="FangSong_GB2312" w:cs="FangSong_GB2312"/>
                <w:color w:val="000000" w:themeColor="text1"/>
                <w:spacing w:val="-4"/>
                <w:sz w:val="20"/>
                <w:szCs w:val="20"/>
                <w14:textFill>
                  <w14:solidFill>
                    <w14:schemeClr w14:val="tx1"/>
                  </w14:solidFill>
                </w14:textFill>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237" w:type="dxa"/>
            <w:vAlign w:val="top"/>
          </w:tcPr>
          <w:p>
            <w:pPr>
              <w:pStyle w:val="11"/>
              <w:spacing w:line="477" w:lineRule="auto"/>
              <w:rPr>
                <w:color w:val="000000" w:themeColor="text1"/>
                <w14:textFill>
                  <w14:solidFill>
                    <w14:schemeClr w14:val="tx1"/>
                  </w14:solidFill>
                </w14:textFill>
              </w:rPr>
            </w:pPr>
          </w:p>
          <w:p>
            <w:pPr>
              <w:spacing w:before="65" w:line="222" w:lineRule="auto"/>
              <w:ind w:left="204"/>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7"/>
                <w:sz w:val="20"/>
                <w:szCs w:val="20"/>
                <w14:textFill>
                  <w14:solidFill>
                    <w14:schemeClr w14:val="tx1"/>
                  </w14:solidFill>
                </w14:textFill>
              </w:rPr>
              <w:t>所在服务</w:t>
            </w:r>
          </w:p>
          <w:p>
            <w:pPr>
              <w:spacing w:before="157" w:line="222" w:lineRule="auto"/>
              <w:ind w:left="208"/>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6"/>
                <w:sz w:val="20"/>
                <w:szCs w:val="20"/>
                <w14:textFill>
                  <w14:solidFill>
                    <w14:schemeClr w14:val="tx1"/>
                  </w14:solidFill>
                </w14:textFill>
              </w:rPr>
              <w:t>单位意见</w:t>
            </w:r>
          </w:p>
        </w:tc>
        <w:tc>
          <w:tcPr>
            <w:tcW w:w="8052" w:type="dxa"/>
            <w:gridSpan w:val="3"/>
            <w:vAlign w:val="top"/>
          </w:tcPr>
          <w:p>
            <w:pPr>
              <w:pStyle w:val="11"/>
              <w:spacing w:line="291" w:lineRule="auto"/>
              <w:rPr>
                <w:color w:val="000000" w:themeColor="text1"/>
                <w14:textFill>
                  <w14:solidFill>
                    <w14:schemeClr w14:val="tx1"/>
                  </w14:solidFill>
                </w14:textFill>
              </w:rPr>
            </w:pPr>
          </w:p>
          <w:p>
            <w:pPr>
              <w:pStyle w:val="11"/>
              <w:spacing w:line="291" w:lineRule="auto"/>
              <w:rPr>
                <w:color w:val="000000" w:themeColor="text1"/>
                <w14:textFill>
                  <w14:solidFill>
                    <w14:schemeClr w14:val="tx1"/>
                  </w14:solidFill>
                </w14:textFill>
              </w:rPr>
            </w:pPr>
          </w:p>
          <w:p>
            <w:pPr>
              <w:pStyle w:val="11"/>
              <w:spacing w:line="291" w:lineRule="auto"/>
              <w:rPr>
                <w:color w:val="000000" w:themeColor="text1"/>
                <w14:textFill>
                  <w14:solidFill>
                    <w14:schemeClr w14:val="tx1"/>
                  </w14:solidFill>
                </w14:textFill>
              </w:rPr>
            </w:pPr>
          </w:p>
          <w:p>
            <w:pPr>
              <w:spacing w:before="65" w:line="222" w:lineRule="auto"/>
              <w:ind w:left="5156"/>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7"/>
                <w:sz w:val="20"/>
                <w:szCs w:val="20"/>
                <w14:textFill>
                  <w14:solidFill>
                    <w14:schemeClr w14:val="tx1"/>
                  </w14:solidFill>
                </w14:textFill>
              </w:rPr>
              <w:t>单位（盖章</w:t>
            </w:r>
            <w:r>
              <w:rPr>
                <w:rFonts w:ascii="FangSong_GB2312" w:hAnsi="FangSong_GB2312" w:eastAsia="FangSong_GB2312" w:cs="FangSong_GB2312"/>
                <w:color w:val="000000" w:themeColor="text1"/>
                <w:spacing w:val="2"/>
                <w:sz w:val="20"/>
                <w:szCs w:val="20"/>
                <w14:textFill>
                  <w14:solidFill>
                    <w14:schemeClr w14:val="tx1"/>
                  </w14:solidFill>
                </w14:textFill>
              </w:rPr>
              <w:t>）：</w:t>
            </w:r>
          </w:p>
          <w:p>
            <w:pPr>
              <w:spacing w:before="160" w:line="223" w:lineRule="auto"/>
              <w:ind w:left="6316"/>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4"/>
                <w:sz w:val="20"/>
                <w:szCs w:val="20"/>
                <w14:textFill>
                  <w14:solidFill>
                    <w14:schemeClr w14:val="tx1"/>
                  </w14:solidFill>
                </w14:textFill>
              </w:rPr>
              <w:t>20</w:t>
            </w:r>
            <w:r>
              <w:rPr>
                <w:rFonts w:ascii="FangSong_GB2312" w:hAnsi="FangSong_GB2312" w:eastAsia="FangSong_GB2312" w:cs="FangSong_GB2312"/>
                <w:color w:val="000000" w:themeColor="text1"/>
                <w:spacing w:val="10"/>
                <w:sz w:val="20"/>
                <w:szCs w:val="20"/>
                <w14:textFill>
                  <w14:solidFill>
                    <w14:schemeClr w14:val="tx1"/>
                  </w14:solidFill>
                </w14:textFill>
              </w:rPr>
              <w:t xml:space="preserve">  </w:t>
            </w:r>
            <w:r>
              <w:rPr>
                <w:rFonts w:ascii="FangSong_GB2312" w:hAnsi="FangSong_GB2312" w:eastAsia="FangSong_GB2312" w:cs="FangSong_GB2312"/>
                <w:color w:val="000000" w:themeColor="text1"/>
                <w:spacing w:val="-4"/>
                <w:sz w:val="20"/>
                <w:szCs w:val="20"/>
                <w14:textFill>
                  <w14:solidFill>
                    <w14:schemeClr w14:val="tx1"/>
                  </w14:solidFill>
                </w14:textFill>
              </w:rPr>
              <w:t>年</w:t>
            </w:r>
            <w:r>
              <w:rPr>
                <w:rFonts w:ascii="FangSong_GB2312" w:hAnsi="FangSong_GB2312" w:eastAsia="FangSong_GB2312" w:cs="FangSong_GB2312"/>
                <w:color w:val="000000" w:themeColor="text1"/>
                <w:spacing w:val="15"/>
                <w:sz w:val="20"/>
                <w:szCs w:val="20"/>
                <w14:textFill>
                  <w14:solidFill>
                    <w14:schemeClr w14:val="tx1"/>
                  </w14:solidFill>
                </w14:textFill>
              </w:rPr>
              <w:t xml:space="preserve">  </w:t>
            </w:r>
            <w:r>
              <w:rPr>
                <w:rFonts w:ascii="FangSong_GB2312" w:hAnsi="FangSong_GB2312" w:eastAsia="FangSong_GB2312" w:cs="FangSong_GB2312"/>
                <w:color w:val="000000" w:themeColor="text1"/>
                <w:spacing w:val="-4"/>
                <w:sz w:val="20"/>
                <w:szCs w:val="20"/>
                <w14:textFill>
                  <w14:solidFill>
                    <w14:schemeClr w14:val="tx1"/>
                  </w14:solidFill>
                </w14:textFill>
              </w:rPr>
              <w:t>月</w:t>
            </w:r>
            <w:r>
              <w:rPr>
                <w:rFonts w:ascii="FangSong_GB2312" w:hAnsi="FangSong_GB2312" w:eastAsia="FangSong_GB2312" w:cs="FangSong_GB2312"/>
                <w:color w:val="000000" w:themeColor="text1"/>
                <w:spacing w:val="30"/>
                <w:sz w:val="20"/>
                <w:szCs w:val="20"/>
                <w14:textFill>
                  <w14:solidFill>
                    <w14:schemeClr w14:val="tx1"/>
                  </w14:solidFill>
                </w14:textFill>
              </w:rPr>
              <w:t xml:space="preserve">  </w:t>
            </w:r>
            <w:r>
              <w:rPr>
                <w:rFonts w:ascii="FangSong_GB2312" w:hAnsi="FangSong_GB2312" w:eastAsia="FangSong_GB2312" w:cs="FangSong_GB2312"/>
                <w:color w:val="000000" w:themeColor="text1"/>
                <w:spacing w:val="-4"/>
                <w:sz w:val="20"/>
                <w:szCs w:val="20"/>
                <w14:textFill>
                  <w14:solidFill>
                    <w14:schemeClr w14:val="tx1"/>
                  </w14:solidFill>
                </w14:textFill>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9" w:hRule="atLeast"/>
        </w:trPr>
        <w:tc>
          <w:tcPr>
            <w:tcW w:w="1237" w:type="dxa"/>
            <w:vAlign w:val="top"/>
          </w:tcPr>
          <w:p>
            <w:pPr>
              <w:pStyle w:val="11"/>
              <w:spacing w:line="479" w:lineRule="auto"/>
              <w:rPr>
                <w:color w:val="000000" w:themeColor="text1"/>
                <w14:textFill>
                  <w14:solidFill>
                    <w14:schemeClr w14:val="tx1"/>
                  </w14:solidFill>
                </w14:textFill>
              </w:rPr>
            </w:pPr>
          </w:p>
          <w:p>
            <w:pPr>
              <w:spacing w:before="65" w:line="224" w:lineRule="auto"/>
              <w:ind w:left="212"/>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5"/>
                <w:sz w:val="20"/>
                <w:szCs w:val="20"/>
                <w14:textFill>
                  <w14:solidFill>
                    <w14:schemeClr w14:val="tx1"/>
                  </w14:solidFill>
                </w14:textFill>
              </w:rPr>
              <w:t>市物业行</w:t>
            </w:r>
          </w:p>
          <w:p>
            <w:pPr>
              <w:spacing w:before="155" w:line="222" w:lineRule="auto"/>
              <w:ind w:left="313"/>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5"/>
                <w:sz w:val="20"/>
                <w:szCs w:val="20"/>
                <w14:textFill>
                  <w14:solidFill>
                    <w14:schemeClr w14:val="tx1"/>
                  </w14:solidFill>
                </w14:textFill>
              </w:rPr>
              <w:t>政主管</w:t>
            </w:r>
          </w:p>
          <w:p>
            <w:pPr>
              <w:spacing w:before="160" w:line="228" w:lineRule="auto"/>
              <w:ind w:left="203"/>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7"/>
                <w:sz w:val="20"/>
                <w:szCs w:val="20"/>
                <w14:textFill>
                  <w14:solidFill>
                    <w14:schemeClr w14:val="tx1"/>
                  </w14:solidFill>
                </w14:textFill>
              </w:rPr>
              <w:t>部门意见</w:t>
            </w:r>
          </w:p>
        </w:tc>
        <w:tc>
          <w:tcPr>
            <w:tcW w:w="8052" w:type="dxa"/>
            <w:gridSpan w:val="3"/>
            <w:vAlign w:val="top"/>
          </w:tcPr>
          <w:p>
            <w:pPr>
              <w:pStyle w:val="11"/>
              <w:spacing w:line="291" w:lineRule="auto"/>
              <w:rPr>
                <w:color w:val="000000" w:themeColor="text1"/>
                <w14:textFill>
                  <w14:solidFill>
                    <w14:schemeClr w14:val="tx1"/>
                  </w14:solidFill>
                </w14:textFill>
              </w:rPr>
            </w:pPr>
          </w:p>
          <w:p>
            <w:pPr>
              <w:pStyle w:val="11"/>
              <w:spacing w:line="292" w:lineRule="auto"/>
              <w:rPr>
                <w:color w:val="000000" w:themeColor="text1"/>
                <w14:textFill>
                  <w14:solidFill>
                    <w14:schemeClr w14:val="tx1"/>
                  </w14:solidFill>
                </w14:textFill>
              </w:rPr>
            </w:pPr>
          </w:p>
          <w:p>
            <w:pPr>
              <w:pStyle w:val="11"/>
              <w:spacing w:line="292" w:lineRule="auto"/>
              <w:rPr>
                <w:color w:val="000000" w:themeColor="text1"/>
                <w14:textFill>
                  <w14:solidFill>
                    <w14:schemeClr w14:val="tx1"/>
                  </w14:solidFill>
                </w14:textFill>
              </w:rPr>
            </w:pPr>
          </w:p>
          <w:p>
            <w:pPr>
              <w:spacing w:before="65" w:line="222" w:lineRule="auto"/>
              <w:ind w:left="5156"/>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7"/>
                <w:sz w:val="20"/>
                <w:szCs w:val="20"/>
                <w14:textFill>
                  <w14:solidFill>
                    <w14:schemeClr w14:val="tx1"/>
                  </w14:solidFill>
                </w14:textFill>
              </w:rPr>
              <w:t>单位（盖章</w:t>
            </w:r>
            <w:r>
              <w:rPr>
                <w:rFonts w:ascii="FangSong_GB2312" w:hAnsi="FangSong_GB2312" w:eastAsia="FangSong_GB2312" w:cs="FangSong_GB2312"/>
                <w:color w:val="000000" w:themeColor="text1"/>
                <w:spacing w:val="2"/>
                <w:sz w:val="20"/>
                <w:szCs w:val="20"/>
                <w14:textFill>
                  <w14:solidFill>
                    <w14:schemeClr w14:val="tx1"/>
                  </w14:solidFill>
                </w14:textFill>
              </w:rPr>
              <w:t>）：</w:t>
            </w:r>
          </w:p>
          <w:p>
            <w:pPr>
              <w:pStyle w:val="11"/>
              <w:spacing w:line="246" w:lineRule="auto"/>
              <w:rPr>
                <w:color w:val="000000" w:themeColor="text1"/>
                <w14:textFill>
                  <w14:solidFill>
                    <w14:schemeClr w14:val="tx1"/>
                  </w14:solidFill>
                </w14:textFill>
              </w:rPr>
            </w:pPr>
          </w:p>
          <w:p>
            <w:pPr>
              <w:pStyle w:val="11"/>
              <w:spacing w:line="247" w:lineRule="auto"/>
              <w:rPr>
                <w:color w:val="000000" w:themeColor="text1"/>
                <w14:textFill>
                  <w14:solidFill>
                    <w14:schemeClr w14:val="tx1"/>
                  </w14:solidFill>
                </w14:textFill>
              </w:rPr>
            </w:pPr>
          </w:p>
          <w:p>
            <w:pPr>
              <w:spacing w:before="65" w:line="223" w:lineRule="auto"/>
              <w:ind w:left="3277"/>
              <w:rPr>
                <w:rFonts w:ascii="FangSong_GB2312" w:hAnsi="FangSong_GB2312" w:eastAsia="FangSong_GB2312" w:cs="FangSong_GB2312"/>
                <w:color w:val="000000" w:themeColor="text1"/>
                <w:sz w:val="20"/>
                <w:szCs w:val="20"/>
                <w14:textFill>
                  <w14:solidFill>
                    <w14:schemeClr w14:val="tx1"/>
                  </w14:solidFill>
                </w14:textFill>
              </w:rPr>
            </w:pPr>
            <w:r>
              <w:rPr>
                <w:rFonts w:ascii="FangSong_GB2312" w:hAnsi="FangSong_GB2312" w:eastAsia="FangSong_GB2312" w:cs="FangSong_GB2312"/>
                <w:color w:val="000000" w:themeColor="text1"/>
                <w:spacing w:val="-4"/>
                <w:sz w:val="20"/>
                <w:szCs w:val="20"/>
                <w14:textFill>
                  <w14:solidFill>
                    <w14:schemeClr w14:val="tx1"/>
                  </w14:solidFill>
                </w14:textFill>
              </w:rPr>
              <w:t>20</w:t>
            </w:r>
            <w:r>
              <w:rPr>
                <w:rFonts w:ascii="FangSong_GB2312" w:hAnsi="FangSong_GB2312" w:eastAsia="FangSong_GB2312" w:cs="FangSong_GB2312"/>
                <w:color w:val="000000" w:themeColor="text1"/>
                <w:spacing w:val="-37"/>
                <w:sz w:val="20"/>
                <w:szCs w:val="20"/>
                <w14:textFill>
                  <w14:solidFill>
                    <w14:schemeClr w14:val="tx1"/>
                  </w14:solidFill>
                </w14:textFill>
              </w:rPr>
              <w:t xml:space="preserve"> </w:t>
            </w:r>
            <w:r>
              <w:rPr>
                <w:rFonts w:ascii="FangSong_GB2312" w:hAnsi="FangSong_GB2312" w:eastAsia="FangSong_GB2312" w:cs="FangSong_GB2312"/>
                <w:color w:val="000000" w:themeColor="text1"/>
                <w:spacing w:val="-4"/>
                <w:sz w:val="20"/>
                <w:szCs w:val="20"/>
                <w14:textFill>
                  <w14:solidFill>
                    <w14:schemeClr w14:val="tx1"/>
                  </w14:solidFill>
                </w14:textFill>
              </w:rPr>
              <w:t>年</w:t>
            </w:r>
            <w:r>
              <w:rPr>
                <w:rFonts w:ascii="FangSong_GB2312" w:hAnsi="FangSong_GB2312" w:eastAsia="FangSong_GB2312" w:cs="FangSong_GB2312"/>
                <w:color w:val="000000" w:themeColor="text1"/>
                <w:spacing w:val="11"/>
                <w:sz w:val="20"/>
                <w:szCs w:val="20"/>
                <w14:textFill>
                  <w14:solidFill>
                    <w14:schemeClr w14:val="tx1"/>
                  </w14:solidFill>
                </w14:textFill>
              </w:rPr>
              <w:t xml:space="preserve">   </w:t>
            </w:r>
            <w:r>
              <w:rPr>
                <w:rFonts w:ascii="FangSong_GB2312" w:hAnsi="FangSong_GB2312" w:eastAsia="FangSong_GB2312" w:cs="FangSong_GB2312"/>
                <w:color w:val="000000" w:themeColor="text1"/>
                <w:spacing w:val="-4"/>
                <w:sz w:val="20"/>
                <w:szCs w:val="20"/>
                <w14:textFill>
                  <w14:solidFill>
                    <w14:schemeClr w14:val="tx1"/>
                  </w14:solidFill>
                </w14:textFill>
              </w:rPr>
              <w:t>月</w:t>
            </w:r>
            <w:r>
              <w:rPr>
                <w:rFonts w:ascii="FangSong_GB2312" w:hAnsi="FangSong_GB2312" w:eastAsia="FangSong_GB2312" w:cs="FangSong_GB2312"/>
                <w:color w:val="000000" w:themeColor="text1"/>
                <w:spacing w:val="21"/>
                <w:sz w:val="20"/>
                <w:szCs w:val="20"/>
                <w14:textFill>
                  <w14:solidFill>
                    <w14:schemeClr w14:val="tx1"/>
                  </w14:solidFill>
                </w14:textFill>
              </w:rPr>
              <w:t xml:space="preserve">   </w:t>
            </w:r>
            <w:r>
              <w:rPr>
                <w:rFonts w:ascii="FangSong_GB2312" w:hAnsi="FangSong_GB2312" w:eastAsia="FangSong_GB2312" w:cs="FangSong_GB2312"/>
                <w:color w:val="000000" w:themeColor="text1"/>
                <w:spacing w:val="-4"/>
                <w:sz w:val="20"/>
                <w:szCs w:val="20"/>
                <w14:textFill>
                  <w14:solidFill>
                    <w14:schemeClr w14:val="tx1"/>
                  </w14:solidFill>
                </w14:textFill>
              </w:rPr>
              <w:t>日</w:t>
            </w:r>
          </w:p>
        </w:tc>
      </w:tr>
    </w:tbl>
    <w:p>
      <w:pPr>
        <w:spacing w:before="242" w:line="432" w:lineRule="auto"/>
        <w:ind w:left="244" w:right="221" w:hanging="8"/>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1"/>
          <w:sz w:val="24"/>
          <w:szCs w:val="24"/>
          <w14:textFill>
            <w14:solidFill>
              <w14:schemeClr w14:val="tx1"/>
            </w14:solidFill>
          </w14:textFill>
        </w:rPr>
        <w:t>说明：</w:t>
      </w:r>
      <w:r>
        <w:rPr>
          <w:rFonts w:ascii="宋体" w:hAnsi="宋体" w:eastAsia="宋体" w:cs="宋体"/>
          <w:color w:val="000000" w:themeColor="text1"/>
          <w:spacing w:val="-1"/>
          <w:sz w:val="24"/>
          <w:szCs w:val="24"/>
          <w14:textFill>
            <w14:solidFill>
              <w14:schemeClr w14:val="tx1"/>
            </w14:solidFill>
          </w14:textFill>
        </w:rPr>
        <w:t>随本表附申请人身份证、学历、职称证书</w:t>
      </w:r>
      <w:r>
        <w:rPr>
          <w:rFonts w:ascii="宋体" w:hAnsi="宋体" w:eastAsia="宋体" w:cs="宋体"/>
          <w:color w:val="000000" w:themeColor="text1"/>
          <w:spacing w:val="-2"/>
          <w:sz w:val="24"/>
          <w:szCs w:val="24"/>
          <w14:textFill>
            <w14:solidFill>
              <w14:schemeClr w14:val="tx1"/>
            </w14:solidFill>
          </w14:textFill>
        </w:rPr>
        <w:t>及其他相关证明材料复印件，申报时</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需提交身份证、学历、职称证书原件供核对。</w:t>
      </w:r>
    </w:p>
    <w:p>
      <w:pPr>
        <w:spacing w:line="432" w:lineRule="auto"/>
        <w:rPr>
          <w:rFonts w:ascii="宋体" w:hAnsi="宋体" w:eastAsia="宋体" w:cs="宋体"/>
          <w:color w:val="000000" w:themeColor="text1"/>
          <w:sz w:val="24"/>
          <w:szCs w:val="24"/>
          <w14:textFill>
            <w14:solidFill>
              <w14:schemeClr w14:val="tx1"/>
            </w14:solidFill>
          </w14:textFill>
        </w:rPr>
        <w:sectPr>
          <w:footerReference r:id="rId7" w:type="default"/>
          <w:pgSz w:w="11906" w:h="16839"/>
          <w:pgMar w:top="2041" w:right="1531" w:bottom="2041" w:left="1531" w:header="0" w:footer="803" w:gutter="0"/>
          <w:pgNumType w:fmt="decimal"/>
          <w:cols w:space="720" w:num="1"/>
        </w:sectPr>
      </w:pPr>
    </w:p>
    <w:p>
      <w:pPr>
        <w:spacing w:before="110" w:line="225" w:lineRule="auto"/>
        <w:ind w:left="2196"/>
        <w:outlineLvl w:val="0"/>
        <w:rPr>
          <w:rFonts w:ascii="宋体" w:hAnsi="宋体" w:eastAsia="宋体" w:cs="宋体"/>
          <w:color w:val="000000" w:themeColor="text1"/>
          <w:sz w:val="35"/>
          <w:szCs w:val="35"/>
          <w14:textFill>
            <w14:solidFill>
              <w14:schemeClr w14:val="tx1"/>
            </w14:solidFill>
          </w14:textFill>
        </w:rPr>
      </w:pPr>
      <w:r>
        <w:rPr>
          <w:rFonts w:ascii="宋体" w:hAnsi="宋体" w:eastAsia="宋体" w:cs="宋体"/>
          <w:b/>
          <w:bCs/>
          <w:color w:val="000000" w:themeColor="text1"/>
          <w:spacing w:val="6"/>
          <w:sz w:val="35"/>
          <w:szCs w:val="35"/>
          <w14:textFill>
            <w14:solidFill>
              <w14:schemeClr w14:val="tx1"/>
            </w14:solidFill>
          </w14:textFill>
        </w:rPr>
        <w:t>珠海市物业管理行业专家请假申请表</w:t>
      </w:r>
    </w:p>
    <w:p>
      <w:pPr>
        <w:spacing w:before="136"/>
        <w:rPr>
          <w:color w:val="000000" w:themeColor="text1"/>
          <w14:textFill>
            <w14:solidFill>
              <w14:schemeClr w14:val="tx1"/>
            </w14:solidFill>
          </w14:textFill>
        </w:rPr>
      </w:pPr>
    </w:p>
    <w:tbl>
      <w:tblPr>
        <w:tblStyle w:val="10"/>
        <w:tblW w:w="98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6"/>
        <w:gridCol w:w="2125"/>
        <w:gridCol w:w="1713"/>
        <w:gridCol w:w="38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2206" w:type="dxa"/>
            <w:vAlign w:val="top"/>
          </w:tcPr>
          <w:p>
            <w:pPr>
              <w:pStyle w:val="11"/>
              <w:spacing w:line="294" w:lineRule="auto"/>
              <w:rPr>
                <w:color w:val="000000" w:themeColor="text1"/>
                <w14:textFill>
                  <w14:solidFill>
                    <w14:schemeClr w14:val="tx1"/>
                  </w14:solidFill>
                </w14:textFill>
              </w:rPr>
            </w:pPr>
          </w:p>
          <w:p>
            <w:pPr>
              <w:spacing w:before="78" w:line="220" w:lineRule="auto"/>
              <w:ind w:left="630"/>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5"/>
                <w:sz w:val="24"/>
                <w:szCs w:val="24"/>
                <w14:textFill>
                  <w14:solidFill>
                    <w14:schemeClr w14:val="tx1"/>
                  </w14:solidFill>
                </w14:textFill>
              </w:rPr>
              <w:t>专家姓名</w:t>
            </w:r>
          </w:p>
        </w:tc>
        <w:tc>
          <w:tcPr>
            <w:tcW w:w="2125" w:type="dxa"/>
            <w:vAlign w:val="top"/>
          </w:tcPr>
          <w:p>
            <w:pPr>
              <w:pStyle w:val="11"/>
              <w:rPr>
                <w:color w:val="000000" w:themeColor="text1"/>
                <w14:textFill>
                  <w14:solidFill>
                    <w14:schemeClr w14:val="tx1"/>
                  </w14:solidFill>
                </w14:textFill>
              </w:rPr>
            </w:pPr>
          </w:p>
        </w:tc>
        <w:tc>
          <w:tcPr>
            <w:tcW w:w="1713" w:type="dxa"/>
            <w:vAlign w:val="top"/>
          </w:tcPr>
          <w:p>
            <w:pPr>
              <w:pStyle w:val="11"/>
              <w:spacing w:line="294" w:lineRule="auto"/>
              <w:rPr>
                <w:color w:val="000000" w:themeColor="text1"/>
                <w14:textFill>
                  <w14:solidFill>
                    <w14:schemeClr w14:val="tx1"/>
                  </w14:solidFill>
                </w14:textFill>
              </w:rPr>
            </w:pPr>
          </w:p>
          <w:p>
            <w:pPr>
              <w:spacing w:before="78" w:line="220" w:lineRule="auto"/>
              <w:ind w:left="384"/>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5"/>
                <w:sz w:val="24"/>
                <w:szCs w:val="24"/>
                <w14:textFill>
                  <w14:solidFill>
                    <w14:schemeClr w14:val="tx1"/>
                  </w14:solidFill>
                </w14:textFill>
              </w:rPr>
              <w:t>专家编号</w:t>
            </w:r>
          </w:p>
        </w:tc>
        <w:tc>
          <w:tcPr>
            <w:tcW w:w="3843" w:type="dxa"/>
            <w:vAlign w:val="top"/>
          </w:tcPr>
          <w:p>
            <w:pPr>
              <w:pStyle w:val="11"/>
              <w:rPr>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206" w:type="dxa"/>
            <w:vAlign w:val="top"/>
          </w:tcPr>
          <w:p>
            <w:pPr>
              <w:pStyle w:val="11"/>
              <w:spacing w:line="291" w:lineRule="auto"/>
              <w:rPr>
                <w:color w:val="000000" w:themeColor="text1"/>
                <w14:textFill>
                  <w14:solidFill>
                    <w14:schemeClr w14:val="tx1"/>
                  </w14:solidFill>
                </w14:textFill>
              </w:rPr>
            </w:pPr>
          </w:p>
          <w:p>
            <w:pPr>
              <w:spacing w:before="78" w:line="219" w:lineRule="auto"/>
              <w:ind w:left="268"/>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请假的起止时间</w:t>
            </w:r>
          </w:p>
        </w:tc>
        <w:tc>
          <w:tcPr>
            <w:tcW w:w="7681" w:type="dxa"/>
            <w:gridSpan w:val="3"/>
            <w:vAlign w:val="top"/>
          </w:tcPr>
          <w:p>
            <w:pPr>
              <w:pStyle w:val="11"/>
              <w:spacing w:line="291" w:lineRule="auto"/>
              <w:rPr>
                <w:color w:val="000000" w:themeColor="text1"/>
                <w14:textFill>
                  <w14:solidFill>
                    <w14:schemeClr w14:val="tx1"/>
                  </w14:solidFill>
                </w14:textFill>
              </w:rPr>
            </w:pPr>
          </w:p>
          <w:p>
            <w:pPr>
              <w:spacing w:before="78" w:line="220" w:lineRule="auto"/>
              <w:ind w:left="116"/>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17"/>
                <w:sz w:val="24"/>
                <w:szCs w:val="24"/>
                <w14:textFill>
                  <w14:solidFill>
                    <w14:schemeClr w14:val="tx1"/>
                  </w14:solidFill>
                </w14:textFill>
              </w:rPr>
              <w:t>从</w:t>
            </w:r>
            <w:r>
              <w:rPr>
                <w:rFonts w:ascii="宋体" w:hAnsi="宋体" w:eastAsia="宋体" w:cs="宋体"/>
                <w:color w:val="000000" w:themeColor="text1"/>
                <w:spacing w:val="2"/>
                <w:sz w:val="24"/>
                <w:szCs w:val="24"/>
                <w14:textFill>
                  <w14:solidFill>
                    <w14:schemeClr w14:val="tx1"/>
                  </w14:solidFill>
                </w14:textFill>
              </w:rPr>
              <w:t xml:space="preserve">        </w:t>
            </w:r>
            <w:r>
              <w:rPr>
                <w:rFonts w:ascii="宋体" w:hAnsi="宋体" w:eastAsia="宋体" w:cs="宋体"/>
                <w:color w:val="000000" w:themeColor="text1"/>
                <w:spacing w:val="-17"/>
                <w:sz w:val="24"/>
                <w:szCs w:val="24"/>
                <w14:textFill>
                  <w14:solidFill>
                    <w14:schemeClr w14:val="tx1"/>
                  </w14:solidFill>
                </w14:textFill>
              </w:rPr>
              <w:t>年</w:t>
            </w:r>
            <w:r>
              <w:rPr>
                <w:rFonts w:ascii="宋体" w:hAnsi="宋体" w:eastAsia="宋体" w:cs="宋体"/>
                <w:color w:val="000000" w:themeColor="text1"/>
                <w:spacing w:val="3"/>
                <w:sz w:val="24"/>
                <w:szCs w:val="24"/>
                <w14:textFill>
                  <w14:solidFill>
                    <w14:schemeClr w14:val="tx1"/>
                  </w14:solidFill>
                </w14:textFill>
              </w:rPr>
              <w:t xml:space="preserve">     </w:t>
            </w:r>
            <w:r>
              <w:rPr>
                <w:rFonts w:ascii="宋体" w:hAnsi="宋体" w:eastAsia="宋体" w:cs="宋体"/>
                <w:color w:val="000000" w:themeColor="text1"/>
                <w:spacing w:val="-17"/>
                <w:sz w:val="24"/>
                <w:szCs w:val="24"/>
                <w14:textFill>
                  <w14:solidFill>
                    <w14:schemeClr w14:val="tx1"/>
                  </w14:solidFill>
                </w14:textFill>
              </w:rPr>
              <w:t>月</w:t>
            </w:r>
            <w:r>
              <w:rPr>
                <w:rFonts w:ascii="宋体" w:hAnsi="宋体" w:eastAsia="宋体" w:cs="宋体"/>
                <w:color w:val="000000" w:themeColor="text1"/>
                <w:spacing w:val="10"/>
                <w:sz w:val="24"/>
                <w:szCs w:val="24"/>
                <w14:textFill>
                  <w14:solidFill>
                    <w14:schemeClr w14:val="tx1"/>
                  </w14:solidFill>
                </w14:textFill>
              </w:rPr>
              <w:t xml:space="preserve">     </w:t>
            </w:r>
            <w:r>
              <w:rPr>
                <w:rFonts w:ascii="宋体" w:hAnsi="宋体" w:eastAsia="宋体" w:cs="宋体"/>
                <w:color w:val="000000" w:themeColor="text1"/>
                <w:spacing w:val="-17"/>
                <w:sz w:val="24"/>
                <w:szCs w:val="24"/>
                <w14:textFill>
                  <w14:solidFill>
                    <w14:schemeClr w14:val="tx1"/>
                  </w14:solidFill>
                </w14:textFill>
              </w:rPr>
              <w:t>日</w:t>
            </w:r>
            <w:r>
              <w:rPr>
                <w:rFonts w:ascii="宋体" w:hAnsi="宋体" w:eastAsia="宋体" w:cs="宋体"/>
                <w:color w:val="000000" w:themeColor="text1"/>
                <w:spacing w:val="8"/>
                <w:sz w:val="24"/>
                <w:szCs w:val="24"/>
                <w14:textFill>
                  <w14:solidFill>
                    <w14:schemeClr w14:val="tx1"/>
                  </w14:solidFill>
                </w14:textFill>
              </w:rPr>
              <w:t xml:space="preserve">  </w:t>
            </w:r>
            <w:r>
              <w:rPr>
                <w:rFonts w:ascii="宋体" w:hAnsi="宋体" w:eastAsia="宋体" w:cs="宋体"/>
                <w:b/>
                <w:bCs/>
                <w:color w:val="000000" w:themeColor="text1"/>
                <w:spacing w:val="-17"/>
                <w:sz w:val="24"/>
                <w:szCs w:val="24"/>
                <w14:textFill>
                  <w14:solidFill>
                    <w14:schemeClr w14:val="tx1"/>
                  </w14:solidFill>
                </w14:textFill>
              </w:rPr>
              <w:t>至</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17"/>
                <w:sz w:val="24"/>
                <w:szCs w:val="24"/>
                <w14:textFill>
                  <w14:solidFill>
                    <w14:schemeClr w14:val="tx1"/>
                  </w14:solidFill>
                </w14:textFill>
              </w:rPr>
              <w:t>年</w:t>
            </w:r>
            <w:r>
              <w:rPr>
                <w:rFonts w:ascii="宋体" w:hAnsi="宋体" w:eastAsia="宋体" w:cs="宋体"/>
                <w:color w:val="000000" w:themeColor="text1"/>
                <w:spacing w:val="3"/>
                <w:sz w:val="24"/>
                <w:szCs w:val="24"/>
                <w14:textFill>
                  <w14:solidFill>
                    <w14:schemeClr w14:val="tx1"/>
                  </w14:solidFill>
                </w14:textFill>
              </w:rPr>
              <w:t xml:space="preserve">      </w:t>
            </w:r>
            <w:r>
              <w:rPr>
                <w:rFonts w:ascii="宋体" w:hAnsi="宋体" w:eastAsia="宋体" w:cs="宋体"/>
                <w:color w:val="000000" w:themeColor="text1"/>
                <w:spacing w:val="-17"/>
                <w:sz w:val="24"/>
                <w:szCs w:val="24"/>
                <w14:textFill>
                  <w14:solidFill>
                    <w14:schemeClr w14:val="tx1"/>
                  </w14:solidFill>
                </w14:textFill>
              </w:rPr>
              <w:t>月</w:t>
            </w:r>
            <w:r>
              <w:rPr>
                <w:rFonts w:ascii="宋体" w:hAnsi="宋体" w:eastAsia="宋体" w:cs="宋体"/>
                <w:color w:val="000000" w:themeColor="text1"/>
                <w:spacing w:val="10"/>
                <w:sz w:val="24"/>
                <w:szCs w:val="24"/>
                <w14:textFill>
                  <w14:solidFill>
                    <w14:schemeClr w14:val="tx1"/>
                  </w14:solidFill>
                </w14:textFill>
              </w:rPr>
              <w:t xml:space="preserve">     </w:t>
            </w:r>
            <w:r>
              <w:rPr>
                <w:rFonts w:ascii="宋体" w:hAnsi="宋体" w:eastAsia="宋体" w:cs="宋体"/>
                <w:color w:val="000000" w:themeColor="text1"/>
                <w:spacing w:val="-17"/>
                <w:sz w:val="24"/>
                <w:szCs w:val="24"/>
                <w14:textFill>
                  <w14:solidFill>
                    <w14:schemeClr w14:val="tx1"/>
                  </w14:solidFill>
                </w14:textFill>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6" w:hRule="atLeast"/>
        </w:trPr>
        <w:tc>
          <w:tcPr>
            <w:tcW w:w="2206" w:type="dxa"/>
            <w:vAlign w:val="top"/>
          </w:tcPr>
          <w:p>
            <w:pPr>
              <w:pStyle w:val="11"/>
              <w:rPr>
                <w:color w:val="000000" w:themeColor="text1"/>
                <w14:textFill>
                  <w14:solidFill>
                    <w14:schemeClr w14:val="tx1"/>
                  </w14:solidFill>
                </w14:textFill>
              </w:rPr>
            </w:pPr>
          </w:p>
          <w:p>
            <w:pPr>
              <w:pStyle w:val="11"/>
              <w:rPr>
                <w:color w:val="000000" w:themeColor="text1"/>
                <w14:textFill>
                  <w14:solidFill>
                    <w14:schemeClr w14:val="tx1"/>
                  </w14:solidFill>
                </w14:textFill>
              </w:rPr>
            </w:pPr>
          </w:p>
          <w:p>
            <w:pPr>
              <w:pStyle w:val="11"/>
              <w:rPr>
                <w:color w:val="000000" w:themeColor="text1"/>
                <w14:textFill>
                  <w14:solidFill>
                    <w14:schemeClr w14:val="tx1"/>
                  </w14:solidFill>
                </w14:textFill>
              </w:rPr>
            </w:pPr>
          </w:p>
          <w:p>
            <w:pPr>
              <w:pStyle w:val="11"/>
              <w:rPr>
                <w:color w:val="000000" w:themeColor="text1"/>
                <w14:textFill>
                  <w14:solidFill>
                    <w14:schemeClr w14:val="tx1"/>
                  </w14:solidFill>
                </w14:textFill>
              </w:rPr>
            </w:pPr>
          </w:p>
          <w:p>
            <w:pPr>
              <w:pStyle w:val="11"/>
              <w:spacing w:line="241" w:lineRule="auto"/>
              <w:rPr>
                <w:color w:val="000000" w:themeColor="text1"/>
                <w14:textFill>
                  <w14:solidFill>
                    <w14:schemeClr w14:val="tx1"/>
                  </w14:solidFill>
                </w14:textFill>
              </w:rPr>
            </w:pPr>
          </w:p>
          <w:p>
            <w:pPr>
              <w:pStyle w:val="11"/>
              <w:spacing w:line="241" w:lineRule="auto"/>
              <w:rPr>
                <w:color w:val="000000" w:themeColor="text1"/>
                <w14:textFill>
                  <w14:solidFill>
                    <w14:schemeClr w14:val="tx1"/>
                  </w14:solidFill>
                </w14:textFill>
              </w:rPr>
            </w:pPr>
          </w:p>
          <w:p>
            <w:pPr>
              <w:pStyle w:val="11"/>
              <w:spacing w:line="241" w:lineRule="auto"/>
              <w:rPr>
                <w:color w:val="000000" w:themeColor="text1"/>
                <w14:textFill>
                  <w14:solidFill>
                    <w14:schemeClr w14:val="tx1"/>
                  </w14:solidFill>
                </w14:textFill>
              </w:rPr>
            </w:pPr>
          </w:p>
          <w:p>
            <w:pPr>
              <w:pStyle w:val="11"/>
              <w:spacing w:line="241" w:lineRule="auto"/>
              <w:rPr>
                <w:color w:val="000000" w:themeColor="text1"/>
                <w14:textFill>
                  <w14:solidFill>
                    <w14:schemeClr w14:val="tx1"/>
                  </w14:solidFill>
                </w14:textFill>
              </w:rPr>
            </w:pPr>
          </w:p>
          <w:p>
            <w:pPr>
              <w:pStyle w:val="11"/>
              <w:spacing w:line="241" w:lineRule="auto"/>
              <w:rPr>
                <w:color w:val="000000" w:themeColor="text1"/>
                <w14:textFill>
                  <w14:solidFill>
                    <w14:schemeClr w14:val="tx1"/>
                  </w14:solidFill>
                </w14:textFill>
              </w:rPr>
            </w:pPr>
          </w:p>
          <w:p>
            <w:pPr>
              <w:pStyle w:val="11"/>
              <w:spacing w:line="241" w:lineRule="auto"/>
              <w:rPr>
                <w:color w:val="000000" w:themeColor="text1"/>
                <w14:textFill>
                  <w14:solidFill>
                    <w14:schemeClr w14:val="tx1"/>
                  </w14:solidFill>
                </w14:textFill>
              </w:rPr>
            </w:pPr>
          </w:p>
          <w:p>
            <w:pPr>
              <w:spacing w:before="78" w:line="219" w:lineRule="auto"/>
              <w:ind w:left="628"/>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4"/>
                <w:sz w:val="24"/>
                <w:szCs w:val="24"/>
                <w14:textFill>
                  <w14:solidFill>
                    <w14:schemeClr w14:val="tx1"/>
                  </w14:solidFill>
                </w14:textFill>
              </w:rPr>
              <w:t>请假事由</w:t>
            </w:r>
          </w:p>
        </w:tc>
        <w:tc>
          <w:tcPr>
            <w:tcW w:w="7681" w:type="dxa"/>
            <w:gridSpan w:val="3"/>
            <w:vAlign w:val="top"/>
          </w:tcPr>
          <w:p>
            <w:pPr>
              <w:pStyle w:val="11"/>
              <w:spacing w:line="242" w:lineRule="auto"/>
              <w:rPr>
                <w:color w:val="000000" w:themeColor="text1"/>
                <w14:textFill>
                  <w14:solidFill>
                    <w14:schemeClr w14:val="tx1"/>
                  </w14:solidFill>
                </w14:textFill>
              </w:rPr>
            </w:pPr>
          </w:p>
          <w:p>
            <w:pPr>
              <w:pStyle w:val="11"/>
              <w:spacing w:line="242" w:lineRule="auto"/>
              <w:rPr>
                <w:color w:val="000000" w:themeColor="text1"/>
                <w14:textFill>
                  <w14:solidFill>
                    <w14:schemeClr w14:val="tx1"/>
                  </w14:solidFill>
                </w14:textFill>
              </w:rPr>
            </w:pPr>
          </w:p>
          <w:p>
            <w:pPr>
              <w:pStyle w:val="11"/>
              <w:spacing w:line="242" w:lineRule="auto"/>
              <w:rPr>
                <w:color w:val="000000" w:themeColor="text1"/>
                <w14:textFill>
                  <w14:solidFill>
                    <w14:schemeClr w14:val="tx1"/>
                  </w14:solidFill>
                </w14:textFill>
              </w:rPr>
            </w:pPr>
          </w:p>
          <w:p>
            <w:pPr>
              <w:pStyle w:val="11"/>
              <w:spacing w:line="242" w:lineRule="auto"/>
              <w:rPr>
                <w:color w:val="000000" w:themeColor="text1"/>
                <w14:textFill>
                  <w14:solidFill>
                    <w14:schemeClr w14:val="tx1"/>
                  </w14:solidFill>
                </w14:textFill>
              </w:rPr>
            </w:pPr>
          </w:p>
          <w:p>
            <w:pPr>
              <w:pStyle w:val="11"/>
              <w:spacing w:line="242" w:lineRule="auto"/>
              <w:rPr>
                <w:color w:val="000000" w:themeColor="text1"/>
                <w14:textFill>
                  <w14:solidFill>
                    <w14:schemeClr w14:val="tx1"/>
                  </w14:solidFill>
                </w14:textFill>
              </w:rPr>
            </w:pPr>
          </w:p>
          <w:p>
            <w:pPr>
              <w:pStyle w:val="11"/>
              <w:spacing w:line="242" w:lineRule="auto"/>
              <w:rPr>
                <w:color w:val="000000" w:themeColor="text1"/>
                <w14:textFill>
                  <w14:solidFill>
                    <w14:schemeClr w14:val="tx1"/>
                  </w14:solidFill>
                </w14:textFill>
              </w:rPr>
            </w:pPr>
          </w:p>
          <w:p>
            <w:pPr>
              <w:pStyle w:val="11"/>
              <w:spacing w:line="242" w:lineRule="auto"/>
              <w:rPr>
                <w:color w:val="000000" w:themeColor="text1"/>
                <w14:textFill>
                  <w14:solidFill>
                    <w14:schemeClr w14:val="tx1"/>
                  </w14:solidFill>
                </w14:textFill>
              </w:rPr>
            </w:pPr>
          </w:p>
          <w:p>
            <w:pPr>
              <w:pStyle w:val="11"/>
              <w:spacing w:line="242" w:lineRule="auto"/>
              <w:rPr>
                <w:color w:val="000000" w:themeColor="text1"/>
                <w14:textFill>
                  <w14:solidFill>
                    <w14:schemeClr w14:val="tx1"/>
                  </w14:solidFill>
                </w14:textFill>
              </w:rPr>
            </w:pPr>
          </w:p>
          <w:p>
            <w:pPr>
              <w:pStyle w:val="11"/>
              <w:spacing w:line="242" w:lineRule="auto"/>
              <w:rPr>
                <w:color w:val="000000" w:themeColor="text1"/>
                <w14:textFill>
                  <w14:solidFill>
                    <w14:schemeClr w14:val="tx1"/>
                  </w14:solidFill>
                </w14:textFill>
              </w:rPr>
            </w:pPr>
          </w:p>
          <w:p>
            <w:pPr>
              <w:pStyle w:val="11"/>
              <w:spacing w:line="243" w:lineRule="auto"/>
              <w:rPr>
                <w:color w:val="000000" w:themeColor="text1"/>
                <w14:textFill>
                  <w14:solidFill>
                    <w14:schemeClr w14:val="tx1"/>
                  </w14:solidFill>
                </w14:textFill>
              </w:rPr>
            </w:pPr>
          </w:p>
          <w:p>
            <w:pPr>
              <w:pStyle w:val="11"/>
              <w:spacing w:line="243" w:lineRule="auto"/>
              <w:rPr>
                <w:color w:val="000000" w:themeColor="text1"/>
                <w14:textFill>
                  <w14:solidFill>
                    <w14:schemeClr w14:val="tx1"/>
                  </w14:solidFill>
                </w14:textFill>
              </w:rPr>
            </w:pPr>
          </w:p>
          <w:p>
            <w:pPr>
              <w:pStyle w:val="11"/>
              <w:spacing w:line="243" w:lineRule="auto"/>
              <w:rPr>
                <w:color w:val="000000" w:themeColor="text1"/>
                <w14:textFill>
                  <w14:solidFill>
                    <w14:schemeClr w14:val="tx1"/>
                  </w14:solidFill>
                </w14:textFill>
              </w:rPr>
            </w:pPr>
          </w:p>
          <w:p>
            <w:pPr>
              <w:pStyle w:val="11"/>
              <w:spacing w:line="243" w:lineRule="auto"/>
              <w:rPr>
                <w:color w:val="000000" w:themeColor="text1"/>
                <w14:textFill>
                  <w14:solidFill>
                    <w14:schemeClr w14:val="tx1"/>
                  </w14:solidFill>
                </w14:textFill>
              </w:rPr>
            </w:pPr>
          </w:p>
          <w:p>
            <w:pPr>
              <w:spacing w:before="78" w:line="219" w:lineRule="auto"/>
              <w:ind w:left="438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本人签名：</w:t>
            </w:r>
          </w:p>
          <w:p>
            <w:pPr>
              <w:spacing w:before="214" w:line="220" w:lineRule="auto"/>
              <w:ind w:left="414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9"/>
                <w:sz w:val="24"/>
                <w:szCs w:val="24"/>
                <w14:textFill>
                  <w14:solidFill>
                    <w14:schemeClr w14:val="tx1"/>
                  </w14:solidFill>
                </w14:textFill>
              </w:rPr>
              <w:t>年</w:t>
            </w:r>
            <w:r>
              <w:rPr>
                <w:rFonts w:ascii="宋体" w:hAnsi="宋体" w:eastAsia="宋体" w:cs="宋体"/>
                <w:color w:val="000000" w:themeColor="text1"/>
                <w:spacing w:val="5"/>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月</w:t>
            </w:r>
            <w:r>
              <w:rPr>
                <w:rFonts w:ascii="宋体" w:hAnsi="宋体" w:eastAsia="宋体" w:cs="宋体"/>
                <w:color w:val="000000" w:themeColor="text1"/>
                <w:spacing w:val="17"/>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7" w:hRule="atLeast"/>
        </w:trPr>
        <w:tc>
          <w:tcPr>
            <w:tcW w:w="2206" w:type="dxa"/>
            <w:vAlign w:val="top"/>
          </w:tcPr>
          <w:p>
            <w:pPr>
              <w:pStyle w:val="11"/>
              <w:spacing w:line="266" w:lineRule="auto"/>
              <w:rPr>
                <w:color w:val="000000" w:themeColor="text1"/>
                <w14:textFill>
                  <w14:solidFill>
                    <w14:schemeClr w14:val="tx1"/>
                  </w14:solidFill>
                </w14:textFill>
              </w:rPr>
            </w:pPr>
          </w:p>
          <w:p>
            <w:pPr>
              <w:pStyle w:val="11"/>
              <w:spacing w:line="266" w:lineRule="auto"/>
              <w:rPr>
                <w:color w:val="000000" w:themeColor="text1"/>
                <w14:textFill>
                  <w14:solidFill>
                    <w14:schemeClr w14:val="tx1"/>
                  </w14:solidFill>
                </w14:textFill>
              </w:rPr>
            </w:pPr>
          </w:p>
          <w:p>
            <w:pPr>
              <w:pStyle w:val="11"/>
              <w:spacing w:line="266" w:lineRule="auto"/>
              <w:rPr>
                <w:color w:val="000000" w:themeColor="text1"/>
                <w14:textFill>
                  <w14:solidFill>
                    <w14:schemeClr w14:val="tx1"/>
                  </w14:solidFill>
                </w14:textFill>
              </w:rPr>
            </w:pPr>
          </w:p>
          <w:p>
            <w:pPr>
              <w:pStyle w:val="11"/>
              <w:spacing w:line="266" w:lineRule="auto"/>
              <w:rPr>
                <w:color w:val="000000" w:themeColor="text1"/>
                <w14:textFill>
                  <w14:solidFill>
                    <w14:schemeClr w14:val="tx1"/>
                  </w14:solidFill>
                </w14:textFill>
              </w:rPr>
            </w:pPr>
          </w:p>
          <w:p>
            <w:pPr>
              <w:pStyle w:val="11"/>
              <w:spacing w:line="266" w:lineRule="auto"/>
              <w:rPr>
                <w:color w:val="000000" w:themeColor="text1"/>
                <w14:textFill>
                  <w14:solidFill>
                    <w14:schemeClr w14:val="tx1"/>
                  </w14:solidFill>
                </w14:textFill>
              </w:rPr>
            </w:pPr>
          </w:p>
          <w:p>
            <w:pPr>
              <w:pStyle w:val="11"/>
              <w:spacing w:line="266" w:lineRule="auto"/>
              <w:rPr>
                <w:color w:val="000000" w:themeColor="text1"/>
                <w14:textFill>
                  <w14:solidFill>
                    <w14:schemeClr w14:val="tx1"/>
                  </w14:solidFill>
                </w14:textFill>
              </w:rPr>
            </w:pPr>
          </w:p>
          <w:p>
            <w:pPr>
              <w:spacing w:before="78" w:line="386" w:lineRule="auto"/>
              <w:ind w:left="776" w:right="133" w:hanging="620"/>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4"/>
                <w:sz w:val="24"/>
                <w:szCs w:val="24"/>
                <w14:textFill>
                  <w14:solidFill>
                    <w14:schemeClr w14:val="tx1"/>
                  </w14:solidFill>
                </w14:textFill>
              </w:rPr>
              <w:t>市物业行政主管部</w:t>
            </w:r>
            <w:r>
              <w:rPr>
                <w:rFonts w:ascii="宋体" w:hAnsi="宋体" w:eastAsia="宋体" w:cs="宋体"/>
                <w:color w:val="000000" w:themeColor="text1"/>
                <w:spacing w:val="2"/>
                <w:sz w:val="24"/>
                <w:szCs w:val="24"/>
                <w14:textFill>
                  <w14:solidFill>
                    <w14:schemeClr w14:val="tx1"/>
                  </w14:solidFill>
                </w14:textFill>
              </w:rPr>
              <w:t xml:space="preserve"> </w:t>
            </w:r>
            <w:r>
              <w:rPr>
                <w:rFonts w:ascii="宋体" w:hAnsi="宋体" w:eastAsia="宋体" w:cs="宋体"/>
                <w:b/>
                <w:bCs/>
                <w:color w:val="000000" w:themeColor="text1"/>
                <w:spacing w:val="-15"/>
                <w:sz w:val="24"/>
                <w:szCs w:val="24"/>
                <w14:textFill>
                  <w14:solidFill>
                    <w14:schemeClr w14:val="tx1"/>
                  </w14:solidFill>
                </w14:textFill>
              </w:rPr>
              <w:t>门意见</w:t>
            </w:r>
          </w:p>
        </w:tc>
        <w:tc>
          <w:tcPr>
            <w:tcW w:w="7681" w:type="dxa"/>
            <w:gridSpan w:val="3"/>
            <w:vAlign w:val="top"/>
          </w:tcPr>
          <w:p>
            <w:pPr>
              <w:pStyle w:val="11"/>
              <w:spacing w:line="263" w:lineRule="auto"/>
              <w:rPr>
                <w:color w:val="000000" w:themeColor="text1"/>
                <w14:textFill>
                  <w14:solidFill>
                    <w14:schemeClr w14:val="tx1"/>
                  </w14:solidFill>
                </w14:textFill>
              </w:rPr>
            </w:pPr>
          </w:p>
          <w:p>
            <w:pPr>
              <w:pStyle w:val="11"/>
              <w:spacing w:line="263" w:lineRule="auto"/>
              <w:rPr>
                <w:color w:val="000000" w:themeColor="text1"/>
                <w14:textFill>
                  <w14:solidFill>
                    <w14:schemeClr w14:val="tx1"/>
                  </w14:solidFill>
                </w14:textFill>
              </w:rPr>
            </w:pPr>
          </w:p>
          <w:p>
            <w:pPr>
              <w:pStyle w:val="11"/>
              <w:spacing w:line="263" w:lineRule="auto"/>
              <w:rPr>
                <w:color w:val="000000" w:themeColor="text1"/>
                <w14:textFill>
                  <w14:solidFill>
                    <w14:schemeClr w14:val="tx1"/>
                  </w14:solidFill>
                </w14:textFill>
              </w:rPr>
            </w:pPr>
          </w:p>
          <w:p>
            <w:pPr>
              <w:pStyle w:val="11"/>
              <w:spacing w:line="263" w:lineRule="auto"/>
              <w:rPr>
                <w:color w:val="000000" w:themeColor="text1"/>
                <w14:textFill>
                  <w14:solidFill>
                    <w14:schemeClr w14:val="tx1"/>
                  </w14:solidFill>
                </w14:textFill>
              </w:rPr>
            </w:pPr>
          </w:p>
          <w:p>
            <w:pPr>
              <w:pStyle w:val="11"/>
              <w:spacing w:line="264" w:lineRule="auto"/>
              <w:rPr>
                <w:color w:val="000000" w:themeColor="text1"/>
                <w14:textFill>
                  <w14:solidFill>
                    <w14:schemeClr w14:val="tx1"/>
                  </w14:solidFill>
                </w14:textFill>
              </w:rPr>
            </w:pPr>
          </w:p>
          <w:p>
            <w:pPr>
              <w:pStyle w:val="11"/>
              <w:spacing w:line="264" w:lineRule="auto"/>
              <w:rPr>
                <w:color w:val="000000" w:themeColor="text1"/>
                <w14:textFill>
                  <w14:solidFill>
                    <w14:schemeClr w14:val="tx1"/>
                  </w14:solidFill>
                </w14:textFill>
              </w:rPr>
            </w:pPr>
          </w:p>
          <w:p>
            <w:pPr>
              <w:pStyle w:val="11"/>
              <w:spacing w:line="264" w:lineRule="auto"/>
              <w:rPr>
                <w:color w:val="000000" w:themeColor="text1"/>
                <w14:textFill>
                  <w14:solidFill>
                    <w14:schemeClr w14:val="tx1"/>
                  </w14:solidFill>
                </w14:textFill>
              </w:rPr>
            </w:pPr>
          </w:p>
          <w:p>
            <w:pPr>
              <w:spacing w:before="78" w:line="219" w:lineRule="auto"/>
              <w:ind w:left="4387"/>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单位盖章：</w:t>
            </w:r>
          </w:p>
          <w:p>
            <w:pPr>
              <w:spacing w:before="214" w:line="220" w:lineRule="auto"/>
              <w:ind w:left="436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9"/>
                <w:sz w:val="24"/>
                <w:szCs w:val="24"/>
                <w14:textFill>
                  <w14:solidFill>
                    <w14:schemeClr w14:val="tx1"/>
                  </w14:solidFill>
                </w14:textFill>
              </w:rPr>
              <w:t>年</w:t>
            </w:r>
            <w:r>
              <w:rPr>
                <w:rFonts w:ascii="宋体" w:hAnsi="宋体" w:eastAsia="宋体" w:cs="宋体"/>
                <w:color w:val="000000" w:themeColor="text1"/>
                <w:spacing w:val="5"/>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月</w:t>
            </w:r>
            <w:r>
              <w:rPr>
                <w:rFonts w:ascii="宋体" w:hAnsi="宋体" w:eastAsia="宋体" w:cs="宋体"/>
                <w:color w:val="000000" w:themeColor="text1"/>
                <w:spacing w:val="17"/>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日</w:t>
            </w:r>
          </w:p>
        </w:tc>
      </w:tr>
    </w:tbl>
    <w:p>
      <w:pPr>
        <w:pStyle w:val="4"/>
        <w:rPr>
          <w:color w:val="000000" w:themeColor="text1"/>
          <w14:textFill>
            <w14:solidFill>
              <w14:schemeClr w14:val="tx1"/>
            </w14:solidFill>
          </w14:textFill>
        </w:rPr>
      </w:pPr>
    </w:p>
    <w:p>
      <w:pPr>
        <w:rPr>
          <w:color w:val="000000" w:themeColor="text1"/>
          <w14:textFill>
            <w14:solidFill>
              <w14:schemeClr w14:val="tx1"/>
            </w14:solidFill>
          </w14:textFill>
        </w:rPr>
        <w:sectPr>
          <w:headerReference r:id="rId8" w:type="default"/>
          <w:footerReference r:id="rId9" w:type="default"/>
          <w:pgSz w:w="11906" w:h="16839"/>
          <w:pgMar w:top="2041" w:right="1531" w:bottom="2041" w:left="1531" w:header="2187" w:footer="805" w:gutter="0"/>
          <w:pgNumType w:fmt="decimal"/>
          <w:cols w:space="720" w:num="1"/>
        </w:sectPr>
      </w:pPr>
    </w:p>
    <w:p>
      <w:pPr>
        <w:spacing w:before="74" w:line="543" w:lineRule="exact"/>
        <w:ind w:left="3696"/>
        <w:outlineLvl w:val="0"/>
        <w:rPr>
          <w:rFonts w:ascii="方正小标宋简体" w:hAnsi="方正小标宋简体" w:eastAsia="方正小标宋简体" w:cs="方正小标宋简体"/>
          <w:color w:val="000000" w:themeColor="text1"/>
          <w:sz w:val="35"/>
          <w:szCs w:val="35"/>
          <w14:textFill>
            <w14:solidFill>
              <w14:schemeClr w14:val="tx1"/>
            </w14:solidFill>
          </w14:textFill>
        </w:rPr>
      </w:pPr>
      <w:r>
        <w:rPr>
          <w:rFonts w:ascii="方正小标宋简体" w:hAnsi="方正小标宋简体" w:eastAsia="方正小标宋简体" w:cs="方正小标宋简体"/>
          <w:b/>
          <w:bCs/>
          <w:color w:val="000000" w:themeColor="text1"/>
          <w:spacing w:val="3"/>
          <w:position w:val="4"/>
          <w:sz w:val="35"/>
          <w:szCs w:val="35"/>
          <w14:textFill>
            <w14:solidFill>
              <w14:schemeClr w14:val="tx1"/>
            </w14:solidFill>
          </w14:textFill>
        </w:rPr>
        <w:t>承</w:t>
      </w:r>
      <w:r>
        <w:rPr>
          <w:rFonts w:ascii="方正小标宋简体" w:hAnsi="方正小标宋简体" w:eastAsia="方正小标宋简体" w:cs="方正小标宋简体"/>
          <w:color w:val="000000" w:themeColor="text1"/>
          <w:spacing w:val="3"/>
          <w:position w:val="4"/>
          <w:sz w:val="35"/>
          <w:szCs w:val="35"/>
          <w14:textFill>
            <w14:solidFill>
              <w14:schemeClr w14:val="tx1"/>
            </w14:solidFill>
          </w14:textFill>
        </w:rPr>
        <w:t xml:space="preserve">  </w:t>
      </w:r>
      <w:r>
        <w:rPr>
          <w:rFonts w:ascii="方正小标宋简体" w:hAnsi="方正小标宋简体" w:eastAsia="方正小标宋简体" w:cs="方正小标宋简体"/>
          <w:b/>
          <w:bCs/>
          <w:color w:val="000000" w:themeColor="text1"/>
          <w:spacing w:val="3"/>
          <w:position w:val="4"/>
          <w:sz w:val="35"/>
          <w:szCs w:val="35"/>
          <w14:textFill>
            <w14:solidFill>
              <w14:schemeClr w14:val="tx1"/>
            </w14:solidFill>
          </w14:textFill>
        </w:rPr>
        <w:t>诺</w:t>
      </w:r>
      <w:r>
        <w:rPr>
          <w:rFonts w:ascii="方正小标宋简体" w:hAnsi="方正小标宋简体" w:eastAsia="方正小标宋简体" w:cs="方正小标宋简体"/>
          <w:color w:val="000000" w:themeColor="text1"/>
          <w:spacing w:val="6"/>
          <w:position w:val="4"/>
          <w:sz w:val="35"/>
          <w:szCs w:val="35"/>
          <w14:textFill>
            <w14:solidFill>
              <w14:schemeClr w14:val="tx1"/>
            </w14:solidFill>
          </w14:textFill>
        </w:rPr>
        <w:t xml:space="preserve">  </w:t>
      </w:r>
      <w:r>
        <w:rPr>
          <w:rFonts w:ascii="方正小标宋简体" w:hAnsi="方正小标宋简体" w:eastAsia="方正小标宋简体" w:cs="方正小标宋简体"/>
          <w:b/>
          <w:bCs/>
          <w:color w:val="000000" w:themeColor="text1"/>
          <w:spacing w:val="3"/>
          <w:position w:val="4"/>
          <w:sz w:val="35"/>
          <w:szCs w:val="35"/>
          <w14:textFill>
            <w14:solidFill>
              <w14:schemeClr w14:val="tx1"/>
            </w14:solidFill>
          </w14:textFill>
        </w:rPr>
        <w:t>书</w:t>
      </w:r>
    </w:p>
    <w:p>
      <w:pPr>
        <w:pStyle w:val="4"/>
        <w:spacing w:line="295" w:lineRule="auto"/>
        <w:rPr>
          <w:color w:val="000000" w:themeColor="text1"/>
          <w14:textFill>
            <w14:solidFill>
              <w14:schemeClr w14:val="tx1"/>
            </w14:solidFill>
          </w14:textFill>
        </w:rPr>
      </w:pPr>
    </w:p>
    <w:p>
      <w:pPr>
        <w:spacing w:before="101" w:line="334" w:lineRule="auto"/>
        <w:ind w:left="14" w:right="2" w:firstLine="477"/>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2"/>
          <w:sz w:val="31"/>
          <w:szCs w:val="31"/>
          <w14:textFill>
            <w14:solidFill>
              <w14:schemeClr w14:val="tx1"/>
            </w14:solidFill>
          </w14:textFill>
        </w:rPr>
        <w:t>近</w:t>
      </w:r>
      <w:r>
        <w:rPr>
          <w:rFonts w:ascii="仿宋" w:hAnsi="仿宋" w:eastAsia="仿宋" w:cs="仿宋"/>
          <w:color w:val="000000" w:themeColor="text1"/>
          <w:spacing w:val="-67"/>
          <w:sz w:val="31"/>
          <w:szCs w:val="31"/>
          <w14:textFill>
            <w14:solidFill>
              <w14:schemeClr w14:val="tx1"/>
            </w14:solidFill>
          </w14:textFill>
        </w:rPr>
        <w:t xml:space="preserve"> </w:t>
      </w:r>
      <w:r>
        <w:rPr>
          <w:rFonts w:ascii="仿宋" w:hAnsi="仿宋" w:eastAsia="仿宋" w:cs="仿宋"/>
          <w:color w:val="000000" w:themeColor="text1"/>
          <w:spacing w:val="-2"/>
          <w:sz w:val="31"/>
          <w:szCs w:val="31"/>
          <w14:textFill>
            <w14:solidFill>
              <w14:schemeClr w14:val="tx1"/>
            </w14:solidFill>
          </w14:textFill>
        </w:rPr>
        <w:t>日，本人受</w:t>
      </w:r>
      <w:r>
        <w:rPr>
          <w:rFonts w:ascii="仿宋" w:hAnsi="仿宋" w:eastAsia="仿宋" w:cs="仿宋"/>
          <w:color w:val="000000" w:themeColor="text1"/>
          <w:spacing w:val="3"/>
          <w:sz w:val="31"/>
          <w:szCs w:val="31"/>
          <w:u w:val="single" w:color="auto"/>
          <w14:textFill>
            <w14:solidFill>
              <w14:schemeClr w14:val="tx1"/>
            </w14:solidFill>
          </w14:textFill>
        </w:rPr>
        <w:t xml:space="preserve">                   </w:t>
      </w:r>
      <w:r>
        <w:rPr>
          <w:rFonts w:ascii="仿宋" w:hAnsi="仿宋" w:eastAsia="仿宋" w:cs="仿宋"/>
          <w:color w:val="000000" w:themeColor="text1"/>
          <w:spacing w:val="-2"/>
          <w:sz w:val="31"/>
          <w:szCs w:val="31"/>
          <w:u w:val="single" w:color="auto"/>
          <w14:textFill>
            <w14:solidFill>
              <w14:schemeClr w14:val="tx1"/>
            </w14:solidFill>
          </w14:textFill>
        </w:rPr>
        <w:t>（部门名称）</w:t>
      </w:r>
      <w:r>
        <w:rPr>
          <w:rFonts w:ascii="仿宋" w:hAnsi="仿宋" w:eastAsia="仿宋" w:cs="仿宋"/>
          <w:color w:val="000000" w:themeColor="text1"/>
          <w:spacing w:val="-2"/>
          <w:sz w:val="31"/>
          <w:szCs w:val="31"/>
          <w14:textFill>
            <w14:solidFill>
              <w14:schemeClr w14:val="tx1"/>
            </w14:solidFill>
          </w14:textFill>
        </w:rPr>
        <w:t>委托，履行</w:t>
      </w:r>
      <w:r>
        <w:rPr>
          <w:rFonts w:ascii="仿宋" w:hAnsi="仿宋" w:eastAsia="仿宋" w:cs="仿宋"/>
          <w:color w:val="000000" w:themeColor="text1"/>
          <w:spacing w:val="15"/>
          <w:sz w:val="31"/>
          <w:szCs w:val="31"/>
          <w14:textFill>
            <w14:solidFill>
              <w14:schemeClr w14:val="tx1"/>
            </w14:solidFill>
          </w14:textFill>
        </w:rPr>
        <w:t xml:space="preserve"> </w:t>
      </w:r>
      <w:r>
        <w:rPr>
          <w:rFonts w:ascii="仿宋" w:hAnsi="仿宋" w:eastAsia="仿宋" w:cs="仿宋"/>
          <w:color w:val="000000" w:themeColor="text1"/>
          <w:spacing w:val="7"/>
          <w:sz w:val="31"/>
          <w:szCs w:val="31"/>
          <w14:textFill>
            <w14:solidFill>
              <w14:schemeClr w14:val="tx1"/>
            </w14:solidFill>
          </w14:textFill>
        </w:rPr>
        <w:t>如下专家义务、提供如下专家服务：</w:t>
      </w:r>
    </w:p>
    <w:p>
      <w:pPr>
        <w:pStyle w:val="4"/>
        <w:tabs>
          <w:tab w:val="left" w:pos="8835"/>
        </w:tabs>
        <w:spacing w:before="112"/>
        <w:ind w:left="470"/>
        <w:rPr>
          <w:color w:val="000000" w:themeColor="text1"/>
          <w14:textFill>
            <w14:solidFill>
              <w14:schemeClr w14:val="tx1"/>
            </w14:solidFill>
          </w14:textFill>
        </w:rPr>
      </w:pPr>
      <w:r>
        <w:rPr>
          <w:color w:val="000000" w:themeColor="text1"/>
          <w:u w:val="single" w:color="auto"/>
          <w14:textFill>
            <w14:solidFill>
              <w14:schemeClr w14:val="tx1"/>
            </w14:solidFill>
          </w14:textFill>
        </w:rPr>
        <w:tab/>
      </w:r>
    </w:p>
    <w:p>
      <w:pPr>
        <w:pStyle w:val="4"/>
        <w:spacing w:line="258" w:lineRule="auto"/>
        <w:rPr>
          <w:color w:val="000000" w:themeColor="text1"/>
          <w14:textFill>
            <w14:solidFill>
              <w14:schemeClr w14:val="tx1"/>
            </w14:solidFill>
          </w14:textFill>
        </w:rPr>
      </w:pPr>
    </w:p>
    <w:p>
      <w:pPr>
        <w:pStyle w:val="4"/>
        <w:tabs>
          <w:tab w:val="left" w:pos="8835"/>
        </w:tabs>
        <w:spacing w:before="60"/>
        <w:ind w:left="470"/>
        <w:rPr>
          <w:color w:val="000000" w:themeColor="text1"/>
          <w14:textFill>
            <w14:solidFill>
              <w14:schemeClr w14:val="tx1"/>
            </w14:solidFill>
          </w14:textFill>
        </w:rPr>
      </w:pPr>
      <w:r>
        <w:rPr>
          <w:color w:val="000000" w:themeColor="text1"/>
          <w:u w:val="single" w:color="auto"/>
          <w14:textFill>
            <w14:solidFill>
              <w14:schemeClr w14:val="tx1"/>
            </w14:solidFill>
          </w14:textFill>
        </w:rPr>
        <w:tab/>
      </w:r>
    </w:p>
    <w:p>
      <w:pPr>
        <w:spacing w:before="203" w:line="334" w:lineRule="auto"/>
        <w:ind w:left="14" w:right="2" w:firstLine="478"/>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11"/>
          <w:sz w:val="31"/>
          <w:szCs w:val="31"/>
          <w14:textFill>
            <w14:solidFill>
              <w14:schemeClr w14:val="tx1"/>
            </w14:solidFill>
          </w14:textFill>
        </w:rPr>
        <w:t>根据《珠海市物业管理行业专家库管理办法》</w:t>
      </w:r>
      <w:r>
        <w:rPr>
          <w:rFonts w:ascii="仿宋" w:hAnsi="仿宋" w:eastAsia="仿宋" w:cs="仿宋"/>
          <w:color w:val="000000" w:themeColor="text1"/>
          <w:spacing w:val="10"/>
          <w:sz w:val="31"/>
          <w:szCs w:val="31"/>
          <w14:textFill>
            <w14:solidFill>
              <w14:schemeClr w14:val="tx1"/>
            </w14:solidFill>
          </w14:textFill>
        </w:rPr>
        <w:t>的规定，本人</w:t>
      </w:r>
      <w:r>
        <w:rPr>
          <w:rFonts w:ascii="仿宋" w:hAnsi="仿宋" w:eastAsia="仿宋" w:cs="仿宋"/>
          <w:color w:val="000000" w:themeColor="text1"/>
          <w:sz w:val="31"/>
          <w:szCs w:val="31"/>
          <w14:textFill>
            <w14:solidFill>
              <w14:schemeClr w14:val="tx1"/>
            </w14:solidFill>
          </w14:textFill>
        </w:rPr>
        <w:t xml:space="preserve"> </w:t>
      </w:r>
      <w:r>
        <w:rPr>
          <w:rFonts w:ascii="仿宋" w:hAnsi="仿宋" w:eastAsia="仿宋" w:cs="仿宋"/>
          <w:color w:val="000000" w:themeColor="text1"/>
          <w:spacing w:val="5"/>
          <w:sz w:val="31"/>
          <w:szCs w:val="31"/>
          <w14:textFill>
            <w14:solidFill>
              <w14:schemeClr w14:val="tx1"/>
            </w14:solidFill>
          </w14:textFill>
        </w:rPr>
        <w:t>郑重承诺如下：</w:t>
      </w:r>
    </w:p>
    <w:p>
      <w:pPr>
        <w:spacing w:before="2" w:line="298" w:lineRule="auto"/>
        <w:ind w:left="18" w:firstLine="487"/>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4"/>
          <w:sz w:val="31"/>
          <w:szCs w:val="31"/>
          <w14:textFill>
            <w14:solidFill>
              <w14:schemeClr w14:val="tx1"/>
            </w14:solidFill>
          </w14:textFill>
        </w:rPr>
        <w:t>1．在履行专家义务、提供专家服务工作时，本人将严格遵守</w:t>
      </w:r>
      <w:r>
        <w:rPr>
          <w:rFonts w:ascii="仿宋" w:hAnsi="仿宋" w:eastAsia="仿宋" w:cs="仿宋"/>
          <w:color w:val="000000" w:themeColor="text1"/>
          <w:spacing w:val="7"/>
          <w:sz w:val="31"/>
          <w:szCs w:val="31"/>
          <w14:textFill>
            <w14:solidFill>
              <w14:schemeClr w14:val="tx1"/>
            </w14:solidFill>
          </w14:textFill>
        </w:rPr>
        <w:t xml:space="preserve"> </w:t>
      </w:r>
      <w:r>
        <w:rPr>
          <w:rFonts w:ascii="仿宋" w:hAnsi="仿宋" w:eastAsia="仿宋" w:cs="仿宋"/>
          <w:color w:val="000000" w:themeColor="text1"/>
          <w:spacing w:val="5"/>
          <w:sz w:val="31"/>
          <w:szCs w:val="31"/>
          <w14:textFill>
            <w14:solidFill>
              <w14:schemeClr w14:val="tx1"/>
            </w14:solidFill>
          </w14:textFill>
        </w:rPr>
        <w:t>法律法规及职业道德规范，遵循公开、公平、公正和诚实</w:t>
      </w:r>
      <w:r>
        <w:rPr>
          <w:rFonts w:ascii="仿宋" w:hAnsi="仿宋" w:eastAsia="仿宋" w:cs="仿宋"/>
          <w:color w:val="000000" w:themeColor="text1"/>
          <w:spacing w:val="4"/>
          <w:sz w:val="31"/>
          <w:szCs w:val="31"/>
          <w14:textFill>
            <w14:solidFill>
              <w14:schemeClr w14:val="tx1"/>
            </w14:solidFill>
          </w14:textFill>
        </w:rPr>
        <w:t>信用的</w:t>
      </w:r>
      <w:r>
        <w:rPr>
          <w:rFonts w:ascii="仿宋" w:hAnsi="仿宋" w:eastAsia="仿宋" w:cs="仿宋"/>
          <w:color w:val="000000" w:themeColor="text1"/>
          <w:sz w:val="31"/>
          <w:szCs w:val="31"/>
          <w14:textFill>
            <w14:solidFill>
              <w14:schemeClr w14:val="tx1"/>
            </w14:solidFill>
          </w14:textFill>
        </w:rPr>
        <w:t xml:space="preserve"> </w:t>
      </w:r>
      <w:r>
        <w:rPr>
          <w:rFonts w:ascii="仿宋" w:hAnsi="仿宋" w:eastAsia="仿宋" w:cs="仿宋"/>
          <w:color w:val="000000" w:themeColor="text1"/>
          <w:spacing w:val="8"/>
          <w:sz w:val="31"/>
          <w:szCs w:val="31"/>
          <w14:textFill>
            <w14:solidFill>
              <w14:schemeClr w14:val="tx1"/>
            </w14:solidFill>
          </w14:textFill>
        </w:rPr>
        <w:t>原则，认真履职，对本人提出的专业意见承担个人责任；</w:t>
      </w:r>
    </w:p>
    <w:p>
      <w:pPr>
        <w:spacing w:before="178" w:line="280" w:lineRule="auto"/>
        <w:ind w:left="14" w:right="2" w:firstLine="471"/>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10"/>
          <w:sz w:val="31"/>
          <w:szCs w:val="31"/>
          <w14:textFill>
            <w14:solidFill>
              <w14:schemeClr w14:val="tx1"/>
            </w14:solidFill>
          </w14:textFill>
        </w:rPr>
        <w:t>2.本人或近亲属未在本人本次履行义务、提供服务的物业管</w:t>
      </w:r>
      <w:r>
        <w:rPr>
          <w:rFonts w:ascii="仿宋" w:hAnsi="仿宋" w:eastAsia="仿宋" w:cs="仿宋"/>
          <w:color w:val="000000" w:themeColor="text1"/>
          <w:spacing w:val="17"/>
          <w:sz w:val="31"/>
          <w:szCs w:val="31"/>
          <w14:textFill>
            <w14:solidFill>
              <w14:schemeClr w14:val="tx1"/>
            </w14:solidFill>
          </w14:textFill>
        </w:rPr>
        <w:t xml:space="preserve"> </w:t>
      </w:r>
      <w:r>
        <w:rPr>
          <w:rFonts w:ascii="仿宋" w:hAnsi="仿宋" w:eastAsia="仿宋" w:cs="仿宋"/>
          <w:color w:val="000000" w:themeColor="text1"/>
          <w:spacing w:val="7"/>
          <w:sz w:val="31"/>
          <w:szCs w:val="31"/>
          <w14:textFill>
            <w14:solidFill>
              <w14:schemeClr w14:val="tx1"/>
            </w14:solidFill>
          </w14:textFill>
        </w:rPr>
        <w:t>理项目及其关联企业中任职；</w:t>
      </w:r>
    </w:p>
    <w:p>
      <w:pPr>
        <w:spacing w:before="180" w:line="280" w:lineRule="auto"/>
        <w:ind w:left="13" w:right="2" w:firstLine="475"/>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10"/>
          <w:sz w:val="31"/>
          <w:szCs w:val="31"/>
          <w14:textFill>
            <w14:solidFill>
              <w14:schemeClr w14:val="tx1"/>
            </w14:solidFill>
          </w14:textFill>
        </w:rPr>
        <w:t>3.本人未对本人本次履行义务、提供服务的物业管理项目提</w:t>
      </w:r>
      <w:r>
        <w:rPr>
          <w:rFonts w:ascii="仿宋" w:hAnsi="仿宋" w:eastAsia="仿宋" w:cs="仿宋"/>
          <w:color w:val="000000" w:themeColor="text1"/>
          <w:spacing w:val="15"/>
          <w:sz w:val="31"/>
          <w:szCs w:val="31"/>
          <w14:textFill>
            <w14:solidFill>
              <w14:schemeClr w14:val="tx1"/>
            </w14:solidFill>
          </w14:textFill>
        </w:rPr>
        <w:t xml:space="preserve"> </w:t>
      </w:r>
      <w:r>
        <w:rPr>
          <w:rFonts w:ascii="仿宋" w:hAnsi="仿宋" w:eastAsia="仿宋" w:cs="仿宋"/>
          <w:color w:val="000000" w:themeColor="text1"/>
          <w:spacing w:val="6"/>
          <w:sz w:val="31"/>
          <w:szCs w:val="31"/>
          <w14:textFill>
            <w14:solidFill>
              <w14:schemeClr w14:val="tx1"/>
            </w14:solidFill>
          </w14:textFill>
        </w:rPr>
        <w:t>供咨询、顾问服务；</w:t>
      </w:r>
    </w:p>
    <w:p>
      <w:pPr>
        <w:spacing w:before="177" w:line="298" w:lineRule="auto"/>
        <w:ind w:left="11" w:right="2" w:firstLine="469"/>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11"/>
          <w:sz w:val="31"/>
          <w:szCs w:val="31"/>
          <w14:textFill>
            <w14:solidFill>
              <w14:schemeClr w14:val="tx1"/>
            </w14:solidFill>
          </w14:textFill>
        </w:rPr>
        <w:t>4.本人与本人本次履行义务、提供服务的物业管</w:t>
      </w:r>
      <w:r>
        <w:rPr>
          <w:rFonts w:ascii="仿宋" w:hAnsi="仿宋" w:eastAsia="仿宋" w:cs="仿宋"/>
          <w:color w:val="000000" w:themeColor="text1"/>
          <w:spacing w:val="10"/>
          <w:sz w:val="31"/>
          <w:szCs w:val="31"/>
          <w14:textFill>
            <w14:solidFill>
              <w14:schemeClr w14:val="tx1"/>
            </w14:solidFill>
          </w14:textFill>
        </w:rPr>
        <w:t>理项目没有</w:t>
      </w:r>
      <w:r>
        <w:rPr>
          <w:rFonts w:ascii="仿宋" w:hAnsi="仿宋" w:eastAsia="仿宋" w:cs="仿宋"/>
          <w:color w:val="000000" w:themeColor="text1"/>
          <w:sz w:val="31"/>
          <w:szCs w:val="31"/>
          <w14:textFill>
            <w14:solidFill>
              <w14:schemeClr w14:val="tx1"/>
            </w14:solidFill>
          </w14:textFill>
        </w:rPr>
        <w:t xml:space="preserve"> </w:t>
      </w:r>
      <w:r>
        <w:rPr>
          <w:rFonts w:ascii="仿宋" w:hAnsi="仿宋" w:eastAsia="仿宋" w:cs="仿宋"/>
          <w:color w:val="000000" w:themeColor="text1"/>
          <w:spacing w:val="5"/>
          <w:sz w:val="31"/>
          <w:szCs w:val="31"/>
          <w14:textFill>
            <w14:solidFill>
              <w14:schemeClr w14:val="tx1"/>
            </w14:solidFill>
          </w14:textFill>
        </w:rPr>
        <w:t>利害关系，不存在法律、法规、规章、规范性文件和《珠海市物</w:t>
      </w:r>
      <w:r>
        <w:rPr>
          <w:rFonts w:ascii="仿宋" w:hAnsi="仿宋" w:eastAsia="仿宋" w:cs="仿宋"/>
          <w:color w:val="000000" w:themeColor="text1"/>
          <w:spacing w:val="2"/>
          <w:sz w:val="31"/>
          <w:szCs w:val="31"/>
          <w14:textFill>
            <w14:solidFill>
              <w14:schemeClr w14:val="tx1"/>
            </w14:solidFill>
          </w14:textFill>
        </w:rPr>
        <w:t xml:space="preserve"> </w:t>
      </w:r>
      <w:r>
        <w:rPr>
          <w:rFonts w:ascii="仿宋" w:hAnsi="仿宋" w:eastAsia="仿宋" w:cs="仿宋"/>
          <w:color w:val="000000" w:themeColor="text1"/>
          <w:spacing w:val="9"/>
          <w:sz w:val="31"/>
          <w:szCs w:val="31"/>
          <w14:textFill>
            <w14:solidFill>
              <w14:schemeClr w14:val="tx1"/>
            </w14:solidFill>
          </w14:textFill>
        </w:rPr>
        <w:t>业管理行业专家库管理办法》规定的应回避而</w:t>
      </w:r>
      <w:r>
        <w:rPr>
          <w:rFonts w:ascii="仿宋" w:hAnsi="仿宋" w:eastAsia="仿宋" w:cs="仿宋"/>
          <w:color w:val="000000" w:themeColor="text1"/>
          <w:spacing w:val="8"/>
          <w:sz w:val="31"/>
          <w:szCs w:val="31"/>
          <w14:textFill>
            <w14:solidFill>
              <w14:schemeClr w14:val="tx1"/>
            </w14:solidFill>
          </w14:textFill>
        </w:rPr>
        <w:t>未回避的情况；</w:t>
      </w:r>
    </w:p>
    <w:p>
      <w:pPr>
        <w:spacing w:before="179" w:line="280" w:lineRule="auto"/>
        <w:ind w:left="14" w:right="2" w:firstLine="473"/>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7"/>
          <w:sz w:val="31"/>
          <w:szCs w:val="31"/>
          <w14:textFill>
            <w14:solidFill>
              <w14:schemeClr w14:val="tx1"/>
            </w14:solidFill>
          </w14:textFill>
        </w:rPr>
        <w:t>5.本人确保上述承诺的真实性、有效性，如有隐瞒，</w:t>
      </w:r>
      <w:r>
        <w:rPr>
          <w:rFonts w:ascii="仿宋" w:hAnsi="仿宋" w:eastAsia="仿宋" w:cs="仿宋"/>
          <w:color w:val="000000" w:themeColor="text1"/>
          <w:spacing w:val="-59"/>
          <w:sz w:val="31"/>
          <w:szCs w:val="31"/>
          <w14:textFill>
            <w14:solidFill>
              <w14:schemeClr w14:val="tx1"/>
            </w14:solidFill>
          </w14:textFill>
        </w:rPr>
        <w:t xml:space="preserve"> </w:t>
      </w:r>
      <w:r>
        <w:rPr>
          <w:rFonts w:ascii="仿宋" w:hAnsi="仿宋" w:eastAsia="仿宋" w:cs="仿宋"/>
          <w:color w:val="000000" w:themeColor="text1"/>
          <w:spacing w:val="7"/>
          <w:sz w:val="31"/>
          <w:szCs w:val="31"/>
          <w14:textFill>
            <w14:solidFill>
              <w14:schemeClr w14:val="tx1"/>
            </w14:solidFill>
          </w14:textFill>
        </w:rPr>
        <w:t>自愿承</w:t>
      </w:r>
      <w:r>
        <w:rPr>
          <w:rFonts w:ascii="仿宋" w:hAnsi="仿宋" w:eastAsia="仿宋" w:cs="仿宋"/>
          <w:color w:val="000000" w:themeColor="text1"/>
          <w:sz w:val="31"/>
          <w:szCs w:val="31"/>
          <w14:textFill>
            <w14:solidFill>
              <w14:schemeClr w14:val="tx1"/>
            </w14:solidFill>
          </w14:textFill>
        </w:rPr>
        <w:t xml:space="preserve"> </w:t>
      </w:r>
      <w:r>
        <w:rPr>
          <w:rFonts w:ascii="仿宋" w:hAnsi="仿宋" w:eastAsia="仿宋" w:cs="仿宋"/>
          <w:color w:val="000000" w:themeColor="text1"/>
          <w:spacing w:val="8"/>
          <w:sz w:val="31"/>
          <w:szCs w:val="31"/>
          <w14:textFill>
            <w14:solidFill>
              <w14:schemeClr w14:val="tx1"/>
            </w14:solidFill>
          </w14:textFill>
        </w:rPr>
        <w:t>担相应法律责任并接受相关处罚、处理。</w:t>
      </w:r>
    </w:p>
    <w:p>
      <w:pPr>
        <w:spacing w:before="181" w:line="229" w:lineRule="auto"/>
        <w:ind w:left="5772"/>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2"/>
          <w:sz w:val="31"/>
          <w:szCs w:val="31"/>
          <w14:textFill>
            <w14:solidFill>
              <w14:schemeClr w14:val="tx1"/>
            </w14:solidFill>
          </w14:textFill>
        </w:rPr>
        <w:t>承诺人：</w:t>
      </w:r>
    </w:p>
    <w:p>
      <w:pPr>
        <w:spacing w:before="174" w:line="228" w:lineRule="auto"/>
        <w:ind w:left="5560"/>
        <w:rPr>
          <w:rFonts w:ascii="仿宋" w:hAnsi="仿宋" w:eastAsia="仿宋" w:cs="仿宋"/>
          <w:color w:val="000000" w:themeColor="text1"/>
          <w:sz w:val="31"/>
          <w:szCs w:val="31"/>
          <w14:textFill>
            <w14:solidFill>
              <w14:schemeClr w14:val="tx1"/>
            </w14:solidFill>
          </w14:textFill>
        </w:rPr>
      </w:pPr>
      <w:r>
        <w:rPr>
          <w:rFonts w:ascii="仿宋" w:hAnsi="仿宋" w:eastAsia="仿宋" w:cs="仿宋"/>
          <w:color w:val="000000" w:themeColor="text1"/>
          <w:spacing w:val="-16"/>
          <w:sz w:val="31"/>
          <w:szCs w:val="31"/>
          <w14:textFill>
            <w14:solidFill>
              <w14:schemeClr w14:val="tx1"/>
            </w14:solidFill>
          </w14:textFill>
        </w:rPr>
        <w:t>年</w:t>
      </w:r>
      <w:r>
        <w:rPr>
          <w:rFonts w:ascii="仿宋" w:hAnsi="仿宋" w:eastAsia="仿宋" w:cs="仿宋"/>
          <w:color w:val="000000" w:themeColor="text1"/>
          <w:spacing w:val="18"/>
          <w:sz w:val="31"/>
          <w:szCs w:val="31"/>
          <w14:textFill>
            <w14:solidFill>
              <w14:schemeClr w14:val="tx1"/>
            </w14:solidFill>
          </w14:textFill>
        </w:rPr>
        <w:t xml:space="preserve">   </w:t>
      </w:r>
      <w:r>
        <w:rPr>
          <w:rFonts w:ascii="仿宋" w:hAnsi="仿宋" w:eastAsia="仿宋" w:cs="仿宋"/>
          <w:color w:val="000000" w:themeColor="text1"/>
          <w:spacing w:val="-16"/>
          <w:sz w:val="31"/>
          <w:szCs w:val="31"/>
          <w14:textFill>
            <w14:solidFill>
              <w14:schemeClr w14:val="tx1"/>
            </w14:solidFill>
          </w14:textFill>
        </w:rPr>
        <w:t>月</w:t>
      </w:r>
      <w:r>
        <w:rPr>
          <w:rFonts w:ascii="仿宋" w:hAnsi="仿宋" w:eastAsia="仿宋" w:cs="仿宋"/>
          <w:color w:val="000000" w:themeColor="text1"/>
          <w:spacing w:val="34"/>
          <w:sz w:val="31"/>
          <w:szCs w:val="31"/>
          <w14:textFill>
            <w14:solidFill>
              <w14:schemeClr w14:val="tx1"/>
            </w14:solidFill>
          </w14:textFill>
        </w:rPr>
        <w:t xml:space="preserve">   </w:t>
      </w:r>
      <w:r>
        <w:rPr>
          <w:rFonts w:ascii="仿宋" w:hAnsi="仿宋" w:eastAsia="仿宋" w:cs="仿宋"/>
          <w:color w:val="000000" w:themeColor="text1"/>
          <w:spacing w:val="-16"/>
          <w:sz w:val="31"/>
          <w:szCs w:val="31"/>
          <w14:textFill>
            <w14:solidFill>
              <w14:schemeClr w14:val="tx1"/>
            </w14:solidFill>
          </w14:textFill>
        </w:rPr>
        <w:t>日</w:t>
      </w:r>
    </w:p>
    <w:p>
      <w:pPr>
        <w:spacing w:line="228" w:lineRule="auto"/>
        <w:rPr>
          <w:rFonts w:ascii="仿宋" w:hAnsi="仿宋" w:eastAsia="仿宋" w:cs="仿宋"/>
          <w:color w:val="000000" w:themeColor="text1"/>
          <w:sz w:val="31"/>
          <w:szCs w:val="31"/>
          <w14:textFill>
            <w14:solidFill>
              <w14:schemeClr w14:val="tx1"/>
            </w14:solidFill>
          </w14:textFill>
        </w:rPr>
        <w:sectPr>
          <w:headerReference r:id="rId10" w:type="default"/>
          <w:footerReference r:id="rId11" w:type="default"/>
          <w:pgSz w:w="11906" w:h="16839"/>
          <w:pgMar w:top="2041" w:right="1531" w:bottom="2041" w:left="1531" w:header="2187" w:footer="805" w:gutter="0"/>
          <w:pgNumType w:fmt="decimal"/>
          <w:cols w:space="720" w:num="1"/>
        </w:sectPr>
      </w:pPr>
    </w:p>
    <w:p>
      <w:pPr>
        <w:spacing w:before="111" w:line="224" w:lineRule="auto"/>
        <w:ind w:left="1836"/>
        <w:outlineLvl w:val="0"/>
        <w:rPr>
          <w:rFonts w:ascii="宋体" w:hAnsi="宋体" w:eastAsia="宋体" w:cs="宋体"/>
          <w:color w:val="000000" w:themeColor="text1"/>
          <w:sz w:val="35"/>
          <w:szCs w:val="35"/>
          <w14:textFill>
            <w14:solidFill>
              <w14:schemeClr w14:val="tx1"/>
            </w14:solidFill>
          </w14:textFill>
        </w:rPr>
      </w:pPr>
      <w:r>
        <w:rPr>
          <w:rFonts w:ascii="宋体" w:hAnsi="宋体" w:eastAsia="宋体" w:cs="宋体"/>
          <w:b/>
          <w:bCs/>
          <w:color w:val="000000" w:themeColor="text1"/>
          <w:spacing w:val="6"/>
          <w:sz w:val="35"/>
          <w:szCs w:val="35"/>
          <w14:textFill>
            <w14:solidFill>
              <w14:schemeClr w14:val="tx1"/>
            </w14:solidFill>
          </w14:textFill>
        </w:rPr>
        <w:t>珠海市物业管理行业专家申请回避报告书</w:t>
      </w:r>
    </w:p>
    <w:p>
      <w:pPr>
        <w:spacing w:before="137"/>
        <w:rPr>
          <w:color w:val="000000" w:themeColor="text1"/>
          <w14:textFill>
            <w14:solidFill>
              <w14:schemeClr w14:val="tx1"/>
            </w14:solidFill>
          </w14:textFill>
        </w:rPr>
      </w:pPr>
    </w:p>
    <w:tbl>
      <w:tblPr>
        <w:tblStyle w:val="10"/>
        <w:tblW w:w="98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6"/>
        <w:gridCol w:w="2125"/>
        <w:gridCol w:w="1713"/>
        <w:gridCol w:w="1639"/>
        <w:gridCol w:w="22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206" w:type="dxa"/>
            <w:vAlign w:val="top"/>
          </w:tcPr>
          <w:p>
            <w:pPr>
              <w:pStyle w:val="11"/>
              <w:spacing w:line="258" w:lineRule="auto"/>
              <w:rPr>
                <w:color w:val="000000" w:themeColor="text1"/>
                <w14:textFill>
                  <w14:solidFill>
                    <w14:schemeClr w14:val="tx1"/>
                  </w14:solidFill>
                </w14:textFill>
              </w:rPr>
            </w:pPr>
          </w:p>
          <w:p>
            <w:pPr>
              <w:spacing w:before="78" w:line="220" w:lineRule="auto"/>
              <w:ind w:left="630"/>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5"/>
                <w:sz w:val="24"/>
                <w:szCs w:val="24"/>
                <w14:textFill>
                  <w14:solidFill>
                    <w14:schemeClr w14:val="tx1"/>
                  </w14:solidFill>
                </w14:textFill>
              </w:rPr>
              <w:t>专家姓名</w:t>
            </w:r>
          </w:p>
        </w:tc>
        <w:tc>
          <w:tcPr>
            <w:tcW w:w="2125" w:type="dxa"/>
            <w:vAlign w:val="top"/>
          </w:tcPr>
          <w:p>
            <w:pPr>
              <w:pStyle w:val="11"/>
              <w:rPr>
                <w:color w:val="000000" w:themeColor="text1"/>
                <w14:textFill>
                  <w14:solidFill>
                    <w14:schemeClr w14:val="tx1"/>
                  </w14:solidFill>
                </w14:textFill>
              </w:rPr>
            </w:pPr>
          </w:p>
        </w:tc>
        <w:tc>
          <w:tcPr>
            <w:tcW w:w="1713" w:type="dxa"/>
            <w:vAlign w:val="top"/>
          </w:tcPr>
          <w:p>
            <w:pPr>
              <w:pStyle w:val="11"/>
              <w:spacing w:line="258" w:lineRule="auto"/>
              <w:rPr>
                <w:color w:val="000000" w:themeColor="text1"/>
                <w14:textFill>
                  <w14:solidFill>
                    <w14:schemeClr w14:val="tx1"/>
                  </w14:solidFill>
                </w14:textFill>
              </w:rPr>
            </w:pPr>
          </w:p>
          <w:p>
            <w:pPr>
              <w:spacing w:before="78" w:line="220" w:lineRule="auto"/>
              <w:ind w:left="384"/>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5"/>
                <w:sz w:val="24"/>
                <w:szCs w:val="24"/>
                <w14:textFill>
                  <w14:solidFill>
                    <w14:schemeClr w14:val="tx1"/>
                  </w14:solidFill>
                </w14:textFill>
              </w:rPr>
              <w:t>专家编号</w:t>
            </w:r>
          </w:p>
        </w:tc>
        <w:tc>
          <w:tcPr>
            <w:tcW w:w="3843" w:type="dxa"/>
            <w:gridSpan w:val="2"/>
            <w:vAlign w:val="top"/>
          </w:tcPr>
          <w:p>
            <w:pPr>
              <w:pStyle w:val="11"/>
              <w:rPr>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2206" w:type="dxa"/>
            <w:vAlign w:val="top"/>
          </w:tcPr>
          <w:p>
            <w:pPr>
              <w:spacing w:before="291" w:line="221" w:lineRule="auto"/>
              <w:ind w:left="632"/>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5"/>
                <w:sz w:val="24"/>
                <w:szCs w:val="24"/>
                <w14:textFill>
                  <w14:solidFill>
                    <w14:schemeClr w14:val="tx1"/>
                  </w14:solidFill>
                </w14:textFill>
              </w:rPr>
              <w:t>工作单位</w:t>
            </w:r>
          </w:p>
        </w:tc>
        <w:tc>
          <w:tcPr>
            <w:tcW w:w="3838" w:type="dxa"/>
            <w:gridSpan w:val="2"/>
            <w:vAlign w:val="top"/>
          </w:tcPr>
          <w:p>
            <w:pPr>
              <w:pStyle w:val="11"/>
              <w:rPr>
                <w:color w:val="000000" w:themeColor="text1"/>
                <w14:textFill>
                  <w14:solidFill>
                    <w14:schemeClr w14:val="tx1"/>
                  </w14:solidFill>
                </w14:textFill>
              </w:rPr>
            </w:pPr>
          </w:p>
        </w:tc>
        <w:tc>
          <w:tcPr>
            <w:tcW w:w="1639" w:type="dxa"/>
            <w:vAlign w:val="top"/>
          </w:tcPr>
          <w:p>
            <w:pPr>
              <w:spacing w:before="291" w:line="220" w:lineRule="auto"/>
              <w:ind w:left="469"/>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8"/>
                <w:sz w:val="24"/>
                <w:szCs w:val="24"/>
                <w14:textFill>
                  <w14:solidFill>
                    <w14:schemeClr w14:val="tx1"/>
                  </w14:solidFill>
                </w14:textFill>
              </w:rPr>
              <w:t>职</w:t>
            </w:r>
            <w:r>
              <w:rPr>
                <w:rFonts w:ascii="宋体" w:hAnsi="宋体" w:eastAsia="宋体" w:cs="宋体"/>
                <w:color w:val="000000" w:themeColor="text1"/>
                <w:spacing w:val="5"/>
                <w:sz w:val="24"/>
                <w:szCs w:val="24"/>
                <w14:textFill>
                  <w14:solidFill>
                    <w14:schemeClr w14:val="tx1"/>
                  </w14:solidFill>
                </w14:textFill>
              </w:rPr>
              <w:t xml:space="preserve">  </w:t>
            </w:r>
            <w:r>
              <w:rPr>
                <w:rFonts w:ascii="宋体" w:hAnsi="宋体" w:eastAsia="宋体" w:cs="宋体"/>
                <w:b/>
                <w:bCs/>
                <w:color w:val="000000" w:themeColor="text1"/>
                <w:spacing w:val="-8"/>
                <w:sz w:val="24"/>
                <w:szCs w:val="24"/>
                <w14:textFill>
                  <w14:solidFill>
                    <w14:schemeClr w14:val="tx1"/>
                  </w14:solidFill>
                </w14:textFill>
              </w:rPr>
              <w:t>务</w:t>
            </w:r>
          </w:p>
        </w:tc>
        <w:tc>
          <w:tcPr>
            <w:tcW w:w="2204" w:type="dxa"/>
            <w:vAlign w:val="top"/>
          </w:tcPr>
          <w:p>
            <w:pPr>
              <w:pStyle w:val="11"/>
              <w:rPr>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2206" w:type="dxa"/>
            <w:vAlign w:val="top"/>
          </w:tcPr>
          <w:p>
            <w:pPr>
              <w:spacing w:before="196" w:line="221" w:lineRule="auto"/>
              <w:ind w:left="508"/>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4"/>
                <w:sz w:val="24"/>
                <w:szCs w:val="24"/>
                <w14:textFill>
                  <w14:solidFill>
                    <w14:schemeClr w14:val="tx1"/>
                  </w14:solidFill>
                </w14:textFill>
              </w:rPr>
              <w:t>委托专家的</w:t>
            </w:r>
          </w:p>
          <w:p>
            <w:pPr>
              <w:spacing w:before="211" w:line="221" w:lineRule="auto"/>
              <w:ind w:left="631"/>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5"/>
                <w:sz w:val="24"/>
                <w:szCs w:val="24"/>
                <w14:textFill>
                  <w14:solidFill>
                    <w14:schemeClr w14:val="tx1"/>
                  </w14:solidFill>
                </w14:textFill>
              </w:rPr>
              <w:t>单位名称</w:t>
            </w:r>
          </w:p>
        </w:tc>
        <w:tc>
          <w:tcPr>
            <w:tcW w:w="7681" w:type="dxa"/>
            <w:gridSpan w:val="4"/>
            <w:vAlign w:val="top"/>
          </w:tcPr>
          <w:p>
            <w:pPr>
              <w:pStyle w:val="11"/>
              <w:rPr>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2206" w:type="dxa"/>
            <w:vAlign w:val="top"/>
          </w:tcPr>
          <w:p>
            <w:pPr>
              <w:spacing w:before="196" w:line="219" w:lineRule="auto"/>
              <w:ind w:left="509"/>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4"/>
                <w:sz w:val="24"/>
                <w:szCs w:val="24"/>
                <w14:textFill>
                  <w14:solidFill>
                    <w14:schemeClr w14:val="tx1"/>
                  </w14:solidFill>
                </w14:textFill>
              </w:rPr>
              <w:t>拟委托专家</w:t>
            </w:r>
          </w:p>
          <w:p>
            <w:pPr>
              <w:spacing w:before="216" w:line="221" w:lineRule="auto"/>
              <w:ind w:left="510"/>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4"/>
                <w:sz w:val="24"/>
                <w:szCs w:val="24"/>
                <w14:textFill>
                  <w14:solidFill>
                    <w14:schemeClr w14:val="tx1"/>
                  </w14:solidFill>
                </w14:textFill>
              </w:rPr>
              <w:t>开展的工作</w:t>
            </w:r>
          </w:p>
        </w:tc>
        <w:tc>
          <w:tcPr>
            <w:tcW w:w="7681" w:type="dxa"/>
            <w:gridSpan w:val="4"/>
            <w:vAlign w:val="top"/>
          </w:tcPr>
          <w:p>
            <w:pPr>
              <w:pStyle w:val="11"/>
              <w:rPr>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2206" w:type="dxa"/>
            <w:vAlign w:val="top"/>
          </w:tcPr>
          <w:p>
            <w:pPr>
              <w:spacing w:before="295" w:line="221" w:lineRule="auto"/>
              <w:ind w:left="632"/>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5"/>
                <w:sz w:val="24"/>
                <w:szCs w:val="24"/>
                <w14:textFill>
                  <w14:solidFill>
                    <w14:schemeClr w14:val="tx1"/>
                  </w14:solidFill>
                </w14:textFill>
              </w:rPr>
              <w:t>工作时间</w:t>
            </w:r>
          </w:p>
        </w:tc>
        <w:tc>
          <w:tcPr>
            <w:tcW w:w="7681" w:type="dxa"/>
            <w:gridSpan w:val="4"/>
            <w:vAlign w:val="top"/>
          </w:tcPr>
          <w:p>
            <w:pPr>
              <w:pStyle w:val="11"/>
              <w:rPr>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2" w:hRule="atLeast"/>
        </w:trPr>
        <w:tc>
          <w:tcPr>
            <w:tcW w:w="2206" w:type="dxa"/>
            <w:vAlign w:val="top"/>
          </w:tcPr>
          <w:p>
            <w:pPr>
              <w:pStyle w:val="11"/>
              <w:spacing w:line="281" w:lineRule="auto"/>
              <w:rPr>
                <w:color w:val="000000" w:themeColor="text1"/>
                <w14:textFill>
                  <w14:solidFill>
                    <w14:schemeClr w14:val="tx1"/>
                  </w14:solidFill>
                </w14:textFill>
              </w:rPr>
            </w:pPr>
          </w:p>
          <w:p>
            <w:pPr>
              <w:pStyle w:val="11"/>
              <w:spacing w:line="282" w:lineRule="auto"/>
              <w:rPr>
                <w:color w:val="000000" w:themeColor="text1"/>
                <w14:textFill>
                  <w14:solidFill>
                    <w14:schemeClr w14:val="tx1"/>
                  </w14:solidFill>
                </w14:textFill>
              </w:rPr>
            </w:pPr>
          </w:p>
          <w:p>
            <w:pPr>
              <w:pStyle w:val="11"/>
              <w:spacing w:line="282" w:lineRule="auto"/>
              <w:rPr>
                <w:color w:val="000000" w:themeColor="text1"/>
                <w14:textFill>
                  <w14:solidFill>
                    <w14:schemeClr w14:val="tx1"/>
                  </w14:solidFill>
                </w14:textFill>
              </w:rPr>
            </w:pPr>
          </w:p>
          <w:p>
            <w:pPr>
              <w:pStyle w:val="11"/>
              <w:spacing w:line="282" w:lineRule="auto"/>
              <w:rPr>
                <w:color w:val="000000" w:themeColor="text1"/>
                <w14:textFill>
                  <w14:solidFill>
                    <w14:schemeClr w14:val="tx1"/>
                  </w14:solidFill>
                </w14:textFill>
              </w:rPr>
            </w:pPr>
          </w:p>
          <w:p>
            <w:pPr>
              <w:pStyle w:val="11"/>
              <w:spacing w:line="282" w:lineRule="auto"/>
              <w:rPr>
                <w:color w:val="000000" w:themeColor="text1"/>
                <w14:textFill>
                  <w14:solidFill>
                    <w14:schemeClr w14:val="tx1"/>
                  </w14:solidFill>
                </w14:textFill>
              </w:rPr>
            </w:pPr>
          </w:p>
          <w:p>
            <w:pPr>
              <w:spacing w:before="78" w:line="220" w:lineRule="auto"/>
              <w:ind w:left="300"/>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8"/>
                <w:sz w:val="24"/>
                <w:szCs w:val="24"/>
                <w14:textFill>
                  <w14:solidFill>
                    <w14:schemeClr w14:val="tx1"/>
                  </w14:solidFill>
                </w14:textFill>
              </w:rPr>
              <w:t>申请回避的理由</w:t>
            </w:r>
          </w:p>
        </w:tc>
        <w:tc>
          <w:tcPr>
            <w:tcW w:w="7681" w:type="dxa"/>
            <w:gridSpan w:val="4"/>
            <w:vAlign w:val="top"/>
          </w:tcPr>
          <w:p>
            <w:pPr>
              <w:pStyle w:val="11"/>
              <w:spacing w:line="276" w:lineRule="auto"/>
              <w:rPr>
                <w:color w:val="000000" w:themeColor="text1"/>
                <w14:textFill>
                  <w14:solidFill>
                    <w14:schemeClr w14:val="tx1"/>
                  </w14:solidFill>
                </w14:textFill>
              </w:rPr>
            </w:pPr>
          </w:p>
          <w:p>
            <w:pPr>
              <w:pStyle w:val="11"/>
              <w:spacing w:line="276" w:lineRule="auto"/>
              <w:rPr>
                <w:color w:val="000000" w:themeColor="text1"/>
                <w14:textFill>
                  <w14:solidFill>
                    <w14:schemeClr w14:val="tx1"/>
                  </w14:solidFill>
                </w14:textFill>
              </w:rPr>
            </w:pPr>
          </w:p>
          <w:p>
            <w:pPr>
              <w:pStyle w:val="11"/>
              <w:spacing w:line="276" w:lineRule="auto"/>
              <w:rPr>
                <w:color w:val="000000" w:themeColor="text1"/>
                <w14:textFill>
                  <w14:solidFill>
                    <w14:schemeClr w14:val="tx1"/>
                  </w14:solidFill>
                </w14:textFill>
              </w:rPr>
            </w:pPr>
          </w:p>
          <w:p>
            <w:pPr>
              <w:pStyle w:val="11"/>
              <w:spacing w:line="277" w:lineRule="auto"/>
              <w:rPr>
                <w:color w:val="000000" w:themeColor="text1"/>
                <w14:textFill>
                  <w14:solidFill>
                    <w14:schemeClr w14:val="tx1"/>
                  </w14:solidFill>
                </w14:textFill>
              </w:rPr>
            </w:pPr>
          </w:p>
          <w:p>
            <w:pPr>
              <w:pStyle w:val="11"/>
              <w:spacing w:line="277" w:lineRule="auto"/>
              <w:rPr>
                <w:color w:val="000000" w:themeColor="text1"/>
                <w14:textFill>
                  <w14:solidFill>
                    <w14:schemeClr w14:val="tx1"/>
                  </w14:solidFill>
                </w14:textFill>
              </w:rPr>
            </w:pPr>
          </w:p>
          <w:p>
            <w:pPr>
              <w:pStyle w:val="11"/>
              <w:spacing w:line="277" w:lineRule="auto"/>
              <w:rPr>
                <w:color w:val="000000" w:themeColor="text1"/>
                <w14:textFill>
                  <w14:solidFill>
                    <w14:schemeClr w14:val="tx1"/>
                  </w14:solidFill>
                </w14:textFill>
              </w:rPr>
            </w:pPr>
          </w:p>
          <w:p>
            <w:pPr>
              <w:spacing w:before="78" w:line="219" w:lineRule="auto"/>
              <w:ind w:left="438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本人签名：</w:t>
            </w:r>
          </w:p>
          <w:p>
            <w:pPr>
              <w:spacing w:before="214" w:line="220" w:lineRule="auto"/>
              <w:ind w:left="4146"/>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9"/>
                <w:sz w:val="24"/>
                <w:szCs w:val="24"/>
                <w14:textFill>
                  <w14:solidFill>
                    <w14:schemeClr w14:val="tx1"/>
                  </w14:solidFill>
                </w14:textFill>
              </w:rPr>
              <w:t>年</w:t>
            </w:r>
            <w:r>
              <w:rPr>
                <w:rFonts w:ascii="宋体" w:hAnsi="宋体" w:eastAsia="宋体" w:cs="宋体"/>
                <w:color w:val="000000" w:themeColor="text1"/>
                <w:spacing w:val="5"/>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月</w:t>
            </w:r>
            <w:r>
              <w:rPr>
                <w:rFonts w:ascii="宋体" w:hAnsi="宋体" w:eastAsia="宋体" w:cs="宋体"/>
                <w:color w:val="000000" w:themeColor="text1"/>
                <w:spacing w:val="17"/>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2" w:hRule="atLeast"/>
        </w:trPr>
        <w:tc>
          <w:tcPr>
            <w:tcW w:w="2206" w:type="dxa"/>
            <w:vAlign w:val="top"/>
          </w:tcPr>
          <w:p>
            <w:pPr>
              <w:pStyle w:val="11"/>
              <w:spacing w:line="248" w:lineRule="auto"/>
              <w:rPr>
                <w:color w:val="000000" w:themeColor="text1"/>
                <w14:textFill>
                  <w14:solidFill>
                    <w14:schemeClr w14:val="tx1"/>
                  </w14:solidFill>
                </w14:textFill>
              </w:rPr>
            </w:pPr>
          </w:p>
          <w:p>
            <w:pPr>
              <w:pStyle w:val="11"/>
              <w:spacing w:line="248" w:lineRule="auto"/>
              <w:rPr>
                <w:color w:val="000000" w:themeColor="text1"/>
                <w14:textFill>
                  <w14:solidFill>
                    <w14:schemeClr w14:val="tx1"/>
                  </w14:solidFill>
                </w14:textFill>
              </w:rPr>
            </w:pPr>
          </w:p>
          <w:p>
            <w:pPr>
              <w:pStyle w:val="11"/>
              <w:spacing w:line="248" w:lineRule="auto"/>
              <w:rPr>
                <w:color w:val="000000" w:themeColor="text1"/>
                <w14:textFill>
                  <w14:solidFill>
                    <w14:schemeClr w14:val="tx1"/>
                  </w14:solidFill>
                </w14:textFill>
              </w:rPr>
            </w:pPr>
          </w:p>
          <w:p>
            <w:pPr>
              <w:pStyle w:val="11"/>
              <w:spacing w:line="248" w:lineRule="auto"/>
              <w:rPr>
                <w:color w:val="000000" w:themeColor="text1"/>
                <w14:textFill>
                  <w14:solidFill>
                    <w14:schemeClr w14:val="tx1"/>
                  </w14:solidFill>
                </w14:textFill>
              </w:rPr>
            </w:pPr>
          </w:p>
          <w:p>
            <w:pPr>
              <w:pStyle w:val="11"/>
              <w:spacing w:line="248" w:lineRule="auto"/>
              <w:rPr>
                <w:color w:val="000000" w:themeColor="text1"/>
                <w14:textFill>
                  <w14:solidFill>
                    <w14:schemeClr w14:val="tx1"/>
                  </w14:solidFill>
                </w14:textFill>
              </w:rPr>
            </w:pPr>
          </w:p>
          <w:p>
            <w:pPr>
              <w:spacing w:before="78" w:line="386" w:lineRule="auto"/>
              <w:ind w:left="511" w:right="255" w:hanging="242"/>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4"/>
                <w:sz w:val="24"/>
                <w:szCs w:val="24"/>
                <w14:textFill>
                  <w14:solidFill>
                    <w14:schemeClr w14:val="tx1"/>
                  </w14:solidFill>
                </w14:textFill>
              </w:rPr>
              <w:t>委托专家工作的</w:t>
            </w:r>
            <w:r>
              <w:rPr>
                <w:rFonts w:ascii="宋体" w:hAnsi="宋体" w:eastAsia="宋体" w:cs="宋体"/>
                <w:color w:val="000000" w:themeColor="text1"/>
                <w:spacing w:val="5"/>
                <w:sz w:val="24"/>
                <w:szCs w:val="24"/>
                <w14:textFill>
                  <w14:solidFill>
                    <w14:schemeClr w14:val="tx1"/>
                  </w14:solidFill>
                </w14:textFill>
              </w:rPr>
              <w:t xml:space="preserve"> </w:t>
            </w:r>
            <w:r>
              <w:rPr>
                <w:rFonts w:ascii="宋体" w:hAnsi="宋体" w:eastAsia="宋体" w:cs="宋体"/>
                <w:b/>
                <w:bCs/>
                <w:color w:val="000000" w:themeColor="text1"/>
                <w:spacing w:val="-5"/>
                <w:sz w:val="24"/>
                <w:szCs w:val="24"/>
                <w14:textFill>
                  <w14:solidFill>
                    <w14:schemeClr w14:val="tx1"/>
                  </w14:solidFill>
                </w14:textFill>
              </w:rPr>
              <w:t>单位的意见</w:t>
            </w:r>
          </w:p>
        </w:tc>
        <w:tc>
          <w:tcPr>
            <w:tcW w:w="7681" w:type="dxa"/>
            <w:gridSpan w:val="4"/>
            <w:vAlign w:val="top"/>
          </w:tcPr>
          <w:p>
            <w:pPr>
              <w:pStyle w:val="11"/>
              <w:spacing w:line="248" w:lineRule="auto"/>
              <w:rPr>
                <w:color w:val="000000" w:themeColor="text1"/>
                <w14:textFill>
                  <w14:solidFill>
                    <w14:schemeClr w14:val="tx1"/>
                  </w14:solidFill>
                </w14:textFill>
              </w:rPr>
            </w:pPr>
          </w:p>
          <w:p>
            <w:pPr>
              <w:pStyle w:val="11"/>
              <w:spacing w:line="248" w:lineRule="auto"/>
              <w:rPr>
                <w:color w:val="000000" w:themeColor="text1"/>
                <w14:textFill>
                  <w14:solidFill>
                    <w14:schemeClr w14:val="tx1"/>
                  </w14:solidFill>
                </w14:textFill>
              </w:rPr>
            </w:pPr>
          </w:p>
          <w:p>
            <w:pPr>
              <w:pStyle w:val="11"/>
              <w:spacing w:line="248" w:lineRule="auto"/>
              <w:rPr>
                <w:color w:val="000000" w:themeColor="text1"/>
                <w14:textFill>
                  <w14:solidFill>
                    <w14:schemeClr w14:val="tx1"/>
                  </w14:solidFill>
                </w14:textFill>
              </w:rPr>
            </w:pPr>
          </w:p>
          <w:p>
            <w:pPr>
              <w:pStyle w:val="11"/>
              <w:spacing w:line="248" w:lineRule="auto"/>
              <w:rPr>
                <w:color w:val="000000" w:themeColor="text1"/>
                <w14:textFill>
                  <w14:solidFill>
                    <w14:schemeClr w14:val="tx1"/>
                  </w14:solidFill>
                </w14:textFill>
              </w:rPr>
            </w:pPr>
          </w:p>
          <w:p>
            <w:pPr>
              <w:pStyle w:val="11"/>
              <w:spacing w:line="248" w:lineRule="auto"/>
              <w:rPr>
                <w:color w:val="000000" w:themeColor="text1"/>
                <w14:textFill>
                  <w14:solidFill>
                    <w14:schemeClr w14:val="tx1"/>
                  </w14:solidFill>
                </w14:textFill>
              </w:rPr>
            </w:pPr>
          </w:p>
          <w:p>
            <w:pPr>
              <w:pStyle w:val="11"/>
              <w:spacing w:line="249" w:lineRule="auto"/>
              <w:rPr>
                <w:color w:val="000000" w:themeColor="text1"/>
                <w14:textFill>
                  <w14:solidFill>
                    <w14:schemeClr w14:val="tx1"/>
                  </w14:solidFill>
                </w14:textFill>
              </w:rPr>
            </w:pPr>
          </w:p>
          <w:p>
            <w:pPr>
              <w:spacing w:before="78" w:line="219" w:lineRule="auto"/>
              <w:ind w:left="4387"/>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单位盖章：</w:t>
            </w:r>
          </w:p>
          <w:p>
            <w:pPr>
              <w:spacing w:before="214" w:line="220" w:lineRule="auto"/>
              <w:ind w:left="436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9"/>
                <w:sz w:val="24"/>
                <w:szCs w:val="24"/>
                <w14:textFill>
                  <w14:solidFill>
                    <w14:schemeClr w14:val="tx1"/>
                  </w14:solidFill>
                </w14:textFill>
              </w:rPr>
              <w:t>年</w:t>
            </w:r>
            <w:r>
              <w:rPr>
                <w:rFonts w:ascii="宋体" w:hAnsi="宋体" w:eastAsia="宋体" w:cs="宋体"/>
                <w:color w:val="000000" w:themeColor="text1"/>
                <w:spacing w:val="5"/>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月</w:t>
            </w:r>
            <w:r>
              <w:rPr>
                <w:rFonts w:ascii="宋体" w:hAnsi="宋体" w:eastAsia="宋体" w:cs="宋体"/>
                <w:color w:val="000000" w:themeColor="text1"/>
                <w:spacing w:val="17"/>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日</w:t>
            </w:r>
          </w:p>
        </w:tc>
      </w:tr>
    </w:tbl>
    <w:p>
      <w:pPr>
        <w:pStyle w:val="4"/>
        <w:rPr>
          <w:color w:val="000000" w:themeColor="text1"/>
          <w14:textFill>
            <w14:solidFill>
              <w14:schemeClr w14:val="tx1"/>
            </w14:solidFill>
          </w14:textFill>
        </w:rPr>
      </w:pPr>
    </w:p>
    <w:p>
      <w:pPr>
        <w:rPr>
          <w:color w:val="000000" w:themeColor="text1"/>
          <w14:textFill>
            <w14:solidFill>
              <w14:schemeClr w14:val="tx1"/>
            </w14:solidFill>
          </w14:textFill>
        </w:rPr>
        <w:sectPr>
          <w:headerReference r:id="rId12" w:type="default"/>
          <w:footerReference r:id="rId13" w:type="default"/>
          <w:pgSz w:w="11906" w:h="16839"/>
          <w:pgMar w:top="2041" w:right="1531" w:bottom="2041" w:left="1531" w:header="2187" w:footer="805" w:gutter="0"/>
          <w:pgNumType w:fmt="decimal"/>
          <w:cols w:space="720" w:num="1"/>
        </w:sectPr>
      </w:pPr>
    </w:p>
    <w:p>
      <w:pPr>
        <w:spacing w:before="110" w:line="225" w:lineRule="auto"/>
        <w:ind w:left="3096"/>
        <w:outlineLvl w:val="0"/>
        <w:rPr>
          <w:rFonts w:ascii="宋体" w:hAnsi="宋体" w:eastAsia="宋体" w:cs="宋体"/>
          <w:color w:val="000000" w:themeColor="text1"/>
          <w:sz w:val="35"/>
          <w:szCs w:val="35"/>
          <w14:textFill>
            <w14:solidFill>
              <w14:schemeClr w14:val="tx1"/>
            </w14:solidFill>
          </w14:textFill>
        </w:rPr>
      </w:pPr>
      <w:r>
        <w:rPr>
          <w:rFonts w:ascii="宋体" w:hAnsi="宋体" w:eastAsia="宋体" w:cs="宋体"/>
          <w:b/>
          <w:bCs/>
          <w:color w:val="000000" w:themeColor="text1"/>
          <w:spacing w:val="6"/>
          <w:sz w:val="35"/>
          <w:szCs w:val="35"/>
          <w14:textFill>
            <w14:solidFill>
              <w14:schemeClr w14:val="tx1"/>
            </w14:solidFill>
          </w14:textFill>
        </w:rPr>
        <w:t>邀请专家提供服务申请书</w:t>
      </w:r>
    </w:p>
    <w:p>
      <w:pPr>
        <w:spacing w:line="65" w:lineRule="exact"/>
        <w:rPr>
          <w:color w:val="000000" w:themeColor="text1"/>
          <w14:textFill>
            <w14:solidFill>
              <w14:schemeClr w14:val="tx1"/>
            </w14:solidFill>
          </w14:textFill>
        </w:rPr>
      </w:pPr>
    </w:p>
    <w:tbl>
      <w:tblPr>
        <w:tblStyle w:val="10"/>
        <w:tblW w:w="99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18"/>
        <w:gridCol w:w="2573"/>
        <w:gridCol w:w="2239"/>
        <w:gridCol w:w="29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trPr>
        <w:tc>
          <w:tcPr>
            <w:tcW w:w="2218" w:type="dxa"/>
            <w:vAlign w:val="top"/>
          </w:tcPr>
          <w:p>
            <w:pPr>
              <w:pStyle w:val="11"/>
              <w:spacing w:line="301" w:lineRule="auto"/>
              <w:rPr>
                <w:color w:val="000000" w:themeColor="text1"/>
                <w14:textFill>
                  <w14:solidFill>
                    <w14:schemeClr w14:val="tx1"/>
                  </w14:solidFill>
                </w14:textFill>
              </w:rPr>
            </w:pPr>
          </w:p>
          <w:p>
            <w:pPr>
              <w:spacing w:before="78" w:line="221" w:lineRule="auto"/>
              <w:ind w:left="395"/>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4"/>
                <w:sz w:val="24"/>
                <w:szCs w:val="24"/>
                <w14:textFill>
                  <w14:solidFill>
                    <w14:schemeClr w14:val="tx1"/>
                  </w14:solidFill>
                </w14:textFill>
              </w:rPr>
              <w:t>邀请单位名称</w:t>
            </w:r>
          </w:p>
        </w:tc>
        <w:tc>
          <w:tcPr>
            <w:tcW w:w="7726" w:type="dxa"/>
            <w:gridSpan w:val="3"/>
            <w:vAlign w:val="top"/>
          </w:tcPr>
          <w:p>
            <w:pPr>
              <w:pStyle w:val="11"/>
              <w:rPr>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2218" w:type="dxa"/>
            <w:vAlign w:val="top"/>
          </w:tcPr>
          <w:p>
            <w:pPr>
              <w:pStyle w:val="11"/>
              <w:spacing w:line="296" w:lineRule="auto"/>
              <w:rPr>
                <w:color w:val="000000" w:themeColor="text1"/>
                <w14:textFill>
                  <w14:solidFill>
                    <w14:schemeClr w14:val="tx1"/>
                  </w14:solidFill>
                </w14:textFill>
              </w:rPr>
            </w:pPr>
          </w:p>
          <w:p>
            <w:pPr>
              <w:spacing w:before="78" w:line="222" w:lineRule="auto"/>
              <w:ind w:left="758"/>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6"/>
                <w:sz w:val="24"/>
                <w:szCs w:val="24"/>
                <w14:textFill>
                  <w14:solidFill>
                    <w14:schemeClr w14:val="tx1"/>
                  </w14:solidFill>
                </w14:textFill>
              </w:rPr>
              <w:t>联系人</w:t>
            </w:r>
          </w:p>
        </w:tc>
        <w:tc>
          <w:tcPr>
            <w:tcW w:w="2573" w:type="dxa"/>
            <w:vAlign w:val="top"/>
          </w:tcPr>
          <w:p>
            <w:pPr>
              <w:pStyle w:val="11"/>
              <w:rPr>
                <w:color w:val="000000" w:themeColor="text1"/>
                <w14:textFill>
                  <w14:solidFill>
                    <w14:schemeClr w14:val="tx1"/>
                  </w14:solidFill>
                </w14:textFill>
              </w:rPr>
            </w:pPr>
          </w:p>
        </w:tc>
        <w:tc>
          <w:tcPr>
            <w:tcW w:w="2239" w:type="dxa"/>
            <w:vAlign w:val="top"/>
          </w:tcPr>
          <w:p>
            <w:pPr>
              <w:pStyle w:val="11"/>
              <w:spacing w:line="296" w:lineRule="auto"/>
              <w:rPr>
                <w:color w:val="000000" w:themeColor="text1"/>
                <w14:textFill>
                  <w14:solidFill>
                    <w14:schemeClr w14:val="tx1"/>
                  </w14:solidFill>
                </w14:textFill>
              </w:rPr>
            </w:pPr>
          </w:p>
          <w:p>
            <w:pPr>
              <w:spacing w:before="78" w:line="222" w:lineRule="auto"/>
              <w:ind w:left="647"/>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5"/>
                <w:sz w:val="24"/>
                <w:szCs w:val="24"/>
                <w14:textFill>
                  <w14:solidFill>
                    <w14:schemeClr w14:val="tx1"/>
                  </w14:solidFill>
                </w14:textFill>
              </w:rPr>
              <w:t>联系电话</w:t>
            </w:r>
          </w:p>
        </w:tc>
        <w:tc>
          <w:tcPr>
            <w:tcW w:w="2914" w:type="dxa"/>
            <w:vAlign w:val="top"/>
          </w:tcPr>
          <w:p>
            <w:pPr>
              <w:pStyle w:val="11"/>
              <w:rPr>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2218" w:type="dxa"/>
            <w:vAlign w:val="top"/>
          </w:tcPr>
          <w:p>
            <w:pPr>
              <w:pStyle w:val="11"/>
              <w:spacing w:line="296" w:lineRule="auto"/>
              <w:rPr>
                <w:color w:val="000000" w:themeColor="text1"/>
                <w14:textFill>
                  <w14:solidFill>
                    <w14:schemeClr w14:val="tx1"/>
                  </w14:solidFill>
                </w14:textFill>
              </w:rPr>
            </w:pPr>
          </w:p>
          <w:p>
            <w:pPr>
              <w:spacing w:before="78" w:line="220" w:lineRule="auto"/>
              <w:ind w:left="395"/>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邀请专家数量</w:t>
            </w:r>
          </w:p>
        </w:tc>
        <w:tc>
          <w:tcPr>
            <w:tcW w:w="7726" w:type="dxa"/>
            <w:gridSpan w:val="3"/>
            <w:vAlign w:val="top"/>
          </w:tcPr>
          <w:p>
            <w:pPr>
              <w:pStyle w:val="11"/>
              <w:rPr>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9944" w:type="dxa"/>
            <w:gridSpan w:val="4"/>
            <w:vAlign w:val="top"/>
          </w:tcPr>
          <w:p>
            <w:pPr>
              <w:spacing w:before="283" w:line="219" w:lineRule="auto"/>
              <w:ind w:left="4388"/>
              <w:rPr>
                <w:rFonts w:ascii="FangSong_GB2312" w:hAnsi="FangSong_GB2312" w:eastAsia="FangSong_GB2312" w:cs="FangSong_GB2312"/>
                <w:color w:val="000000" w:themeColor="text1"/>
                <w:sz w:val="31"/>
                <w:szCs w:val="31"/>
                <w14:textFill>
                  <w14:solidFill>
                    <w14:schemeClr w14:val="tx1"/>
                  </w14:solidFill>
                </w14:textFill>
              </w:rPr>
            </w:pPr>
            <w:r>
              <w:rPr>
                <w:rFonts w:ascii="FangSong_GB2312" w:hAnsi="FangSong_GB2312" w:eastAsia="FangSong_GB2312" w:cs="FangSong_GB2312"/>
                <w:b/>
                <w:bCs/>
                <w:color w:val="000000" w:themeColor="text1"/>
                <w:spacing w:val="-8"/>
                <w:sz w:val="31"/>
                <w:szCs w:val="31"/>
                <w14:textFill>
                  <w14:solidFill>
                    <w14:schemeClr w14:val="tx1"/>
                  </w14:solidFill>
                </w14:textFill>
              </w:rPr>
              <w:t>申请内容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9944" w:type="dxa"/>
            <w:gridSpan w:val="4"/>
            <w:tcBorders>
              <w:bottom w:val="single" w:color="000000" w:sz="4" w:space="0"/>
            </w:tcBorders>
            <w:vAlign w:val="top"/>
          </w:tcPr>
          <w:p>
            <w:pPr>
              <w:spacing w:before="129" w:line="219" w:lineRule="auto"/>
              <w:ind w:left="760"/>
              <w:rPr>
                <w:rFonts w:ascii="FangSong_GB2312" w:hAnsi="FangSong_GB2312" w:eastAsia="FangSong_GB2312" w:cs="FangSong_GB2312"/>
                <w:color w:val="000000" w:themeColor="text1"/>
                <w:sz w:val="31"/>
                <w:szCs w:val="31"/>
                <w14:textFill>
                  <w14:solidFill>
                    <w14:schemeClr w14:val="tx1"/>
                  </w14:solidFill>
                </w14:textFill>
              </w:rPr>
            </w:pPr>
            <w:r>
              <w:rPr>
                <w:rFonts w:ascii="FangSong_GB2312" w:hAnsi="FangSong_GB2312" w:eastAsia="FangSong_GB2312" w:cs="FangSong_GB2312"/>
                <w:color w:val="000000" w:themeColor="text1"/>
                <w:spacing w:val="6"/>
                <w:sz w:val="31"/>
                <w:szCs w:val="31"/>
                <w14:textFill>
                  <w14:solidFill>
                    <w14:schemeClr w14:val="tx1"/>
                  </w14:solidFill>
                </w14:textFill>
              </w:rPr>
              <w:t>本单位因</w:t>
            </w:r>
            <w:r>
              <w:rPr>
                <w:rFonts w:ascii="FangSong_GB2312" w:hAnsi="FangSong_GB2312" w:eastAsia="FangSong_GB2312" w:cs="FangSong_GB2312"/>
                <w:color w:val="000000" w:themeColor="text1"/>
                <w:sz w:val="31"/>
                <w:szCs w:val="31"/>
                <w:u w:val="single" w:color="auto"/>
                <w14:textFill>
                  <w14:solidFill>
                    <w14:schemeClr w14:val="tx1"/>
                  </w14:solidFill>
                </w14:textFill>
              </w:rPr>
              <w:t xml:space="preserve">                                                   </w:t>
            </w:r>
          </w:p>
          <w:p>
            <w:pPr>
              <w:spacing w:before="133" w:line="176" w:lineRule="auto"/>
              <w:ind w:left="8593"/>
              <w:rPr>
                <w:rFonts w:ascii="FangSong_GB2312" w:hAnsi="FangSong_GB2312" w:eastAsia="FangSong_GB2312" w:cs="FangSong_GB2312"/>
                <w:color w:val="000000" w:themeColor="text1"/>
                <w:sz w:val="31"/>
                <w:szCs w:val="31"/>
                <w14:textFill>
                  <w14:solidFill>
                    <w14:schemeClr w14:val="tx1"/>
                  </w14:solidFill>
                </w14:textFill>
              </w:rPr>
            </w:pPr>
            <w:r>
              <w:rPr>
                <w:rFonts w:ascii="FangSong_GB2312" w:hAnsi="FangSong_GB2312" w:eastAsia="FangSong_GB2312" w:cs="FangSong_GB2312"/>
                <w:color w:val="000000" w:themeColor="text1"/>
                <w:spacing w:val="7"/>
                <w:sz w:val="31"/>
                <w:szCs w:val="31"/>
                <w14:textFill>
                  <w14:solidFill>
                    <w14:schemeClr w14:val="tx1"/>
                  </w14:solidFill>
                </w14:textFill>
              </w:rPr>
              <w:t>（事由）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9944" w:type="dxa"/>
            <w:gridSpan w:val="4"/>
            <w:tcBorders>
              <w:top w:val="single" w:color="000000" w:sz="4" w:space="0"/>
              <w:bottom w:val="single" w:color="000000" w:sz="4" w:space="0"/>
            </w:tcBorders>
            <w:vAlign w:val="top"/>
          </w:tcPr>
          <w:p>
            <w:pPr>
              <w:spacing w:before="183" w:line="219" w:lineRule="auto"/>
              <w:ind w:left="129"/>
              <w:rPr>
                <w:rFonts w:ascii="FangSong_GB2312" w:hAnsi="FangSong_GB2312" w:eastAsia="FangSong_GB2312" w:cs="FangSong_GB2312"/>
                <w:color w:val="000000" w:themeColor="text1"/>
                <w:sz w:val="31"/>
                <w:szCs w:val="31"/>
                <w14:textFill>
                  <w14:solidFill>
                    <w14:schemeClr w14:val="tx1"/>
                  </w14:solidFill>
                </w14:textFill>
              </w:rPr>
            </w:pPr>
            <w:r>
              <w:rPr>
                <w:rFonts w:ascii="FangSong_GB2312" w:hAnsi="FangSong_GB2312" w:eastAsia="FangSong_GB2312" w:cs="FangSong_GB2312"/>
                <w:color w:val="000000" w:themeColor="text1"/>
                <w:spacing w:val="6"/>
                <w:sz w:val="31"/>
                <w:szCs w:val="31"/>
                <w14:textFill>
                  <w14:solidFill>
                    <w14:schemeClr w14:val="tx1"/>
                  </w14:solidFill>
                </w14:textFill>
              </w:rPr>
              <w:t>拟邀请</w:t>
            </w:r>
            <w:r>
              <w:rPr>
                <w:rFonts w:ascii="FangSong_GB2312" w:hAnsi="FangSong_GB2312" w:eastAsia="FangSong_GB2312" w:cs="FangSong_GB2312"/>
                <w:color w:val="000000" w:themeColor="text1"/>
                <w:spacing w:val="-145"/>
                <w:sz w:val="31"/>
                <w:szCs w:val="31"/>
                <w14:textFill>
                  <w14:solidFill>
                    <w14:schemeClr w14:val="tx1"/>
                  </w14:solidFill>
                </w14:textFill>
              </w:rPr>
              <w:t xml:space="preserve"> </w:t>
            </w:r>
            <w:r>
              <w:rPr>
                <w:rFonts w:ascii="FangSong_GB2312" w:hAnsi="FangSong_GB2312" w:eastAsia="FangSong_GB2312" w:cs="FangSong_GB2312"/>
                <w:color w:val="000000" w:themeColor="text1"/>
                <w:spacing w:val="5"/>
                <w:sz w:val="31"/>
                <w:szCs w:val="31"/>
                <w:u w:val="single" w:color="auto"/>
                <w14:textFill>
                  <w14:solidFill>
                    <w14:schemeClr w14:val="tx1"/>
                  </w14:solidFill>
                </w14:textFill>
              </w:rPr>
              <w:t xml:space="preserve">       </w:t>
            </w:r>
            <w:r>
              <w:rPr>
                <w:rFonts w:ascii="FangSong_GB2312" w:hAnsi="FangSong_GB2312" w:eastAsia="FangSong_GB2312" w:cs="FangSong_GB2312"/>
                <w:color w:val="000000" w:themeColor="text1"/>
                <w:spacing w:val="-146"/>
                <w:sz w:val="31"/>
                <w:szCs w:val="31"/>
                <w14:textFill>
                  <w14:solidFill>
                    <w14:schemeClr w14:val="tx1"/>
                  </w14:solidFill>
                </w14:textFill>
              </w:rPr>
              <w:t xml:space="preserve"> </w:t>
            </w:r>
            <w:r>
              <w:rPr>
                <w:rFonts w:ascii="FangSong_GB2312" w:hAnsi="FangSong_GB2312" w:eastAsia="FangSong_GB2312" w:cs="FangSong_GB2312"/>
                <w:color w:val="000000" w:themeColor="text1"/>
                <w:spacing w:val="6"/>
                <w:sz w:val="31"/>
                <w:szCs w:val="31"/>
                <w14:textFill>
                  <w14:solidFill>
                    <w14:schemeClr w14:val="tx1"/>
                  </w14:solidFill>
                </w14:textFill>
              </w:rPr>
              <w:t>名专家提供如下服务：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944" w:type="dxa"/>
            <w:gridSpan w:val="4"/>
            <w:tcBorders>
              <w:top w:val="single" w:color="000000" w:sz="4" w:space="0"/>
              <w:bottom w:val="single" w:color="000000" w:sz="4" w:space="0"/>
            </w:tcBorders>
            <w:vAlign w:val="top"/>
          </w:tcPr>
          <w:p>
            <w:pPr>
              <w:spacing w:before="185" w:line="175" w:lineRule="auto"/>
              <w:jc w:val="right"/>
              <w:rPr>
                <w:rFonts w:ascii="FangSong_GB2312" w:hAnsi="FangSong_GB2312" w:eastAsia="FangSong_GB2312" w:cs="FangSong_GB2312"/>
                <w:color w:val="000000" w:themeColor="text1"/>
                <w:sz w:val="31"/>
                <w:szCs w:val="31"/>
                <w14:textFill>
                  <w14:solidFill>
                    <w14:schemeClr w14:val="tx1"/>
                  </w14:solidFill>
                </w14:textFill>
              </w:rPr>
            </w:pPr>
            <w:r>
              <w:rPr>
                <w:rFonts w:ascii="FangSong_GB2312" w:hAnsi="FangSong_GB2312" w:eastAsia="FangSong_GB2312" w:cs="FangSong_GB2312"/>
                <w:color w:val="000000" w:themeColor="text1"/>
                <w:spacing w:val="9"/>
                <w:sz w:val="31"/>
                <w:szCs w:val="31"/>
                <w14:textFill>
                  <w14:solidFill>
                    <w14:schemeClr w14:val="tx1"/>
                  </w14:solidFill>
                </w14:textFill>
              </w:rPr>
              <w:t>（填写服务内容</w:t>
            </w:r>
            <w:r>
              <w:rPr>
                <w:rFonts w:ascii="FangSong_GB2312" w:hAnsi="FangSong_GB2312" w:eastAsia="FangSong_GB2312" w:cs="FangSong_GB2312"/>
                <w:color w:val="000000" w:themeColor="text1"/>
                <w:spacing w:val="-48"/>
                <w:sz w:val="31"/>
                <w:szCs w:val="31"/>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9944" w:type="dxa"/>
            <w:gridSpan w:val="4"/>
            <w:tcBorders>
              <w:top w:val="single" w:color="000000" w:sz="4" w:space="0"/>
              <w:bottom w:val="single" w:color="000000" w:sz="4" w:space="0"/>
            </w:tcBorders>
            <w:vAlign w:val="top"/>
          </w:tcPr>
          <w:p>
            <w:pPr>
              <w:spacing w:before="185" w:line="218" w:lineRule="auto"/>
              <w:ind w:left="766"/>
              <w:rPr>
                <w:rFonts w:ascii="FangSong_GB2312" w:hAnsi="FangSong_GB2312" w:eastAsia="FangSong_GB2312" w:cs="FangSong_GB2312"/>
                <w:color w:val="000000" w:themeColor="text1"/>
                <w:sz w:val="31"/>
                <w:szCs w:val="31"/>
                <w14:textFill>
                  <w14:solidFill>
                    <w14:schemeClr w14:val="tx1"/>
                  </w14:solidFill>
                </w14:textFill>
              </w:rPr>
            </w:pPr>
            <w:r>
              <w:rPr>
                <w:rFonts w:ascii="FangSong_GB2312" w:hAnsi="FangSong_GB2312" w:eastAsia="FangSong_GB2312" w:cs="FangSong_GB2312"/>
                <w:color w:val="000000" w:themeColor="text1"/>
                <w:spacing w:val="6"/>
                <w:sz w:val="31"/>
                <w:szCs w:val="31"/>
                <w14:textFill>
                  <w14:solidFill>
                    <w14:schemeClr w14:val="tx1"/>
                  </w14:solidFill>
                </w14:textFill>
              </w:rPr>
              <w:t>对专家要求如下：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5" w:hRule="atLeast"/>
        </w:trPr>
        <w:tc>
          <w:tcPr>
            <w:tcW w:w="9944" w:type="dxa"/>
            <w:gridSpan w:val="4"/>
            <w:tcBorders>
              <w:top w:val="single" w:color="000000" w:sz="4" w:space="0"/>
            </w:tcBorders>
            <w:vAlign w:val="top"/>
          </w:tcPr>
          <w:p>
            <w:pPr>
              <w:tabs>
                <w:tab w:val="left" w:pos="4427"/>
              </w:tabs>
              <w:spacing w:before="187" w:line="296" w:lineRule="auto"/>
              <w:ind w:left="759" w:right="25" w:hanging="653"/>
              <w:rPr>
                <w:rFonts w:ascii="FangSong_GB2312" w:hAnsi="FangSong_GB2312" w:eastAsia="FangSong_GB2312" w:cs="FangSong_GB2312"/>
                <w:color w:val="000000" w:themeColor="text1"/>
                <w:sz w:val="31"/>
                <w:szCs w:val="31"/>
                <w14:textFill>
                  <w14:solidFill>
                    <w14:schemeClr w14:val="tx1"/>
                  </w14:solidFill>
                </w14:textFill>
              </w:rPr>
            </w:pPr>
            <w:r>
              <w:rPr>
                <w:rFonts w:ascii="FangSong_GB2312" w:hAnsi="FangSong_GB2312" w:eastAsia="FangSong_GB2312" w:cs="FangSong_GB2312"/>
                <w:color w:val="000000" w:themeColor="text1"/>
                <w:sz w:val="31"/>
                <w:szCs w:val="31"/>
                <w:u w:val="single" w:color="auto"/>
                <w14:textFill>
                  <w14:solidFill>
                    <w14:schemeClr w14:val="tx1"/>
                  </w14:solidFill>
                </w14:textFill>
              </w:rPr>
              <w:tab/>
            </w:r>
            <w:r>
              <w:rPr>
                <w:rFonts w:ascii="FangSong_GB2312" w:hAnsi="FangSong_GB2312" w:eastAsia="FangSong_GB2312" w:cs="FangSong_GB2312"/>
                <w:color w:val="000000" w:themeColor="text1"/>
                <w:sz w:val="31"/>
                <w:szCs w:val="31"/>
                <w:u w:val="single" w:color="auto"/>
                <w14:textFill>
                  <w14:solidFill>
                    <w14:schemeClr w14:val="tx1"/>
                  </w14:solidFill>
                </w14:textFill>
              </w:rPr>
              <w:tab/>
            </w:r>
            <w:r>
              <w:rPr>
                <w:rFonts w:ascii="FangSong_GB2312" w:hAnsi="FangSong_GB2312" w:eastAsia="FangSong_GB2312" w:cs="FangSong_GB2312"/>
                <w:color w:val="000000" w:themeColor="text1"/>
                <w:spacing w:val="-1"/>
                <w:sz w:val="31"/>
                <w:szCs w:val="31"/>
                <w:u w:val="single" w:color="auto"/>
                <w14:textFill>
                  <w14:solidFill>
                    <w14:schemeClr w14:val="tx1"/>
                  </w14:solidFill>
                </w14:textFill>
              </w:rPr>
              <w:t>（填写专家的专长要求及回避要求等</w:t>
            </w:r>
            <w:r>
              <w:rPr>
                <w:rFonts w:ascii="FangSong_GB2312" w:hAnsi="FangSong_GB2312" w:eastAsia="FangSong_GB2312" w:cs="FangSong_GB2312"/>
                <w:color w:val="000000" w:themeColor="text1"/>
                <w:spacing w:val="-40"/>
                <w:sz w:val="31"/>
                <w:szCs w:val="31"/>
                <w:u w:val="single" w:color="auto"/>
                <w14:textFill>
                  <w14:solidFill>
                    <w14:schemeClr w14:val="tx1"/>
                  </w14:solidFill>
                </w14:textFill>
              </w:rPr>
              <w:t>）</w:t>
            </w:r>
            <w:r>
              <w:rPr>
                <w:rFonts w:ascii="FangSong_GB2312" w:hAnsi="FangSong_GB2312" w:eastAsia="FangSong_GB2312" w:cs="FangSong_GB2312"/>
                <w:color w:val="000000" w:themeColor="text1"/>
                <w:spacing w:val="-40"/>
                <w:sz w:val="31"/>
                <w:szCs w:val="31"/>
                <w14:textFill>
                  <w14:solidFill>
                    <w14:schemeClr w14:val="tx1"/>
                  </w14:solidFill>
                </w14:textFill>
              </w:rPr>
              <w:t>，</w:t>
            </w:r>
            <w:r>
              <w:rPr>
                <w:rFonts w:ascii="FangSong_GB2312" w:hAnsi="FangSong_GB2312" w:eastAsia="FangSong_GB2312" w:cs="FangSong_GB2312"/>
                <w:color w:val="000000" w:themeColor="text1"/>
                <w:sz w:val="31"/>
                <w:szCs w:val="31"/>
                <w14:textFill>
                  <w14:solidFill>
                    <w14:schemeClr w14:val="tx1"/>
                  </w14:solidFill>
                </w14:textFill>
              </w:rPr>
              <w:t xml:space="preserve"> </w:t>
            </w:r>
            <w:r>
              <w:rPr>
                <w:rFonts w:ascii="FangSong_GB2312" w:hAnsi="FangSong_GB2312" w:eastAsia="FangSong_GB2312" w:cs="FangSong_GB2312"/>
                <w:color w:val="000000" w:themeColor="text1"/>
                <w:spacing w:val="5"/>
                <w:sz w:val="31"/>
                <w:szCs w:val="31"/>
                <w14:textFill>
                  <w14:solidFill>
                    <w14:schemeClr w14:val="tx1"/>
                  </w14:solidFill>
                </w14:textFill>
              </w:rPr>
              <w:t>请予以协助。</w:t>
            </w:r>
          </w:p>
          <w:p>
            <w:pPr>
              <w:pStyle w:val="11"/>
              <w:spacing w:line="278" w:lineRule="auto"/>
              <w:rPr>
                <w:color w:val="000000" w:themeColor="text1"/>
                <w14:textFill>
                  <w14:solidFill>
                    <w14:schemeClr w14:val="tx1"/>
                  </w14:solidFill>
                </w14:textFill>
              </w:rPr>
            </w:pPr>
          </w:p>
          <w:p>
            <w:pPr>
              <w:pStyle w:val="11"/>
              <w:spacing w:line="278" w:lineRule="auto"/>
              <w:rPr>
                <w:color w:val="000000" w:themeColor="text1"/>
                <w14:textFill>
                  <w14:solidFill>
                    <w14:schemeClr w14:val="tx1"/>
                  </w14:solidFill>
                </w14:textFill>
              </w:rPr>
            </w:pPr>
          </w:p>
          <w:p>
            <w:pPr>
              <w:pStyle w:val="11"/>
              <w:spacing w:line="279" w:lineRule="auto"/>
              <w:rPr>
                <w:color w:val="000000" w:themeColor="text1"/>
                <w14:textFill>
                  <w14:solidFill>
                    <w14:schemeClr w14:val="tx1"/>
                  </w14:solidFill>
                </w14:textFill>
              </w:rPr>
            </w:pPr>
          </w:p>
          <w:p>
            <w:pPr>
              <w:pStyle w:val="11"/>
              <w:spacing w:line="279" w:lineRule="auto"/>
              <w:rPr>
                <w:color w:val="000000" w:themeColor="text1"/>
                <w14:textFill>
                  <w14:solidFill>
                    <w14:schemeClr w14:val="tx1"/>
                  </w14:solidFill>
                </w14:textFill>
              </w:rPr>
            </w:pPr>
          </w:p>
          <w:p>
            <w:pPr>
              <w:pStyle w:val="11"/>
              <w:spacing w:line="279" w:lineRule="auto"/>
              <w:rPr>
                <w:color w:val="000000" w:themeColor="text1"/>
                <w14:textFill>
                  <w14:solidFill>
                    <w14:schemeClr w14:val="tx1"/>
                  </w14:solidFill>
                </w14:textFill>
              </w:rPr>
            </w:pPr>
          </w:p>
          <w:p>
            <w:pPr>
              <w:spacing w:before="100" w:line="219" w:lineRule="auto"/>
              <w:ind w:left="7429"/>
              <w:rPr>
                <w:rFonts w:ascii="FangSong_GB2312" w:hAnsi="FangSong_GB2312" w:eastAsia="FangSong_GB2312" w:cs="FangSong_GB2312"/>
                <w:color w:val="000000" w:themeColor="text1"/>
                <w:sz w:val="31"/>
                <w:szCs w:val="31"/>
                <w14:textFill>
                  <w14:solidFill>
                    <w14:schemeClr w14:val="tx1"/>
                  </w14:solidFill>
                </w14:textFill>
              </w:rPr>
            </w:pPr>
            <w:r>
              <w:rPr>
                <w:rFonts w:ascii="FangSong_GB2312" w:hAnsi="FangSong_GB2312" w:eastAsia="FangSong_GB2312" w:cs="FangSong_GB2312"/>
                <w:color w:val="000000" w:themeColor="text1"/>
                <w:spacing w:val="-1"/>
                <w:sz w:val="31"/>
                <w:szCs w:val="31"/>
                <w14:textFill>
                  <w14:solidFill>
                    <w14:schemeClr w14:val="tx1"/>
                  </w14:solidFill>
                </w14:textFill>
              </w:rPr>
              <w:t>申请单位盖章</w:t>
            </w:r>
          </w:p>
          <w:p>
            <w:pPr>
              <w:spacing w:before="161" w:line="220" w:lineRule="auto"/>
              <w:ind w:left="7287"/>
              <w:rPr>
                <w:rFonts w:ascii="FangSong_GB2312" w:hAnsi="FangSong_GB2312" w:eastAsia="FangSong_GB2312" w:cs="FangSong_GB2312"/>
                <w:color w:val="000000" w:themeColor="text1"/>
                <w:sz w:val="31"/>
                <w:szCs w:val="31"/>
                <w14:textFill>
                  <w14:solidFill>
                    <w14:schemeClr w14:val="tx1"/>
                  </w14:solidFill>
                </w14:textFill>
              </w:rPr>
            </w:pPr>
            <w:r>
              <w:rPr>
                <w:rFonts w:ascii="FangSong_GB2312" w:hAnsi="FangSong_GB2312" w:eastAsia="FangSong_GB2312" w:cs="FangSong_GB2312"/>
                <w:color w:val="000000" w:themeColor="text1"/>
                <w:spacing w:val="-9"/>
                <w:sz w:val="31"/>
                <w:szCs w:val="31"/>
                <w14:textFill>
                  <w14:solidFill>
                    <w14:schemeClr w14:val="tx1"/>
                  </w14:solidFill>
                </w14:textFill>
              </w:rPr>
              <w:t>年</w:t>
            </w:r>
            <w:r>
              <w:rPr>
                <w:rFonts w:ascii="FangSong_GB2312" w:hAnsi="FangSong_GB2312" w:eastAsia="FangSong_GB2312" w:cs="FangSong_GB2312"/>
                <w:color w:val="000000" w:themeColor="text1"/>
                <w:spacing w:val="12"/>
                <w:sz w:val="31"/>
                <w:szCs w:val="31"/>
                <w14:textFill>
                  <w14:solidFill>
                    <w14:schemeClr w14:val="tx1"/>
                  </w14:solidFill>
                </w14:textFill>
              </w:rPr>
              <w:t xml:space="preserve">    </w:t>
            </w:r>
            <w:r>
              <w:rPr>
                <w:rFonts w:ascii="FangSong_GB2312" w:hAnsi="FangSong_GB2312" w:eastAsia="FangSong_GB2312" w:cs="FangSong_GB2312"/>
                <w:color w:val="000000" w:themeColor="text1"/>
                <w:spacing w:val="-9"/>
                <w:sz w:val="31"/>
                <w:szCs w:val="31"/>
                <w14:textFill>
                  <w14:solidFill>
                    <w14:schemeClr w14:val="tx1"/>
                  </w14:solidFill>
                </w14:textFill>
              </w:rPr>
              <w:t>月</w:t>
            </w:r>
            <w:r>
              <w:rPr>
                <w:rFonts w:ascii="FangSong_GB2312" w:hAnsi="FangSong_GB2312" w:eastAsia="FangSong_GB2312" w:cs="FangSong_GB2312"/>
                <w:color w:val="000000" w:themeColor="text1"/>
                <w:spacing w:val="30"/>
                <w:sz w:val="31"/>
                <w:szCs w:val="31"/>
                <w14:textFill>
                  <w14:solidFill>
                    <w14:schemeClr w14:val="tx1"/>
                  </w14:solidFill>
                </w14:textFill>
              </w:rPr>
              <w:t xml:space="preserve">   </w:t>
            </w:r>
            <w:r>
              <w:rPr>
                <w:rFonts w:ascii="FangSong_GB2312" w:hAnsi="FangSong_GB2312" w:eastAsia="FangSong_GB2312" w:cs="FangSong_GB2312"/>
                <w:color w:val="000000" w:themeColor="text1"/>
                <w:spacing w:val="-9"/>
                <w:sz w:val="31"/>
                <w:szCs w:val="31"/>
                <w14:textFill>
                  <w14:solidFill>
                    <w14:schemeClr w14:val="tx1"/>
                  </w14:solidFill>
                </w14:textFill>
              </w:rPr>
              <w:t>日</w:t>
            </w:r>
          </w:p>
        </w:tc>
      </w:tr>
    </w:tbl>
    <w:p>
      <w:pPr>
        <w:pStyle w:val="4"/>
        <w:rPr>
          <w:color w:val="000000" w:themeColor="text1"/>
          <w14:textFill>
            <w14:solidFill>
              <w14:schemeClr w14:val="tx1"/>
            </w14:solidFill>
          </w14:textFill>
        </w:rPr>
      </w:pPr>
    </w:p>
    <w:sectPr>
      <w:headerReference r:id="rId14" w:type="default"/>
      <w:footerReference r:id="rId15" w:type="default"/>
      <w:pgSz w:w="11906" w:h="16839"/>
      <w:pgMar w:top="2041" w:right="1531" w:bottom="2041" w:left="1531" w:header="2187" w:footer="80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5" w:lineRule="auto"/>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234" w:lineRule="auto"/>
      <w:ind w:left="8239"/>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5" w:lineRule="auto"/>
      <w:ind w:left="232"/>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25</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25</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ind w:left="8662"/>
      <w:rPr>
        <w:rFonts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w:t>
                    </w:r>
                    <w: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rPr>
        <w:rFonts w:ascii="宋体" w:hAnsi="宋体" w:eastAsia="宋体"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ind w:left="8662"/>
      <w:rPr>
        <w:rFonts w:ascii="宋体" w:hAnsi="宋体" w:eastAsia="宋体" w:cs="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4" w:lineRule="auto"/>
      <w:ind w:left="0"/>
      <w:rPr>
        <w:rFonts w:ascii="宋体" w:hAnsi="宋体" w:eastAsia="宋体" w:cs="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inside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5"/>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84" w:line="225" w:lineRule="auto"/>
      <w:ind w:left="0"/>
      <w:rPr>
        <w:rFonts w:hint="eastAsia" w:ascii="黑体" w:hAnsi="黑体" w:eastAsia="黑体" w:cs="黑体"/>
        <w:color w:val="auto"/>
        <w:sz w:val="32"/>
        <w:szCs w:val="32"/>
      </w:rPr>
    </w:pPr>
    <w:r>
      <w:rPr>
        <w:rFonts w:hint="eastAsia" w:ascii="黑体" w:hAnsi="黑体" w:eastAsia="黑体" w:cs="黑体"/>
        <w:b w:val="0"/>
        <w:bCs w:val="0"/>
        <w:color w:val="auto"/>
        <w:spacing w:val="-9"/>
        <w:sz w:val="32"/>
        <w:szCs w:val="32"/>
      </w:rPr>
      <w:t>附件</w:t>
    </w:r>
    <w:r>
      <w:rPr>
        <w:rFonts w:hint="eastAsia" w:ascii="黑体" w:hAnsi="黑体" w:eastAsia="黑体" w:cs="黑体"/>
        <w:color w:val="auto"/>
        <w:spacing w:val="-57"/>
        <w:sz w:val="32"/>
        <w:szCs w:val="32"/>
      </w:rPr>
      <w:t xml:space="preserve"> </w:t>
    </w:r>
    <w:r>
      <w:rPr>
        <w:rFonts w:hint="eastAsia" w:ascii="黑体" w:hAnsi="黑体" w:eastAsia="黑体" w:cs="黑体"/>
        <w:b w:val="0"/>
        <w:bCs w:val="0"/>
        <w:color w:val="auto"/>
        <w:spacing w:val="-9"/>
        <w:sz w:val="32"/>
        <w:szCs w:val="32"/>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84" w:line="225" w:lineRule="auto"/>
      <w:ind w:left="28"/>
      <w:rPr>
        <w:rFonts w:hint="eastAsia" w:ascii="黑体" w:hAnsi="黑体" w:eastAsia="黑体" w:cs="黑体"/>
        <w:color w:val="auto"/>
        <w:sz w:val="32"/>
        <w:szCs w:val="32"/>
      </w:rPr>
    </w:pPr>
    <w:r>
      <w:rPr>
        <w:rFonts w:hint="eastAsia" w:ascii="黑体" w:hAnsi="黑体" w:eastAsia="黑体" w:cs="黑体"/>
        <w:b w:val="0"/>
        <w:bCs w:val="0"/>
        <w:color w:val="auto"/>
        <w:spacing w:val="-9"/>
        <w:sz w:val="32"/>
        <w:szCs w:val="32"/>
      </w:rPr>
      <w:t>附件</w:t>
    </w:r>
    <w:r>
      <w:rPr>
        <w:rFonts w:hint="eastAsia" w:ascii="黑体" w:hAnsi="黑体" w:eastAsia="黑体" w:cs="黑体"/>
        <w:color w:val="auto"/>
        <w:spacing w:val="-55"/>
        <w:sz w:val="32"/>
        <w:szCs w:val="32"/>
      </w:rPr>
      <w:t xml:space="preserve"> </w:t>
    </w:r>
    <w:r>
      <w:rPr>
        <w:rFonts w:hint="eastAsia" w:ascii="黑体" w:hAnsi="黑体" w:eastAsia="黑体" w:cs="黑体"/>
        <w:b w:val="0"/>
        <w:bCs w:val="0"/>
        <w:color w:val="auto"/>
        <w:spacing w:val="-9"/>
        <w:sz w:val="32"/>
        <w:szCs w:val="32"/>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84" w:line="225" w:lineRule="auto"/>
      <w:ind w:left="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pacing w:val="19"/>
        <w:sz w:val="32"/>
        <w:szCs w:val="32"/>
        <w14:textFill>
          <w14:solidFill>
            <w14:schemeClr w14:val="tx1"/>
          </w14:solidFill>
        </w14:textFill>
      </w:rPr>
      <w:t>附件4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84" w:line="225" w:lineRule="auto"/>
      <w:ind w:left="684"/>
      <w:rPr>
        <w:rFonts w:ascii="宋体" w:hAnsi="宋体" w:eastAsia="宋体" w:cs="宋体"/>
        <w:color w:val="auto"/>
        <w:sz w:val="31"/>
        <w:szCs w:val="31"/>
      </w:rPr>
    </w:pPr>
    <w:r>
      <w:rPr>
        <w:rFonts w:ascii="宋体" w:hAnsi="宋体" w:eastAsia="宋体" w:cs="宋体"/>
        <w:b/>
        <w:bCs/>
        <w:color w:val="auto"/>
        <w:spacing w:val="-9"/>
        <w:sz w:val="31"/>
        <w:szCs w:val="31"/>
      </w:rPr>
      <w:t>附件</w:t>
    </w:r>
    <w:r>
      <w:rPr>
        <w:rFonts w:ascii="宋体" w:hAnsi="宋体" w:eastAsia="宋体" w:cs="宋体"/>
        <w:color w:val="auto"/>
        <w:spacing w:val="-55"/>
        <w:sz w:val="31"/>
        <w:szCs w:val="31"/>
      </w:rPr>
      <w:t xml:space="preserve"> </w:t>
    </w:r>
    <w:r>
      <w:rPr>
        <w:rFonts w:ascii="宋体" w:hAnsi="宋体" w:eastAsia="宋体" w:cs="宋体"/>
        <w:b/>
        <w:bCs/>
        <w:color w:val="auto"/>
        <w:spacing w:val="-9"/>
        <w:sz w:val="31"/>
        <w:szCs w:val="31"/>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F08BA"/>
    <w:multiLevelType w:val="singleLevel"/>
    <w:tmpl w:val="D7FF08BA"/>
    <w:lvl w:ilvl="0" w:tentative="0">
      <w:start w:val="1"/>
      <w:numFmt w:val="chineseCounting"/>
      <w:suff w:val="nothing"/>
      <w:lvlText w:val="（%1）"/>
      <w:lvlJc w:val="left"/>
      <w:rPr>
        <w:rFonts w:hint="eastAsia"/>
      </w:rPr>
    </w:lvl>
  </w:abstractNum>
  <w:abstractNum w:abstractNumId="1">
    <w:nsid w:val="F6DFACEE"/>
    <w:multiLevelType w:val="singleLevel"/>
    <w:tmpl w:val="F6DFACEE"/>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1831A44"/>
    <w:rsid w:val="063F2E76"/>
    <w:rsid w:val="09677B09"/>
    <w:rsid w:val="0A5237FA"/>
    <w:rsid w:val="10803127"/>
    <w:rsid w:val="12EA9BF1"/>
    <w:rsid w:val="13EFCD3D"/>
    <w:rsid w:val="1446F44F"/>
    <w:rsid w:val="144C52D9"/>
    <w:rsid w:val="17FD1CC9"/>
    <w:rsid w:val="1A935750"/>
    <w:rsid w:val="1AF733DB"/>
    <w:rsid w:val="1B6FFBA5"/>
    <w:rsid w:val="1B7C6CA6"/>
    <w:rsid w:val="1B7FDE50"/>
    <w:rsid w:val="1DB18CDA"/>
    <w:rsid w:val="1F91CEFB"/>
    <w:rsid w:val="1FE53791"/>
    <w:rsid w:val="20510493"/>
    <w:rsid w:val="241E2801"/>
    <w:rsid w:val="27544493"/>
    <w:rsid w:val="288B6D61"/>
    <w:rsid w:val="289F0C32"/>
    <w:rsid w:val="2D9B3963"/>
    <w:rsid w:val="2DFAA95B"/>
    <w:rsid w:val="2E644FE7"/>
    <w:rsid w:val="3298720E"/>
    <w:rsid w:val="336D3D6E"/>
    <w:rsid w:val="369938DF"/>
    <w:rsid w:val="377500BA"/>
    <w:rsid w:val="37F6A0CB"/>
    <w:rsid w:val="37FDDA15"/>
    <w:rsid w:val="38A20DF8"/>
    <w:rsid w:val="3CA05E05"/>
    <w:rsid w:val="3DFDEF66"/>
    <w:rsid w:val="3EC2799F"/>
    <w:rsid w:val="3F0C0940"/>
    <w:rsid w:val="3F219241"/>
    <w:rsid w:val="3FCF4AB6"/>
    <w:rsid w:val="3FF7582A"/>
    <w:rsid w:val="3FFDFAF0"/>
    <w:rsid w:val="42142041"/>
    <w:rsid w:val="442C42E7"/>
    <w:rsid w:val="448B4301"/>
    <w:rsid w:val="453FCA17"/>
    <w:rsid w:val="455517CB"/>
    <w:rsid w:val="4AFA3691"/>
    <w:rsid w:val="4EE82601"/>
    <w:rsid w:val="52C319D8"/>
    <w:rsid w:val="52FF6E73"/>
    <w:rsid w:val="548F1F48"/>
    <w:rsid w:val="54D6D636"/>
    <w:rsid w:val="54E41652"/>
    <w:rsid w:val="56ECA4AD"/>
    <w:rsid w:val="57CCDEB6"/>
    <w:rsid w:val="57FFB84C"/>
    <w:rsid w:val="59D303F5"/>
    <w:rsid w:val="5B7F2611"/>
    <w:rsid w:val="5BFF38E3"/>
    <w:rsid w:val="5CBFDD6C"/>
    <w:rsid w:val="5CFEE964"/>
    <w:rsid w:val="5F3F0862"/>
    <w:rsid w:val="5FAFC788"/>
    <w:rsid w:val="5FDF89FF"/>
    <w:rsid w:val="5FF5B90F"/>
    <w:rsid w:val="61756E65"/>
    <w:rsid w:val="62DC26BD"/>
    <w:rsid w:val="63361FD1"/>
    <w:rsid w:val="66DB9859"/>
    <w:rsid w:val="67B56133"/>
    <w:rsid w:val="67DFCF97"/>
    <w:rsid w:val="687D2BE4"/>
    <w:rsid w:val="69A04ABA"/>
    <w:rsid w:val="6AAF58DD"/>
    <w:rsid w:val="6BA85EBC"/>
    <w:rsid w:val="6BFB952C"/>
    <w:rsid w:val="6C022F68"/>
    <w:rsid w:val="6C1134DA"/>
    <w:rsid w:val="6DFE6DDB"/>
    <w:rsid w:val="6E3E6364"/>
    <w:rsid w:val="6E96CD09"/>
    <w:rsid w:val="6EDF9051"/>
    <w:rsid w:val="6EFE3ECC"/>
    <w:rsid w:val="6F7DDECE"/>
    <w:rsid w:val="6FDBD7BC"/>
    <w:rsid w:val="6FF9AB0D"/>
    <w:rsid w:val="6FFF67A9"/>
    <w:rsid w:val="7179DBC7"/>
    <w:rsid w:val="71CB5E4B"/>
    <w:rsid w:val="71FDFE67"/>
    <w:rsid w:val="720915A6"/>
    <w:rsid w:val="73D600AE"/>
    <w:rsid w:val="73FF641A"/>
    <w:rsid w:val="740735EA"/>
    <w:rsid w:val="757E2E0B"/>
    <w:rsid w:val="75FB2530"/>
    <w:rsid w:val="761EA457"/>
    <w:rsid w:val="767F80D0"/>
    <w:rsid w:val="769F419B"/>
    <w:rsid w:val="76BBD9CB"/>
    <w:rsid w:val="76F25190"/>
    <w:rsid w:val="76FAACC8"/>
    <w:rsid w:val="77BBC7E3"/>
    <w:rsid w:val="77E5D8B3"/>
    <w:rsid w:val="77FF9BEC"/>
    <w:rsid w:val="7A6E87C1"/>
    <w:rsid w:val="7AEF8833"/>
    <w:rsid w:val="7AFF551E"/>
    <w:rsid w:val="7B8F6094"/>
    <w:rsid w:val="7BDB5E34"/>
    <w:rsid w:val="7BED054C"/>
    <w:rsid w:val="7CD7006D"/>
    <w:rsid w:val="7D6E61D1"/>
    <w:rsid w:val="7DA62F4B"/>
    <w:rsid w:val="7DAF57F7"/>
    <w:rsid w:val="7DCD04DB"/>
    <w:rsid w:val="7DCF9E28"/>
    <w:rsid w:val="7DE7260D"/>
    <w:rsid w:val="7DFE1276"/>
    <w:rsid w:val="7DFE9EC0"/>
    <w:rsid w:val="7E568671"/>
    <w:rsid w:val="7E7D706E"/>
    <w:rsid w:val="7EB36013"/>
    <w:rsid w:val="7F6E9404"/>
    <w:rsid w:val="7F7F9186"/>
    <w:rsid w:val="7F7F94F9"/>
    <w:rsid w:val="7F8F17D4"/>
    <w:rsid w:val="7FAFD862"/>
    <w:rsid w:val="7FB30164"/>
    <w:rsid w:val="7FB70E01"/>
    <w:rsid w:val="7FBF0F60"/>
    <w:rsid w:val="7FBF725C"/>
    <w:rsid w:val="7FDE64CC"/>
    <w:rsid w:val="7FE3A83F"/>
    <w:rsid w:val="7FED7FF4"/>
    <w:rsid w:val="7FF7177A"/>
    <w:rsid w:val="7FF744CE"/>
    <w:rsid w:val="7FF9D6FF"/>
    <w:rsid w:val="7FFB8CB2"/>
    <w:rsid w:val="7FFFCB73"/>
    <w:rsid w:val="8DDFAE76"/>
    <w:rsid w:val="9B797520"/>
    <w:rsid w:val="9F5B767F"/>
    <w:rsid w:val="9F7E3845"/>
    <w:rsid w:val="A7B43C23"/>
    <w:rsid w:val="ABFEDDFA"/>
    <w:rsid w:val="AC79F2BB"/>
    <w:rsid w:val="AE3953DF"/>
    <w:rsid w:val="AE546CB9"/>
    <w:rsid w:val="AEAFD1CC"/>
    <w:rsid w:val="AFBF802D"/>
    <w:rsid w:val="AFBFDA40"/>
    <w:rsid w:val="B9B6F73F"/>
    <w:rsid w:val="BABD234A"/>
    <w:rsid w:val="BAE36052"/>
    <w:rsid w:val="BBFFE405"/>
    <w:rsid w:val="BC6D502A"/>
    <w:rsid w:val="BC7E3924"/>
    <w:rsid w:val="BDE07594"/>
    <w:rsid w:val="BDF61B97"/>
    <w:rsid w:val="BDFEC467"/>
    <w:rsid w:val="BE7B168F"/>
    <w:rsid w:val="BEE2D2CC"/>
    <w:rsid w:val="BF777598"/>
    <w:rsid w:val="BF9D3303"/>
    <w:rsid w:val="BFCFB14A"/>
    <w:rsid w:val="BFD631C5"/>
    <w:rsid w:val="BFFF5F24"/>
    <w:rsid w:val="C2D7B4A7"/>
    <w:rsid w:val="CAFD3F1F"/>
    <w:rsid w:val="CD7B5327"/>
    <w:rsid w:val="CDBBC3A1"/>
    <w:rsid w:val="CEFE100B"/>
    <w:rsid w:val="CF691FE9"/>
    <w:rsid w:val="D7F3C4AF"/>
    <w:rsid w:val="DAF9D94D"/>
    <w:rsid w:val="DB7D32F5"/>
    <w:rsid w:val="DCBE5F87"/>
    <w:rsid w:val="DD7F7007"/>
    <w:rsid w:val="DF2DCF39"/>
    <w:rsid w:val="DF7A2EE8"/>
    <w:rsid w:val="DF9F96B4"/>
    <w:rsid w:val="E7DBE06D"/>
    <w:rsid w:val="E7DE4FE2"/>
    <w:rsid w:val="E7FFEBA5"/>
    <w:rsid w:val="E8FE1842"/>
    <w:rsid w:val="E9CDBFBF"/>
    <w:rsid w:val="EAB9F2CC"/>
    <w:rsid w:val="EB67FFE2"/>
    <w:rsid w:val="EB774282"/>
    <w:rsid w:val="EBEE06CC"/>
    <w:rsid w:val="EBF90881"/>
    <w:rsid w:val="EDFE4B28"/>
    <w:rsid w:val="EECB5076"/>
    <w:rsid w:val="EF61FE59"/>
    <w:rsid w:val="EFD6FF1A"/>
    <w:rsid w:val="EFF6EC2B"/>
    <w:rsid w:val="F337175F"/>
    <w:rsid w:val="F3746DCE"/>
    <w:rsid w:val="F37FC4CF"/>
    <w:rsid w:val="F3FDA4E6"/>
    <w:rsid w:val="F5DF7540"/>
    <w:rsid w:val="F73CCE31"/>
    <w:rsid w:val="F77DB667"/>
    <w:rsid w:val="F79B600F"/>
    <w:rsid w:val="F79F77E2"/>
    <w:rsid w:val="F7CC3DC1"/>
    <w:rsid w:val="F7F27D21"/>
    <w:rsid w:val="F7FBC5E1"/>
    <w:rsid w:val="F7FEA336"/>
    <w:rsid w:val="F7FF64CE"/>
    <w:rsid w:val="F8FF7E53"/>
    <w:rsid w:val="F9FB65BE"/>
    <w:rsid w:val="FAFF0F98"/>
    <w:rsid w:val="FB9DA38E"/>
    <w:rsid w:val="FBAF8748"/>
    <w:rsid w:val="FBEF94C4"/>
    <w:rsid w:val="FD2FF7A3"/>
    <w:rsid w:val="FDBF7A9E"/>
    <w:rsid w:val="FDFE4B45"/>
    <w:rsid w:val="FE7FEE60"/>
    <w:rsid w:val="FEB5E2B4"/>
    <w:rsid w:val="FECAAD04"/>
    <w:rsid w:val="FEFDE5B8"/>
    <w:rsid w:val="FEFE3E88"/>
    <w:rsid w:val="FF57E9AF"/>
    <w:rsid w:val="FF5F7D23"/>
    <w:rsid w:val="FF7732B8"/>
    <w:rsid w:val="FF7F3CBA"/>
    <w:rsid w:val="FF9F62C0"/>
    <w:rsid w:val="FFAFFC43"/>
    <w:rsid w:val="FFBFDDA3"/>
    <w:rsid w:val="FFC51F42"/>
    <w:rsid w:val="FFCEECF4"/>
    <w:rsid w:val="FFDFCF9C"/>
    <w:rsid w:val="FFE6744D"/>
    <w:rsid w:val="FFFA7ADE"/>
    <w:rsid w:val="FFFAE91A"/>
    <w:rsid w:val="FFFEEA59"/>
    <w:rsid w:val="FFFF48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pPr>
    <w:rPr>
      <w:rFonts w:ascii="Times New Roman" w:hAnsi="Times New Roman" w:eastAsia="宋体" w:cs="黑体"/>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rFonts w:ascii="Times New Roman" w:hAnsi="Times New Roman" w:cs="Times New Roman"/>
      <w:sz w:val="18"/>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194</TotalTime>
  <ScaleCrop>false</ScaleCrop>
  <LinksUpToDate>false</LinksUpToDate>
  <Application>WPS Office_11.8.2.12128_F1E327BC-269C-435d-A152-05C5408002CA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2021-04-23T15:32:00Z</dcterms:created>
  <dc:creator>lil</dc:creator>
  <cp:lastModifiedBy>wangzhaojun</cp:lastModifiedBy>
  <dcterms:modified xsi:type="dcterms:W3CDTF">2026-04-02T11:10:33Z</dcterms:modified>
  <dc:title>珠海市物业管理行业专家库管理办法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2026-02-10T09:54:24Z</vt:filetime>
  </property>
  <property fmtid="{D5CDD505-2E9C-101B-9397-08002B2CF9AE}" pid="4" name="KSOProductBuildVer">
    <vt:lpwstr>2052-11.8.2.12128</vt:lpwstr>
  </property>
  <property fmtid="{D5CDD505-2E9C-101B-9397-08002B2CF9AE}" pid="5" name="ICV">
    <vt:lpwstr>7EAB210A4356FBCE29DECD691C090379</vt:lpwstr>
  </property>
</Properties>
</file>