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珠海市农业农村管理领域行政执法减免清单（征求意见稿）征求意见及采纳情况表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3"/>
        <w:gridCol w:w="2208"/>
        <w:gridCol w:w="5663"/>
        <w:gridCol w:w="1652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意见提出主体</w:t>
            </w:r>
          </w:p>
        </w:tc>
        <w:tc>
          <w:tcPr>
            <w:tcW w:w="2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意见条数</w:t>
            </w:r>
          </w:p>
        </w:tc>
        <w:tc>
          <w:tcPr>
            <w:tcW w:w="56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具体意见内容</w:t>
            </w:r>
          </w:p>
        </w:tc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采纳情况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珠海市农业农村局执法监督科</w:t>
            </w:r>
          </w:p>
        </w:tc>
        <w:tc>
          <w:tcPr>
            <w:tcW w:w="2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6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针对经营需经检验检测方可判定的三类假农药情形，若经营者切实履行进货查验、合规采购以及建立购销台账等法定义务，则应认定其无主观过错，不予实施行政处罚</w:t>
            </w:r>
          </w:p>
          <w:p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针对需经检验检测方可判定的两类劣质农药经营情形，若经营者履行法定经营义务，则应认定其无主观过错，不予行政处罚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 针对经营需通过检验检测方可判定的假、劣兽药情形，若经营者切实履行进货查验、合规采购以及建立台账等法定义务，则应认定其无主观过错，不予实施行政处罚</w:t>
            </w:r>
          </w:p>
        </w:tc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全部采纳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2"/>
              </w:num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遵循《行政处罚法》中过罚相当以及主观过错归责的原则，契合农业行政执法包容审慎监管的要求，能引导农药经营者强化合规管理，兼顾执法严肃性与营商环境优化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契合农药监管实际，情形判定具有专业性，非经营者常规查验可识别，符合《行政处罚法》处罚与教育相结合原则，利于保护合法合规经营主体、规范农药市场秩序</w:t>
            </w:r>
          </w:p>
          <w:p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 契合《兽药管理条例》与《行政处罚法》立法宗旨，情形判定超出经营者日常查验能力时，不予处罚彰显包容审慎监管理念，利于引导兽药经营者落实主体责任、推动兽药市场健康发展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珠海市香洲区农业农村和水务局</w:t>
            </w:r>
          </w:p>
        </w:tc>
        <w:tc>
          <w:tcPr>
            <w:tcW w:w="2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6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3"/>
              </w:num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咨询《减免清单》以外的相关事项时，能否依法作出不予处罚的认定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咨询经营伪劣卫生农药且涉案金额极小的情形，是否可免予处罚</w:t>
            </w:r>
          </w:p>
        </w:tc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全部采纳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《减免清单》为执法参考而非唯一依据，清单外事项若符合《行政处罚法》及相关法律规定的不予处罚情形，行政机关可依法认定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2.货值金额明显偏低，且同时满足情节轻微、及时纠正、未造成危害后果的首次违法情况，在不触碰安全底线的基础上，可依法不予处罚，是合法合规贯彻包容审慎监管理念的体现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社会公众</w:t>
            </w:r>
          </w:p>
        </w:tc>
        <w:tc>
          <w:tcPr>
            <w:tcW w:w="2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6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对《减免清单》的制定内容无异议，建议加速推进该清单的发布与实施进程</w:t>
            </w:r>
          </w:p>
        </w:tc>
        <w:tc>
          <w:tcPr>
            <w:tcW w:w="16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全部采纳</w:t>
            </w:r>
          </w:p>
        </w:tc>
        <w:tc>
          <w:tcPr>
            <w:tcW w:w="27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该意见体现社会公众对本次行政规范性文件制定的积极肯定，符合行政规范性文件公开征求意见的法定程序规定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9CAD3"/>
    <w:multiLevelType w:val="singleLevel"/>
    <w:tmpl w:val="C379C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B85414"/>
    <w:multiLevelType w:val="singleLevel"/>
    <w:tmpl w:val="48B854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C44C0B"/>
    <w:multiLevelType w:val="singleLevel"/>
    <w:tmpl w:val="5CC44C0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E89FE9E"/>
    <w:multiLevelType w:val="singleLevel"/>
    <w:tmpl w:val="7E89FE9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6E986E98"/>
    <w:rsid w:val="77FE504A"/>
    <w:rsid w:val="784C6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807</Words>
  <Characters>811</Characters>
  <TotalTime>3</TotalTime>
  <ScaleCrop>false</ScaleCrop>
  <LinksUpToDate>false</LinksUpToDate>
  <CharactersWithSpaces>814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2026-03-05T01:38:00Z</dcterms:created>
  <dc:creator>Apache POI</dc:creator>
  <cp:lastModifiedBy>杨倩倩</cp:lastModifiedBy>
  <dcterms:modified xsi:type="dcterms:W3CDTF">2026-03-09T08:05:49Z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eyJoZGlkIjoiYzU5ZWEyMjIzNDM2OGVjOTVmODZmZTRmZDRiYzY4ZmUiLCJ1c2VySWQiOiIyODM1NDg3MzkifQ==</vt:lpwstr>
  </property>
  <property fmtid="{D5CDD505-2E9C-101B-9397-08002B2CF9AE}" pid="3" name="KSOProductBuildVer">
    <vt:lpwstr>2052-11.8.2.12085</vt:lpwstr>
  </property>
  <property fmtid="{D5CDD505-2E9C-101B-9397-08002B2CF9AE}" pid="4" name="ICV">
    <vt:lpwstr>214E714D977C4A0594206E9052DA3918_12</vt:lpwstr>
  </property>
</Properties>
</file>