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p>
    <w:p>
      <w:pPr>
        <w:spacing w:line="600"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珠海市城市管理和综合执法局行政处罚免罚清单</w:t>
      </w:r>
    </w:p>
    <w:tbl>
      <w:tblPr>
        <w:tblStyle w:val="6"/>
        <w:tblW w:w="13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708"/>
        <w:gridCol w:w="6034"/>
        <w:gridCol w:w="2119"/>
        <w:gridCol w:w="109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96" w:type="dxa"/>
            <w:noWrap w:val="0"/>
            <w:vAlign w:val="center"/>
          </w:tcPr>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序号</w:t>
            </w:r>
          </w:p>
        </w:tc>
        <w:tc>
          <w:tcPr>
            <w:tcW w:w="1708" w:type="dxa"/>
            <w:noWrap w:val="0"/>
            <w:vAlign w:val="center"/>
          </w:tcPr>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事项名称</w:t>
            </w:r>
          </w:p>
        </w:tc>
        <w:tc>
          <w:tcPr>
            <w:tcW w:w="6034" w:type="dxa"/>
            <w:noWrap w:val="0"/>
            <w:vAlign w:val="center"/>
          </w:tcPr>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lang w:val="en-US" w:eastAsia="zh-CN"/>
              </w:rPr>
              <w:t>实施条款</w:t>
            </w:r>
          </w:p>
        </w:tc>
        <w:tc>
          <w:tcPr>
            <w:tcW w:w="2119" w:type="dxa"/>
            <w:noWrap w:val="0"/>
            <w:vAlign w:val="center"/>
          </w:tcPr>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适用情形</w:t>
            </w:r>
          </w:p>
          <w:p>
            <w:pPr>
              <w:spacing w:line="340" w:lineRule="exact"/>
              <w:jc w:val="center"/>
              <w:rPr>
                <w:rFonts w:hint="eastAsia" w:ascii="仿宋_GB2312" w:hAnsi="黑体" w:eastAsia="仿宋_GB2312" w:cs="黑体"/>
                <w:b/>
                <w:sz w:val="28"/>
                <w:szCs w:val="28"/>
                <w:highlight w:val="none"/>
                <w:lang w:eastAsia="zh-CN"/>
              </w:rPr>
            </w:pPr>
            <w:r>
              <w:rPr>
                <w:rFonts w:hint="eastAsia" w:ascii="仿宋_GB2312" w:hAnsi="黑体" w:eastAsia="仿宋_GB2312" w:cs="黑体"/>
                <w:b/>
                <w:sz w:val="28"/>
                <w:szCs w:val="28"/>
                <w:highlight w:val="none"/>
                <w:lang w:eastAsia="zh-CN"/>
              </w:rPr>
              <w:t>（须同时符合）</w:t>
            </w:r>
          </w:p>
        </w:tc>
        <w:tc>
          <w:tcPr>
            <w:tcW w:w="1094" w:type="dxa"/>
            <w:noWrap w:val="0"/>
            <w:vAlign w:val="center"/>
          </w:tcPr>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免处罚</w:t>
            </w:r>
          </w:p>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依据</w:t>
            </w:r>
          </w:p>
        </w:tc>
        <w:tc>
          <w:tcPr>
            <w:tcW w:w="1582" w:type="dxa"/>
            <w:noWrap w:val="0"/>
            <w:vAlign w:val="center"/>
          </w:tcPr>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配套监管</w:t>
            </w:r>
          </w:p>
          <w:p>
            <w:pPr>
              <w:spacing w:line="340" w:lineRule="exact"/>
              <w:jc w:val="center"/>
              <w:rPr>
                <w:rFonts w:hint="eastAsia" w:ascii="仿宋_GB2312" w:hAnsi="黑体" w:eastAsia="仿宋_GB2312" w:cs="黑体"/>
                <w:b/>
                <w:sz w:val="28"/>
                <w:szCs w:val="28"/>
                <w:highlight w:val="none"/>
              </w:rPr>
            </w:pPr>
            <w:r>
              <w:rPr>
                <w:rFonts w:hint="eastAsia" w:ascii="仿宋_GB2312" w:hAnsi="黑体" w:eastAsia="仿宋_GB2312" w:cs="黑体"/>
                <w:b/>
                <w:sz w:val="28"/>
                <w:szCs w:val="28"/>
                <w:highlight w:val="none"/>
              </w:rPr>
              <w:t>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79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Style w:val="8"/>
                <w:rFonts w:hint="eastAsia" w:ascii="宋体" w:hAnsi="宋体" w:eastAsia="宋体"/>
                <w:b w:val="0"/>
                <w:color w:val="000000"/>
                <w:highlight w:val="none"/>
                <w:lang w:val="en-US" w:eastAsia="zh-CN"/>
              </w:rPr>
            </w:pPr>
            <w:r>
              <w:rPr>
                <w:rStyle w:val="8"/>
                <w:rFonts w:hint="eastAsia" w:ascii="宋体" w:hAnsi="宋体"/>
                <w:b w:val="0"/>
                <w:color w:val="000000"/>
                <w:highlight w:val="none"/>
                <w:lang w:val="en-US" w:eastAsia="zh-CN"/>
              </w:rPr>
              <w:t>1</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szCs w:val="22"/>
                <w:highlight w:val="none"/>
              </w:rPr>
            </w:pPr>
            <w:r>
              <w:rPr>
                <w:rStyle w:val="8"/>
                <w:rFonts w:hint="eastAsia" w:ascii="宋体" w:hAnsi="宋体" w:cs="宋体"/>
                <w:b w:val="0"/>
                <w:szCs w:val="22"/>
                <w:highlight w:val="none"/>
                <w:lang w:eastAsia="zh-CN"/>
              </w:rPr>
              <w:t>对</w:t>
            </w:r>
            <w:r>
              <w:rPr>
                <w:rStyle w:val="8"/>
                <w:rFonts w:hint="eastAsia" w:ascii="宋体" w:hAnsi="宋体" w:eastAsia="宋体" w:cs="宋体"/>
                <w:b w:val="0"/>
                <w:szCs w:val="22"/>
                <w:highlight w:val="none"/>
              </w:rPr>
              <w:t>在城市道路、人行天桥、地下通道等公共场所开展服务业流动经营的行政处罚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《珠海市服务业环境管理条例》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第十八条</w:t>
            </w:r>
            <w:r>
              <w:rPr>
                <w:rFonts w:hint="eastAsia" w:ascii="宋体" w:hAnsi="宋体" w:cs="宋体"/>
                <w:color w:val="auto"/>
                <w:kern w:val="0"/>
                <w:sz w:val="21"/>
                <w:szCs w:val="21"/>
                <w:highlight w:val="none"/>
                <w:lang w:eastAsia="zh-CN"/>
              </w:rPr>
              <w:t>第一款</w:t>
            </w:r>
            <w:r>
              <w:rPr>
                <w:rFonts w:hint="eastAsia" w:ascii="宋体" w:hAnsi="宋体" w:eastAsia="宋体" w:cs="宋体"/>
                <w:color w:val="auto"/>
                <w:kern w:val="0"/>
                <w:sz w:val="21"/>
                <w:szCs w:val="21"/>
                <w:highlight w:val="none"/>
              </w:rPr>
              <w:t>：禁止在城市道路、人行天桥、地下通道等公共场所开展服务业流动经营。违反规定的，由城市管理和综合执法部门处五十元以上五百元以下的罚款，并可以没收其摆卖的物品和设施。</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2.流动经营位置非主要交通道路；</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3.危害后果轻微并及时改正违法行为的。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责令停止违法行为，履行告知承诺程序，限期改正，加强教育、劝导示范、及时复查整改情况、加强行政检查等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atLeast"/>
          <w:jc w:val="center"/>
        </w:trPr>
        <w:tc>
          <w:tcPr>
            <w:tcW w:w="79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Style w:val="8"/>
                <w:rFonts w:hint="eastAsia" w:ascii="宋体" w:hAnsi="宋体" w:eastAsia="宋体"/>
                <w:b w:val="0"/>
                <w:color w:val="000000"/>
                <w:highlight w:val="none"/>
                <w:lang w:val="en-US" w:eastAsia="zh-CN"/>
              </w:rPr>
            </w:pPr>
            <w:r>
              <w:rPr>
                <w:rStyle w:val="8"/>
                <w:rFonts w:hint="eastAsia" w:ascii="宋体" w:hAnsi="宋体"/>
                <w:b w:val="0"/>
                <w:color w:val="000000"/>
                <w:highlight w:val="none"/>
                <w:lang w:val="en-US" w:eastAsia="zh-CN"/>
              </w:rPr>
              <w:t>2</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szCs w:val="22"/>
                <w:highlight w:val="none"/>
              </w:rPr>
            </w:pPr>
            <w:r>
              <w:rPr>
                <w:rStyle w:val="8"/>
                <w:rFonts w:hint="eastAsia" w:ascii="宋体" w:hAnsi="宋体" w:cs="宋体"/>
                <w:b w:val="0"/>
                <w:szCs w:val="22"/>
                <w:highlight w:val="none"/>
                <w:lang w:eastAsia="zh-CN"/>
              </w:rPr>
              <w:t>对</w:t>
            </w:r>
            <w:r>
              <w:rPr>
                <w:rStyle w:val="8"/>
                <w:rFonts w:hint="eastAsia" w:ascii="宋体" w:hAnsi="宋体" w:eastAsia="宋体" w:cs="宋体"/>
                <w:b w:val="0"/>
                <w:szCs w:val="22"/>
                <w:highlight w:val="none"/>
              </w:rPr>
              <w:t>经营者擅自超出经营地址的门、窗、外墙经营或者超出租赁的经营场地的面积摆卖经营的行政处罚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《珠海市服务业环境管理条例》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第十九条</w:t>
            </w:r>
            <w:r>
              <w:rPr>
                <w:rFonts w:hint="eastAsia" w:ascii="宋体" w:hAnsi="宋体" w:cs="宋体"/>
                <w:color w:val="auto"/>
                <w:kern w:val="0"/>
                <w:sz w:val="21"/>
                <w:szCs w:val="21"/>
                <w:highlight w:val="none"/>
                <w:lang w:eastAsia="zh-CN"/>
              </w:rPr>
              <w:t>第一款</w:t>
            </w:r>
            <w:r>
              <w:rPr>
                <w:rFonts w:hint="eastAsia" w:ascii="宋体" w:hAnsi="宋体" w:eastAsia="宋体" w:cs="宋体"/>
                <w:color w:val="auto"/>
                <w:kern w:val="0"/>
                <w:sz w:val="21"/>
                <w:szCs w:val="21"/>
                <w:highlight w:val="none"/>
              </w:rPr>
              <w:t>：禁止经营者擅自超出经营地址的门、窗、外墙经营或者超出租赁的经营场地的面积摆卖经营。违反规定的，由城市管理和综合执法部门责令改正，按照超出面积每平方米处一百元的罚款，不足一平方米的按照一平方米计算；拒不改正的，可以没收其超出面积所摆卖的物品和设施。</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2.超出经营地址的门、窗、外墙经营或者超出租赁场地的面积小于3平方米的；</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3.危害后果轻微并及时改正违法行为的。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责令停止违法行为，履行告知承诺程序，限期改正，加强教育、劝导示范、及时复查整改情况、加强行政检查等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jc w:val="center"/>
        </w:trPr>
        <w:tc>
          <w:tcPr>
            <w:tcW w:w="79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Style w:val="8"/>
                <w:rFonts w:hint="eastAsia" w:ascii="宋体" w:hAnsi="宋体" w:eastAsia="宋体"/>
                <w:b w:val="0"/>
                <w:color w:val="000000"/>
                <w:highlight w:val="none"/>
                <w:lang w:val="en-US" w:eastAsia="zh-CN"/>
              </w:rPr>
            </w:pPr>
            <w:r>
              <w:rPr>
                <w:rStyle w:val="8"/>
                <w:rFonts w:hint="eastAsia" w:ascii="宋体" w:hAnsi="宋体"/>
                <w:b w:val="0"/>
                <w:color w:val="000000"/>
                <w:highlight w:val="none"/>
                <w:lang w:val="en-US" w:eastAsia="zh-CN"/>
              </w:rPr>
              <w:t>3</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szCs w:val="22"/>
                <w:highlight w:val="none"/>
              </w:rPr>
            </w:pPr>
            <w:r>
              <w:rPr>
                <w:rStyle w:val="8"/>
                <w:rFonts w:hint="eastAsia" w:ascii="宋体" w:hAnsi="宋体" w:cs="宋体"/>
                <w:b w:val="0"/>
                <w:szCs w:val="22"/>
                <w:highlight w:val="none"/>
                <w:lang w:eastAsia="zh-CN"/>
              </w:rPr>
              <w:t>对</w:t>
            </w:r>
            <w:r>
              <w:rPr>
                <w:rStyle w:val="8"/>
                <w:rFonts w:hint="eastAsia" w:ascii="宋体" w:hAnsi="宋体" w:eastAsia="宋体" w:cs="宋体"/>
                <w:b w:val="0"/>
                <w:szCs w:val="22"/>
                <w:highlight w:val="none"/>
              </w:rPr>
              <w:t>个人未经城市道路与城市照明设施行政主管部门或会同其他有关部门批准，在城市道路上摆摊设点的行政处罚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《珠海市城市道路与城市照明设施管理办法》</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第三十一条第（七）项：未经城市道路与城市照明设施行政主管部门或会同其他有关部门批准，禁止下列行为：（七）在城市道路上摆摊设点、设置停车场。</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十一条：违反本办法第三十条第（一）至第（四）项、第三十一条第（七）项及第四十六条之规定的，由城市管理行政执法部门责令停止，限期改正，恢复原状，可以并处罚款；造成损坏的，应当依法承担赔偿责任。</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依照上款规定可以并处罚款的，按照以下标准执行：</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（一）对公民可以并处100元以内的罚款。</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（四）法人或者其他组织违反第三十一条第（七）项的可以并处1000元到5000元的罚款。</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2.在城市道路上摆摊设点未造成交通拥堵的；</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3.危害后果轻微并及时改正违法行为的。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责令停止违法行为，限期改正，履行告知承诺程序，加强教育、劝导示范、及时复查整改情况、加强行政检查等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jc w:val="center"/>
        </w:trPr>
        <w:tc>
          <w:tcPr>
            <w:tcW w:w="79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Style w:val="8"/>
                <w:rFonts w:hint="eastAsia" w:ascii="宋体" w:hAnsi="宋体" w:eastAsia="宋体"/>
                <w:b w:val="0"/>
                <w:color w:val="000000"/>
                <w:highlight w:val="none"/>
                <w:lang w:val="en-US" w:eastAsia="zh-CN"/>
              </w:rPr>
            </w:pPr>
            <w:r>
              <w:rPr>
                <w:rStyle w:val="8"/>
                <w:rFonts w:hint="eastAsia" w:ascii="宋体" w:hAnsi="宋体"/>
                <w:b w:val="0"/>
                <w:color w:val="000000"/>
                <w:highlight w:val="none"/>
                <w:lang w:val="en-US" w:eastAsia="zh-CN"/>
              </w:rPr>
              <w:t>4</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szCs w:val="22"/>
                <w:highlight w:val="none"/>
              </w:rPr>
            </w:pPr>
            <w:r>
              <w:rPr>
                <w:rStyle w:val="8"/>
                <w:rFonts w:hint="eastAsia" w:ascii="宋体" w:hAnsi="宋体" w:cs="宋体"/>
                <w:b w:val="0"/>
                <w:szCs w:val="22"/>
                <w:highlight w:val="none"/>
                <w:lang w:eastAsia="zh-CN"/>
              </w:rPr>
              <w:t>对</w:t>
            </w:r>
            <w:r>
              <w:rPr>
                <w:rStyle w:val="8"/>
                <w:rFonts w:hint="eastAsia" w:ascii="宋体" w:hAnsi="宋体" w:eastAsia="宋体" w:cs="宋体"/>
                <w:b w:val="0"/>
                <w:szCs w:val="22"/>
                <w:highlight w:val="none"/>
              </w:rPr>
              <w:t>以采摘、攀折、钉拴、刻划、缠绕等方式损害植物的行政处罚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《珠海经济特区园林绿化条例》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第三十九条第（一）项：禁止下列损害园林绿化及其设施的行为：（一）以采摘、攀折、钉拴、刻划、缠绕等方式损害植物；</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第五十二条：违反本条例第三十九条第（一）项规定的，由城市管理和综合执法部门处以一百元以上五百元以下罚款。</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2.损害植物损失</w:t>
            </w:r>
            <w:r>
              <w:rPr>
                <w:rStyle w:val="8"/>
                <w:rFonts w:hint="eastAsia" w:ascii="宋体" w:hAnsi="宋体" w:cs="宋体"/>
                <w:b w:val="0"/>
                <w:highlight w:val="none"/>
                <w:lang w:val="en-US" w:eastAsia="zh-CN"/>
              </w:rPr>
              <w:t>小</w:t>
            </w:r>
            <w:r>
              <w:rPr>
                <w:rStyle w:val="8"/>
                <w:rFonts w:hint="eastAsia" w:ascii="宋体" w:hAnsi="宋体" w:eastAsia="宋体" w:cs="宋体"/>
                <w:b w:val="0"/>
                <w:highlight w:val="none"/>
                <w:lang w:val="en-US" w:eastAsia="zh-CN"/>
              </w:rPr>
              <w:t>于80元的；</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3.损害植物数量1棵（株）的；</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4.损害植物面积</w:t>
            </w:r>
            <w:r>
              <w:rPr>
                <w:rStyle w:val="8"/>
                <w:rFonts w:hint="eastAsia" w:ascii="宋体" w:hAnsi="宋体" w:cs="宋体"/>
                <w:b w:val="0"/>
                <w:highlight w:val="none"/>
                <w:lang w:val="en-US" w:eastAsia="zh-CN"/>
              </w:rPr>
              <w:t>小</w:t>
            </w:r>
            <w:r>
              <w:rPr>
                <w:rStyle w:val="8"/>
                <w:rFonts w:hint="eastAsia" w:ascii="宋体" w:hAnsi="宋体" w:eastAsia="宋体" w:cs="宋体"/>
                <w:b w:val="0"/>
                <w:highlight w:val="none"/>
                <w:lang w:val="en-US" w:eastAsia="zh-CN"/>
              </w:rPr>
              <w:t>于0.1平方米的；</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5.危害后果轻微并及时改正违法行为的。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责令停止违法行为，限期改正，履行告知承诺程序，加强教育、劝导示范、及时复查整改情况、加强行政检查等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796"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Style w:val="8"/>
                <w:rFonts w:hint="eastAsia" w:ascii="宋体" w:hAnsi="宋体" w:eastAsia="宋体"/>
                <w:b w:val="0"/>
                <w:color w:val="000000"/>
                <w:highlight w:val="none"/>
                <w:lang w:val="en-US" w:eastAsia="zh-CN"/>
              </w:rPr>
            </w:pPr>
            <w:r>
              <w:rPr>
                <w:rStyle w:val="8"/>
                <w:rFonts w:hint="eastAsia" w:ascii="宋体" w:hAnsi="宋体"/>
                <w:b w:val="0"/>
                <w:color w:val="000000"/>
                <w:highlight w:val="none"/>
                <w:lang w:val="en-US" w:eastAsia="zh-CN"/>
              </w:rPr>
              <w:t>5</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szCs w:val="22"/>
                <w:highlight w:val="none"/>
              </w:rPr>
            </w:pPr>
            <w:r>
              <w:rPr>
                <w:rStyle w:val="8"/>
                <w:rFonts w:hint="eastAsia" w:ascii="宋体" w:hAnsi="宋体" w:cs="宋体"/>
                <w:b w:val="0"/>
                <w:szCs w:val="22"/>
                <w:highlight w:val="none"/>
                <w:lang w:eastAsia="zh-CN"/>
              </w:rPr>
              <w:t>对</w:t>
            </w:r>
            <w:r>
              <w:rPr>
                <w:rStyle w:val="8"/>
                <w:rFonts w:hint="eastAsia" w:ascii="宋体" w:hAnsi="宋体" w:eastAsia="宋体" w:cs="宋体"/>
                <w:b w:val="0"/>
                <w:szCs w:val="22"/>
                <w:highlight w:val="none"/>
              </w:rPr>
              <w:t>违反管理规定践踏公共绿地的行政处罚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《珠海经济特区园林绿化条例》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第三十九条第（二）项：禁止下列损害园林绿化及其设施的行为：（二）违反管理规定践踏公共绿地；</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第五十二条：违反本条例第三十九条第（二）项规定的，由城市管理和综合执法部门处以一百元以上五百元以下罚款。</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2.危害后果轻微并及时改正违法行为的。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highlight w:val="none"/>
              </w:rPr>
            </w:pPr>
            <w:r>
              <w:rPr>
                <w:rStyle w:val="8"/>
                <w:rFonts w:hint="eastAsia" w:ascii="宋体" w:hAnsi="宋体" w:eastAsia="宋体" w:cs="宋体"/>
                <w:b w:val="0"/>
                <w:bCs w:val="0"/>
                <w:color w:val="000000"/>
                <w:highlight w:val="none"/>
              </w:rPr>
              <w:t>责令停止违法行为，限期改正，履行告知承诺程序，加强教育、劝导示范、及时复查整改情况、加强行政检查等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7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Style w:val="8"/>
                <w:rFonts w:hint="eastAsia" w:ascii="宋体" w:hAnsi="宋体" w:eastAsia="宋体"/>
                <w:b w:val="0"/>
                <w:color w:val="000000"/>
                <w:highlight w:val="none"/>
                <w:lang w:val="en-US" w:eastAsia="zh-CN"/>
              </w:rPr>
            </w:pPr>
            <w:r>
              <w:rPr>
                <w:rStyle w:val="8"/>
                <w:rFonts w:hint="eastAsia" w:ascii="宋体" w:hAnsi="宋体"/>
                <w:b w:val="0"/>
                <w:color w:val="000000"/>
                <w:highlight w:val="none"/>
                <w:lang w:val="en-US" w:eastAsia="zh-CN"/>
              </w:rPr>
              <w:t>6</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default" w:eastAsia="宋体"/>
                <w:b w:val="0"/>
                <w:szCs w:val="22"/>
                <w:highlight w:val="none"/>
                <w:lang w:val="en-US" w:eastAsia="zh-CN"/>
              </w:rPr>
            </w:pPr>
            <w:r>
              <w:rPr>
                <w:rFonts w:hint="eastAsia" w:ascii="宋体" w:hAnsi="宋体" w:cs="宋体"/>
                <w:color w:val="auto"/>
                <w:kern w:val="0"/>
                <w:szCs w:val="21"/>
                <w:highlight w:val="none"/>
                <w:lang w:val="en-US" w:eastAsia="zh-CN"/>
              </w:rPr>
              <w:t>对个人</w:t>
            </w:r>
            <w:r>
              <w:rPr>
                <w:rFonts w:hint="eastAsia" w:ascii="宋体" w:hAnsi="宋体" w:cs="宋体"/>
                <w:color w:val="auto"/>
                <w:kern w:val="0"/>
                <w:szCs w:val="21"/>
                <w:highlight w:val="none"/>
              </w:rPr>
              <w:t>未将不能就地处理的餐厨垃圾全量交由餐厨垃圾特许经营企业收集、运输、处理的</w:t>
            </w:r>
            <w:r>
              <w:rPr>
                <w:rFonts w:hint="eastAsia" w:ascii="宋体" w:hAnsi="宋体" w:cs="宋体"/>
                <w:color w:val="auto"/>
                <w:kern w:val="0"/>
                <w:szCs w:val="21"/>
                <w:highlight w:val="none"/>
                <w:lang w:val="en-US" w:eastAsia="zh-CN"/>
              </w:rPr>
              <w:t>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《珠海经济特区生活垃圾分类管理条例》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第</w:t>
            </w:r>
            <w:r>
              <w:rPr>
                <w:rFonts w:hint="eastAsia" w:ascii="宋体" w:hAnsi="宋体" w:cs="宋体"/>
                <w:color w:val="auto"/>
                <w:kern w:val="0"/>
                <w:szCs w:val="21"/>
                <w:highlight w:val="none"/>
              </w:rPr>
              <w:t>三十一条第一款：厨余垃圾应当按照规定交由具备相应资质条件的单位进行无害化处理。餐厨垃圾收集、运输、处理实行特许经营。产生餐厨垃圾的单位和其他生产经营者，应当将不能就地处理的餐厨垃圾全量交由餐厨垃圾特许经营企业收集、运输、处理。</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b w:val="0"/>
                <w:bCs w:val="0"/>
                <w:color w:val="000000"/>
                <w:highlight w:val="none"/>
              </w:rPr>
            </w:pPr>
            <w:r>
              <w:rPr>
                <w:rFonts w:hint="eastAsia" w:ascii="宋体" w:hAnsi="宋体" w:cs="宋体"/>
                <w:color w:val="auto"/>
                <w:kern w:val="0"/>
                <w:szCs w:val="21"/>
                <w:highlight w:val="none"/>
              </w:rPr>
              <w:t>第四十五条第一款：违反本条例第三十一条第一款规定，未将不能就地处理的餐厨垃圾全量交由餐厨垃圾特许经营企业收集、运输、处理的，由城市管理和综合执法部门责令改正，并对单位处十万元以上一百万元以下罚款，对个人处一百元以上五百元以下罚款，有违法所得的，没收违法所得</w:t>
            </w:r>
            <w:r>
              <w:rPr>
                <w:rFonts w:hint="eastAsia" w:ascii="宋体" w:hAnsi="宋体" w:cs="宋体"/>
                <w:color w:val="auto"/>
                <w:kern w:val="0"/>
                <w:szCs w:val="21"/>
                <w:highlight w:val="none"/>
                <w:lang w:eastAsia="zh-CN"/>
              </w:rPr>
              <w:t>。</w:t>
            </w:r>
            <w:r>
              <w:rPr>
                <w:rFonts w:ascii="宋体" w:hAnsi="宋体"/>
                <w:b/>
                <w:bCs/>
                <w:color w:val="000000"/>
                <w:highlight w:val="none"/>
              </w:rPr>
              <w:fldChar w:fldCharType="begin"/>
            </w:r>
            <w:r>
              <w:rPr>
                <w:rStyle w:val="8"/>
                <w:rFonts w:ascii="宋体" w:hAnsi="宋体"/>
                <w:b w:val="0"/>
                <w:bCs w:val="0"/>
                <w:color w:val="000000"/>
                <w:highlight w:val="none"/>
              </w:rPr>
              <w:instrText xml:space="preserve"> HYPERLINK "javascript:void(0);" </w:instrText>
            </w:r>
            <w:r>
              <w:rPr>
                <w:rFonts w:ascii="宋体" w:hAnsi="宋体"/>
                <w:b/>
                <w:bCs/>
                <w:color w:val="000000"/>
                <w:highlight w:val="none"/>
              </w:rPr>
              <w:fldChar w:fldCharType="separate"/>
            </w:r>
            <w:r>
              <w:rPr>
                <w:rFonts w:ascii="宋体" w:hAnsi="宋体"/>
                <w:b/>
                <w:bCs/>
                <w:color w:val="000000"/>
                <w:highlight w:val="none"/>
              </w:rPr>
              <w:fldChar w:fldCharType="end"/>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color w:val="00000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color w:val="000000"/>
                <w:highlight w:val="none"/>
                <w:lang w:val="en-US" w:eastAsia="zh-CN"/>
              </w:rPr>
            </w:pPr>
            <w:r>
              <w:rPr>
                <w:rStyle w:val="8"/>
                <w:rFonts w:hint="eastAsia" w:ascii="宋体" w:hAnsi="宋体" w:eastAsia="宋体" w:cs="宋体"/>
                <w:b w:val="0"/>
                <w:highlight w:val="none"/>
                <w:lang w:val="en-US" w:eastAsia="zh-CN"/>
              </w:rPr>
              <w:t>2.与餐厨垃圾特许经营企业签订收运协议的</w:t>
            </w:r>
            <w:r>
              <w:rPr>
                <w:rStyle w:val="8"/>
                <w:rFonts w:hint="eastAsia" w:ascii="宋体" w:hAnsi="宋体" w:eastAsia="宋体" w:cs="宋体"/>
                <w:b w:val="0"/>
                <w:color w:val="000000"/>
                <w:highlight w:val="none"/>
                <w:lang w:val="en-US" w:eastAsia="zh-CN"/>
              </w:rPr>
              <w:t>；</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highlight w:val="none"/>
              </w:rPr>
            </w:pPr>
            <w:r>
              <w:rPr>
                <w:rStyle w:val="8"/>
                <w:rFonts w:hint="eastAsia" w:ascii="宋体" w:hAnsi="宋体" w:eastAsia="宋体" w:cs="宋体"/>
                <w:b w:val="0"/>
                <w:highlight w:val="none"/>
                <w:lang w:val="en-US" w:eastAsia="zh-CN"/>
              </w:rPr>
              <w:t>3.危害后果轻微并及时改正违法行为的。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b w:val="0"/>
                <w:bCs w:val="0"/>
                <w:color w:val="000000"/>
                <w:highlight w:val="none"/>
              </w:rPr>
            </w:pPr>
            <w:r>
              <w:rPr>
                <w:rStyle w:val="8"/>
                <w:rFonts w:hint="eastAsia" w:ascii="宋体" w:hAnsi="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b w:val="0"/>
                <w:bCs w:val="0"/>
                <w:color w:val="000000"/>
                <w:highlight w:val="none"/>
                <w:lang w:eastAsia="zh-CN"/>
              </w:rPr>
            </w:pPr>
            <w:r>
              <w:rPr>
                <w:rStyle w:val="8"/>
                <w:rFonts w:hint="eastAsia" w:ascii="宋体" w:hAnsi="宋体"/>
                <w:b w:val="0"/>
                <w:bCs w:val="0"/>
                <w:color w:val="000000"/>
                <w:highlight w:val="none"/>
              </w:rPr>
              <w:t>责令停止违法行为，限期改正</w:t>
            </w:r>
            <w:r>
              <w:rPr>
                <w:rStyle w:val="8"/>
                <w:rFonts w:hint="eastAsia" w:ascii="宋体" w:hAnsi="宋体"/>
                <w:b w:val="0"/>
                <w:bCs w:val="0"/>
                <w:color w:val="000000"/>
                <w:highlight w:val="none"/>
                <w:lang w:eastAsia="zh-CN"/>
              </w:rPr>
              <w:t>，</w:t>
            </w:r>
            <w:r>
              <w:rPr>
                <w:highlight w:val="none"/>
              </w:rPr>
              <w:t>履行告知承诺程序</w:t>
            </w:r>
            <w:r>
              <w:rPr>
                <w:rFonts w:hint="eastAsia"/>
                <w:highlight w:val="none"/>
                <w:lang w:eastAsia="zh-CN"/>
              </w:rPr>
              <w:t>，</w:t>
            </w:r>
            <w:r>
              <w:rPr>
                <w:rStyle w:val="8"/>
                <w:rFonts w:hint="eastAsia" w:ascii="宋体" w:hAnsi="宋体"/>
                <w:b w:val="0"/>
                <w:color w:val="000000"/>
                <w:highlight w:val="none"/>
              </w:rPr>
              <w:t>加强教育、劝导示范、及时复查整改情况、加强行政检查</w:t>
            </w:r>
            <w:r>
              <w:rPr>
                <w:rStyle w:val="8"/>
                <w:rFonts w:hint="eastAsia" w:ascii="宋体" w:hAnsi="宋体"/>
                <w:b w:val="0"/>
                <w:color w:val="000000"/>
                <w:highlight w:val="none"/>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7" w:hRule="atLeast"/>
          <w:jc w:val="center"/>
        </w:trPr>
        <w:tc>
          <w:tcPr>
            <w:tcW w:w="79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7</w:t>
            </w:r>
          </w:p>
        </w:tc>
        <w:tc>
          <w:tcPr>
            <w:tcW w:w="170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对养犬人未即时清除犬只排泄的粪便的行政处罚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《珠海经济特区养犬管理条例》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第二十四条第一款第（七）项：养犬人携带犬只外出应当遵守下列规定：（七）即时清除犬只排泄的粪便。</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第四十四条第二款：违反本条例第二十四条第一款第（七）项规定的，由城市管理和综合执法部门给予警告或者处二百元罚款。</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1.初次违法；</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highlight w:val="none"/>
                <w:lang w:val="en-US" w:eastAsia="zh-CN"/>
              </w:rPr>
            </w:pPr>
            <w:r>
              <w:rPr>
                <w:rStyle w:val="8"/>
                <w:rFonts w:hint="eastAsia" w:ascii="宋体" w:hAnsi="宋体" w:eastAsia="宋体" w:cs="宋体"/>
                <w:b w:val="0"/>
                <w:highlight w:val="none"/>
                <w:lang w:val="en-US" w:eastAsia="zh-CN"/>
              </w:rPr>
              <w:t>2.危害后果轻微并及时改正违法行为的。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b w:val="0"/>
                <w:bCs w:val="0"/>
                <w:color w:val="000000"/>
                <w:highlight w:val="none"/>
              </w:rPr>
            </w:pPr>
            <w:r>
              <w:rPr>
                <w:rStyle w:val="8"/>
                <w:rFonts w:hint="eastAsia" w:ascii="宋体" w:hAnsi="宋体"/>
                <w:b w:val="0"/>
                <w:bCs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b w:val="0"/>
                <w:bCs w:val="0"/>
                <w:color w:val="000000"/>
                <w:highlight w:val="none"/>
              </w:rPr>
            </w:pPr>
            <w:r>
              <w:rPr>
                <w:rStyle w:val="8"/>
                <w:rFonts w:hint="eastAsia" w:ascii="宋体" w:hAnsi="宋体"/>
                <w:b w:val="0"/>
                <w:bCs w:val="0"/>
                <w:color w:val="000000"/>
                <w:highlight w:val="none"/>
              </w:rPr>
              <w:t>责令停止违法行为，履行告知承诺程序，限期改正，加强教育、劝导示范、及时复查整改情况、加强行政检查等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796" w:type="dxa"/>
            <w:noWrap w:val="0"/>
            <w:vAlign w:val="center"/>
          </w:tcPr>
          <w:p>
            <w:pPr>
              <w:widowControl/>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8</w:t>
            </w:r>
          </w:p>
        </w:tc>
        <w:tc>
          <w:tcPr>
            <w:tcW w:w="170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对</w:t>
            </w:r>
            <w:r>
              <w:rPr>
                <w:rFonts w:hint="eastAsia" w:ascii="宋体" w:hAnsi="宋体" w:eastAsia="宋体" w:cs="宋体"/>
                <w:b w:val="0"/>
                <w:bCs/>
                <w:color w:val="000000"/>
                <w:kern w:val="0"/>
                <w:sz w:val="21"/>
                <w:szCs w:val="21"/>
                <w:highlight w:val="none"/>
                <w:lang w:val="en-US" w:eastAsia="zh-CN"/>
              </w:rPr>
              <w:t>单位和个人占用道路、桥梁、人行天桥、地下通道等公共场所饲养、经营犬只的行政处罚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《珠海经济特区养犬管理条例》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第三十条第二款：任何单位和个人不得占用道路、桥梁、人行天桥、地下通道等公共场所饲养、经营犬只。</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第四十七条第二款：违反本条例第三十条第二款规定的，由城市管理和综合执法部门责令改正，给予警告；拒不改正的，没收犬只，并处二百元罚款。</w:t>
            </w:r>
          </w:p>
        </w:tc>
        <w:tc>
          <w:tcPr>
            <w:tcW w:w="2119"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1.初次违法；</w:t>
            </w:r>
          </w:p>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sz w:val="21"/>
                <w:szCs w:val="21"/>
                <w:highlight w:val="none"/>
              </w:rPr>
            </w:pPr>
            <w:r>
              <w:rPr>
                <w:rStyle w:val="8"/>
                <w:rFonts w:hint="eastAsia" w:ascii="宋体" w:hAnsi="宋体" w:eastAsia="宋体" w:cs="宋体"/>
                <w:b w:val="0"/>
                <w:bCs w:val="0"/>
                <w:color w:val="000000"/>
                <w:sz w:val="21"/>
                <w:szCs w:val="21"/>
                <w:highlight w:val="none"/>
              </w:rPr>
              <w:t>责令停止违法行为，履行告知承诺程序，限期改正，加强教育、劝导示范、及时复查整改情况、加强行政检查等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1" w:hRule="atLeast"/>
          <w:jc w:val="center"/>
        </w:trPr>
        <w:tc>
          <w:tcPr>
            <w:tcW w:w="796" w:type="dxa"/>
            <w:noWrap w:val="0"/>
            <w:vAlign w:val="center"/>
          </w:tcPr>
          <w:p>
            <w:pPr>
              <w:widowControl/>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9</w:t>
            </w:r>
          </w:p>
        </w:tc>
        <w:tc>
          <w:tcPr>
            <w:tcW w:w="170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对</w:t>
            </w:r>
            <w:r>
              <w:rPr>
                <w:rFonts w:hint="eastAsia" w:ascii="宋体" w:hAnsi="宋体" w:eastAsia="宋体" w:cs="宋体"/>
                <w:b w:val="0"/>
                <w:bCs/>
                <w:color w:val="000000"/>
                <w:kern w:val="0"/>
                <w:sz w:val="21"/>
                <w:szCs w:val="21"/>
                <w:highlight w:val="none"/>
                <w:lang w:val="en-US" w:eastAsia="zh-CN"/>
              </w:rPr>
              <w:t>经营者在从事犬只经营活动中破坏公共场所环境卫生的行政处罚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《珠海经济特区养犬管理条例》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第三十一条</w:t>
            </w:r>
            <w:r>
              <w:rPr>
                <w:rStyle w:val="8"/>
                <w:rFonts w:hint="eastAsia" w:ascii="宋体" w:hAnsi="宋体" w:cs="宋体"/>
                <w:b w:val="0"/>
                <w:color w:val="000000"/>
                <w:sz w:val="21"/>
                <w:szCs w:val="21"/>
                <w:highlight w:val="none"/>
                <w:lang w:eastAsia="zh-CN"/>
              </w:rPr>
              <w:t>第一款</w:t>
            </w:r>
            <w:r>
              <w:rPr>
                <w:rStyle w:val="8"/>
                <w:rFonts w:hint="eastAsia" w:ascii="宋体" w:hAnsi="宋体" w:eastAsia="宋体" w:cs="宋体"/>
                <w:b w:val="0"/>
                <w:color w:val="000000"/>
                <w:sz w:val="21"/>
                <w:szCs w:val="21"/>
                <w:highlight w:val="none"/>
              </w:rPr>
              <w:t>：进行犬只销售、养殖、诊疗、托管、美容、培训、展览和表演等活动的，犬只和经营场所应当符合《中华人民共和国动物防疫法》《广东省动物防疫条例》规定的防疫条件，办理相关手续；经营者应当采取有效措施，防止、制止犬只扰民或者破坏公共场所环境卫生。</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第四十八条第二款：违反本条例第三十一条规定，在从事犬只经营活动中破坏公共场所环境卫生的，由城市管理和综合执法部门责令改正，给予警告；拒不改正的，处三千元罚款。</w:t>
            </w:r>
          </w:p>
        </w:tc>
        <w:tc>
          <w:tcPr>
            <w:tcW w:w="2119"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1.初次违法；</w:t>
            </w:r>
          </w:p>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sz w:val="21"/>
                <w:szCs w:val="21"/>
                <w:highlight w:val="none"/>
              </w:rPr>
            </w:pPr>
            <w:r>
              <w:rPr>
                <w:rStyle w:val="8"/>
                <w:rFonts w:hint="eastAsia" w:ascii="宋体" w:hAnsi="宋体" w:eastAsia="宋体" w:cs="宋体"/>
                <w:b w:val="0"/>
                <w:bCs w:val="0"/>
                <w:color w:val="000000"/>
                <w:sz w:val="21"/>
                <w:szCs w:val="21"/>
                <w:highlight w:val="none"/>
              </w:rPr>
              <w:t>责令停止违法行为，履行告知承诺程序，限期改正，加强教育、劝导示范、及时复查整改情况、加强行政检查等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jc w:val="center"/>
        </w:trPr>
        <w:tc>
          <w:tcPr>
            <w:tcW w:w="796" w:type="dxa"/>
            <w:noWrap w:val="0"/>
            <w:vAlign w:val="center"/>
          </w:tcPr>
          <w:p>
            <w:pPr>
              <w:widowControl/>
              <w:jc w:val="center"/>
              <w:rPr>
                <w:rFonts w:hint="default" w:ascii="宋体" w:hAnsi="宋体" w:eastAsia="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10</w:t>
            </w:r>
          </w:p>
        </w:tc>
        <w:tc>
          <w:tcPr>
            <w:tcW w:w="1708"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000000"/>
                <w:kern w:val="0"/>
                <w:sz w:val="21"/>
                <w:szCs w:val="21"/>
                <w:highlight w:val="none"/>
                <w:lang w:val="en-US" w:eastAsia="zh-CN"/>
              </w:rPr>
            </w:pPr>
            <w:r>
              <w:rPr>
                <w:rFonts w:hint="eastAsia" w:ascii="宋体" w:hAnsi="宋体" w:cs="宋体"/>
                <w:b w:val="0"/>
                <w:bCs/>
                <w:color w:val="000000"/>
                <w:kern w:val="0"/>
                <w:sz w:val="21"/>
                <w:szCs w:val="21"/>
                <w:highlight w:val="none"/>
                <w:lang w:val="en-US" w:eastAsia="zh-CN"/>
              </w:rPr>
              <w:t>对</w:t>
            </w:r>
            <w:r>
              <w:rPr>
                <w:rFonts w:hint="eastAsia" w:ascii="宋体" w:hAnsi="宋体" w:eastAsia="宋体" w:cs="宋体"/>
                <w:b w:val="0"/>
                <w:bCs/>
                <w:color w:val="000000"/>
                <w:kern w:val="0"/>
                <w:sz w:val="21"/>
                <w:szCs w:val="21"/>
                <w:highlight w:val="none"/>
                <w:lang w:val="en-US" w:eastAsia="zh-CN"/>
              </w:rPr>
              <w:t>户外广告设施设置期满，未重新取得设置权又不按期拆除的行政处罚</w:t>
            </w:r>
          </w:p>
        </w:tc>
        <w:tc>
          <w:tcPr>
            <w:tcW w:w="6034" w:type="dxa"/>
            <w:noWrap w:val="0"/>
            <w:vAlign w:val="center"/>
          </w:tcPr>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《珠海经济特区户外广告设施和招牌设置管理条例》</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第二十九条：公共场地的户外商业广告设施设置权期满后，仍符合规划需要出让的，依照本条例第二十三条的规定出让。</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非公共场地的户外商业广告设施设置权期满后，仍符合设置规划的，设置权应当重新申请。</w:t>
            </w:r>
          </w:p>
          <w:p>
            <w:pPr>
              <w:keepNext w:val="0"/>
              <w:keepLines w:val="0"/>
              <w:pageBreakBefore w:val="0"/>
              <w:kinsoku/>
              <w:wordWrap/>
              <w:overflowPunct/>
              <w:topLinePunct w:val="0"/>
              <w:autoSpaceDE/>
              <w:autoSpaceDN/>
              <w:bidi w:val="0"/>
              <w:adjustRightInd/>
              <w:snapToGrid w:val="0"/>
              <w:spacing w:line="240" w:lineRule="auto"/>
              <w:ind w:firstLine="420" w:firstLineChars="200"/>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第三十六条第（二）项：违反本条例规定，有下列行为之一的，由城市管理和综合执法部门进行处罚：（二）户外广告设施设置期满，未重新取得设置权又不按期拆除的，责令限期拆除；逾期不拆除的，可以依法强制拆除，并按每平方米处以二千元罚款；</w:t>
            </w:r>
          </w:p>
        </w:tc>
        <w:tc>
          <w:tcPr>
            <w:tcW w:w="2119" w:type="dxa"/>
            <w:noWrap w:val="0"/>
            <w:vAlign w:val="center"/>
          </w:tcPr>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1.初次违法；</w:t>
            </w:r>
          </w:p>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2.逾期未拆除，但已重新提交设置权申请的；</w:t>
            </w:r>
          </w:p>
          <w:p>
            <w:pPr>
              <w:keepNext w:val="0"/>
              <w:keepLines w:val="0"/>
              <w:pageBreakBefore w:val="0"/>
              <w:numPr>
                <w:ilvl w:val="0"/>
                <w:numId w:val="0"/>
              </w:numPr>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Style w:val="8"/>
                <w:rFonts w:hint="eastAsia" w:ascii="宋体" w:hAnsi="宋体" w:eastAsia="宋体" w:cs="宋体"/>
                <w:b w:val="0"/>
                <w:highlight w:val="none"/>
                <w:lang w:val="en-US" w:eastAsia="zh-CN"/>
              </w:rPr>
              <w:t>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color w:val="000000"/>
                <w:sz w:val="21"/>
                <w:szCs w:val="21"/>
                <w:highlight w:val="none"/>
              </w:rPr>
            </w:pPr>
            <w:r>
              <w:rPr>
                <w:rStyle w:val="8"/>
                <w:rFonts w:hint="eastAsia" w:ascii="宋体" w:hAnsi="宋体" w:eastAsia="宋体" w:cs="宋体"/>
                <w:b w:val="0"/>
                <w:color w:val="000000"/>
                <w:sz w:val="21"/>
                <w:szCs w:val="21"/>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bCs w:val="0"/>
                <w:color w:val="000000"/>
                <w:sz w:val="21"/>
                <w:szCs w:val="21"/>
                <w:highlight w:val="none"/>
              </w:rPr>
            </w:pPr>
            <w:r>
              <w:rPr>
                <w:rStyle w:val="8"/>
                <w:rFonts w:hint="eastAsia" w:ascii="宋体" w:hAnsi="宋体" w:eastAsia="宋体" w:cs="宋体"/>
                <w:b w:val="0"/>
                <w:bCs w:val="0"/>
                <w:color w:val="000000"/>
                <w:sz w:val="21"/>
                <w:szCs w:val="21"/>
                <w:highlight w:val="none"/>
              </w:rPr>
              <w:t>责令停止违法行为，履行告知承诺程序，限期改正，加强教育、劝导示范、及时复查整改情况、加强行政检查等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1" w:hRule="atLeast"/>
          <w:jc w:val="center"/>
        </w:trPr>
        <w:tc>
          <w:tcPr>
            <w:tcW w:w="796" w:type="dxa"/>
            <w:noWrap w:val="0"/>
            <w:vAlign w:val="center"/>
          </w:tcPr>
          <w:p>
            <w:pPr>
              <w:widowControl/>
              <w:jc w:val="center"/>
              <w:rPr>
                <w:rFonts w:hint="default" w:ascii="宋体" w:hAnsi="宋体" w:cs="宋体"/>
                <w:color w:val="000000"/>
                <w:kern w:val="0"/>
                <w:szCs w:val="21"/>
                <w:highlight w:val="none"/>
                <w:lang w:val="en-US" w:eastAsia="zh-CN"/>
              </w:rPr>
            </w:pPr>
            <w:r>
              <w:rPr>
                <w:rFonts w:hint="eastAsia" w:ascii="宋体" w:hAnsi="宋体" w:cs="宋体"/>
                <w:color w:val="000000"/>
                <w:kern w:val="0"/>
                <w:szCs w:val="21"/>
                <w:highlight w:val="none"/>
                <w:lang w:val="en-US" w:eastAsia="zh-CN"/>
              </w:rPr>
              <w:t>11</w:t>
            </w:r>
          </w:p>
        </w:tc>
        <w:tc>
          <w:tcPr>
            <w:tcW w:w="1708" w:type="dxa"/>
            <w:noWrap w:val="0"/>
            <w:vAlign w:val="center"/>
          </w:tcPr>
          <w:p>
            <w:pPr>
              <w:spacing w:line="260" w:lineRule="exact"/>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宋体" w:hAnsi="宋体" w:cs="宋体"/>
                <w:b w:val="0"/>
                <w:bCs/>
                <w:color w:val="000000"/>
                <w:kern w:val="0"/>
                <w:sz w:val="21"/>
                <w:szCs w:val="21"/>
                <w:highlight w:val="none"/>
                <w:lang w:val="en-US" w:eastAsia="zh-CN"/>
              </w:rPr>
              <w:t>对用户</w:t>
            </w:r>
            <w:r>
              <w:rPr>
                <w:rFonts w:hint="default" w:ascii="宋体" w:hAnsi="宋体" w:eastAsia="宋体" w:cs="宋体"/>
                <w:b w:val="0"/>
                <w:bCs/>
                <w:color w:val="000000"/>
                <w:kern w:val="0"/>
                <w:sz w:val="21"/>
                <w:szCs w:val="21"/>
                <w:highlight w:val="none"/>
                <w:lang w:val="en-US" w:eastAsia="zh-CN"/>
              </w:rPr>
              <w:t>乱停乱放互联网租赁自行车</w:t>
            </w:r>
            <w:r>
              <w:rPr>
                <w:rFonts w:hint="eastAsia" w:ascii="宋体" w:hAnsi="宋体" w:eastAsia="宋体" w:cs="宋体"/>
                <w:b w:val="0"/>
                <w:bCs/>
                <w:color w:val="000000"/>
                <w:kern w:val="0"/>
                <w:sz w:val="21"/>
                <w:szCs w:val="21"/>
                <w:highlight w:val="none"/>
                <w:lang w:val="en-US" w:eastAsia="zh-CN"/>
              </w:rPr>
              <w:t>的</w:t>
            </w:r>
            <w:r>
              <w:rPr>
                <w:rFonts w:hint="eastAsia" w:ascii="宋体" w:hAnsi="宋体" w:cs="宋体"/>
                <w:b w:val="0"/>
                <w:bCs/>
                <w:color w:val="000000"/>
                <w:kern w:val="0"/>
                <w:sz w:val="21"/>
                <w:szCs w:val="21"/>
                <w:highlight w:val="none"/>
                <w:lang w:val="en-US" w:eastAsia="zh-CN"/>
              </w:rPr>
              <w:t>行政处罚</w:t>
            </w:r>
          </w:p>
        </w:tc>
        <w:tc>
          <w:tcPr>
            <w:tcW w:w="6034" w:type="dxa"/>
            <w:noWrap w:val="0"/>
            <w:vAlign w:val="center"/>
          </w:tcPr>
          <w:p>
            <w:pPr>
              <w:spacing w:before="0" w:beforeLines="0" w:after="0" w:afterLines="0"/>
              <w:ind w:firstLine="420" w:firstLineChars="200"/>
              <w:jc w:val="both"/>
              <w:rPr>
                <w:rFonts w:hint="eastAsia" w:asciiTheme="minorEastAsia" w:hAnsiTheme="minorEastAsia" w:cstheme="minorEastAsia"/>
                <w:b w:val="0"/>
                <w:bCs/>
                <w:color w:val="000000"/>
                <w:sz w:val="21"/>
                <w:szCs w:val="21"/>
                <w:highlight w:val="none"/>
                <w:lang w:val="en-US" w:eastAsia="zh-CN"/>
              </w:rPr>
            </w:pPr>
            <w:r>
              <w:rPr>
                <w:rFonts w:hint="eastAsia" w:asciiTheme="minorEastAsia" w:hAnsiTheme="minorEastAsia" w:eastAsiaTheme="minorEastAsia" w:cstheme="minorEastAsia"/>
                <w:b w:val="0"/>
                <w:bCs/>
                <w:color w:val="000000"/>
                <w:kern w:val="0"/>
                <w:sz w:val="21"/>
                <w:szCs w:val="21"/>
                <w:highlight w:val="none"/>
                <w:lang w:val="en-US" w:eastAsia="zh-CN"/>
              </w:rPr>
              <w:t>《珠海经济特区互联网租赁自行车管理办</w:t>
            </w:r>
            <w:r>
              <w:rPr>
                <w:rFonts w:hint="eastAsia" w:asciiTheme="minorEastAsia" w:hAnsiTheme="minorEastAsia" w:cstheme="minorEastAsia"/>
                <w:b w:val="0"/>
                <w:bCs/>
                <w:color w:val="000000"/>
                <w:sz w:val="21"/>
                <w:szCs w:val="21"/>
                <w:highlight w:val="none"/>
                <w:lang w:val="en-US" w:eastAsia="zh-CN"/>
              </w:rPr>
              <w:t>法》</w:t>
            </w:r>
          </w:p>
          <w:p>
            <w:pPr>
              <w:spacing w:before="0" w:beforeLines="0" w:after="0" w:afterLines="0"/>
              <w:ind w:firstLine="420" w:firstLineChars="200"/>
              <w:jc w:val="both"/>
              <w:rPr>
                <w:color w:val="FF0000"/>
                <w:highlight w:val="none"/>
              </w:rPr>
            </w:pPr>
            <w:r>
              <w:rPr>
                <w:rFonts w:hint="eastAsia" w:asciiTheme="minorEastAsia" w:hAnsiTheme="minorEastAsia" w:cstheme="minorEastAsia"/>
                <w:b w:val="0"/>
                <w:bCs/>
                <w:color w:val="000000"/>
                <w:sz w:val="21"/>
                <w:szCs w:val="21"/>
                <w:highlight w:val="none"/>
                <w:lang w:val="en-US" w:eastAsia="zh-CN"/>
              </w:rPr>
              <w:t>第十九条第（二）项：</w:t>
            </w:r>
            <w:r>
              <w:rPr>
                <w:rFonts w:hint="default" w:asciiTheme="minorEastAsia" w:hAnsiTheme="minorEastAsia" w:cstheme="minorEastAsia"/>
                <w:b w:val="0"/>
                <w:bCs/>
                <w:color w:val="000000"/>
                <w:sz w:val="21"/>
                <w:szCs w:val="21"/>
                <w:highlight w:val="none"/>
                <w:lang w:val="en-US" w:eastAsia="zh-CN"/>
              </w:rPr>
              <w:t>用户不得有下列行为：（二）乱停乱放互联网租赁自行车；</w:t>
            </w:r>
          </w:p>
          <w:p>
            <w:pPr>
              <w:spacing w:before="0" w:beforeLines="0" w:after="0" w:afterLines="0"/>
              <w:ind w:firstLine="420" w:firstLineChars="200"/>
              <w:jc w:val="both"/>
              <w:rPr>
                <w:rFonts w:hint="eastAsia" w:asciiTheme="minorEastAsia" w:hAnsiTheme="minorEastAsia" w:eastAsiaTheme="minorEastAsia" w:cstheme="minorEastAsia"/>
                <w:b w:val="0"/>
                <w:bCs/>
                <w:color w:val="000000"/>
                <w:kern w:val="0"/>
                <w:sz w:val="21"/>
                <w:szCs w:val="21"/>
                <w:highlight w:val="none"/>
                <w:lang w:val="en-US" w:eastAsia="zh-CN" w:bidi="ar-SA"/>
              </w:rPr>
            </w:pPr>
            <w:r>
              <w:rPr>
                <w:rFonts w:hint="eastAsia" w:asciiTheme="minorEastAsia" w:hAnsiTheme="minorEastAsia" w:cstheme="minorEastAsia"/>
                <w:b w:val="0"/>
                <w:bCs/>
                <w:color w:val="000000"/>
                <w:sz w:val="21"/>
                <w:szCs w:val="21"/>
                <w:highlight w:val="none"/>
                <w:lang w:val="en-US" w:eastAsia="zh-CN"/>
              </w:rPr>
              <w:t>第二十二条第一款：</w:t>
            </w:r>
            <w:r>
              <w:rPr>
                <w:rFonts w:hint="default" w:ascii="宋体" w:hAnsi="宋体" w:eastAsia="宋体"/>
                <w:highlight w:val="none"/>
              </w:rPr>
              <w:t>用户违反本办法第十九条第二项规定的，由城市管理部门予以警告，或者处以五十元以下罚款。</w:t>
            </w:r>
          </w:p>
        </w:tc>
        <w:tc>
          <w:tcPr>
            <w:tcW w:w="211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eastAsia" w:ascii="宋体" w:hAnsi="宋体" w:eastAsia="宋体" w:cs="宋体"/>
                <w:b w:val="0"/>
                <w:szCs w:val="21"/>
                <w:highlight w:val="none"/>
                <w:lang w:eastAsia="zh-CN"/>
              </w:rPr>
            </w:pPr>
            <w:r>
              <w:rPr>
                <w:rStyle w:val="8"/>
                <w:rFonts w:hint="eastAsia" w:ascii="宋体" w:hAnsi="宋体" w:eastAsia="宋体" w:cs="宋体"/>
                <w:b w:val="0"/>
                <w:szCs w:val="21"/>
                <w:highlight w:val="none"/>
                <w:lang w:val="en-US" w:eastAsia="zh-CN"/>
              </w:rPr>
              <w:t>1.初</w:t>
            </w:r>
            <w:r>
              <w:rPr>
                <w:rStyle w:val="8"/>
                <w:rFonts w:ascii="宋体" w:hAnsi="宋体" w:eastAsia="宋体" w:cs="宋体"/>
                <w:b w:val="0"/>
                <w:szCs w:val="21"/>
                <w:highlight w:val="none"/>
              </w:rPr>
              <w:t>次违法</w:t>
            </w:r>
            <w:r>
              <w:rPr>
                <w:rStyle w:val="8"/>
                <w:rFonts w:hint="eastAsia" w:ascii="宋体" w:hAnsi="宋体" w:eastAsia="宋体" w:cs="宋体"/>
                <w:b w:val="0"/>
                <w:szCs w:val="21"/>
                <w:highlight w:val="none"/>
                <w:lang w:eastAsia="zh-CN"/>
              </w:rPr>
              <w:t>；</w:t>
            </w:r>
          </w:p>
          <w:p>
            <w:pPr>
              <w:keepNext w:val="0"/>
              <w:keepLines w:val="0"/>
              <w:pageBreakBefore w:val="0"/>
              <w:kinsoku/>
              <w:wordWrap/>
              <w:overflowPunct/>
              <w:topLinePunct w:val="0"/>
              <w:autoSpaceDE/>
              <w:autoSpaceDN/>
              <w:bidi w:val="0"/>
              <w:adjustRightInd/>
              <w:snapToGrid w:val="0"/>
              <w:spacing w:line="240" w:lineRule="auto"/>
              <w:jc w:val="both"/>
              <w:textAlignment w:val="auto"/>
              <w:rPr>
                <w:rStyle w:val="8"/>
                <w:rFonts w:hint="default" w:ascii="宋体" w:hAnsi="宋体" w:eastAsia="宋体" w:cs="宋体"/>
                <w:b w:val="0"/>
                <w:szCs w:val="21"/>
                <w:highlight w:val="none"/>
                <w:lang w:val="en-US" w:eastAsia="zh-CN"/>
              </w:rPr>
            </w:pPr>
            <w:r>
              <w:rPr>
                <w:rStyle w:val="8"/>
                <w:rFonts w:hint="eastAsia" w:ascii="宋体" w:hAnsi="宋体" w:cs="宋体"/>
                <w:b w:val="0"/>
                <w:szCs w:val="21"/>
                <w:highlight w:val="none"/>
                <w:lang w:val="en-US" w:eastAsia="zh-CN"/>
              </w:rPr>
              <w:t>2.未阻碍车辆、行人的正常通行，未造成交通事故和安全隐患的；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Theme="minorEastAsia" w:hAnsiTheme="minorEastAsia" w:eastAsiaTheme="minorEastAsia" w:cstheme="minorEastAsia"/>
                <w:b w:val="0"/>
                <w:bCs/>
                <w:color w:val="000000"/>
                <w:kern w:val="0"/>
                <w:sz w:val="21"/>
                <w:szCs w:val="21"/>
                <w:highlight w:val="none"/>
                <w:lang w:val="en-US" w:eastAsia="zh-CN" w:bidi="ar-SA"/>
              </w:rPr>
            </w:pPr>
            <w:r>
              <w:rPr>
                <w:rStyle w:val="8"/>
                <w:rFonts w:hint="eastAsia" w:ascii="宋体" w:hAnsi="宋体" w:cs="宋体"/>
                <w:b w:val="0"/>
                <w:szCs w:val="21"/>
                <w:highlight w:val="none"/>
                <w:lang w:val="en-US" w:eastAsia="zh-CN"/>
              </w:rPr>
              <w:t>3</w:t>
            </w:r>
            <w:r>
              <w:rPr>
                <w:rStyle w:val="8"/>
                <w:rFonts w:hint="eastAsia" w:ascii="宋体" w:hAnsi="宋体" w:eastAsia="宋体" w:cs="宋体"/>
                <w:b w:val="0"/>
                <w:szCs w:val="21"/>
                <w:highlight w:val="none"/>
                <w:lang w:val="en-US" w:eastAsia="zh-CN"/>
              </w:rPr>
              <w:t>.</w:t>
            </w:r>
            <w:r>
              <w:rPr>
                <w:rStyle w:val="8"/>
                <w:rFonts w:hint="eastAsia" w:ascii="宋体" w:hAnsi="宋体" w:eastAsia="宋体" w:cs="宋体"/>
                <w:b w:val="0"/>
                <w:highlight w:val="none"/>
                <w:lang w:val="en-US" w:eastAsia="zh-CN"/>
              </w:rPr>
              <w:t>危害后果轻微并及时改正违法行为的。</w:t>
            </w:r>
          </w:p>
        </w:tc>
        <w:tc>
          <w:tcPr>
            <w:tcW w:w="1094"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color w:val="000000"/>
                <w:kern w:val="2"/>
                <w:sz w:val="21"/>
                <w:szCs w:val="21"/>
                <w:highlight w:val="none"/>
                <w:lang w:val="en-US" w:eastAsia="zh-CN" w:bidi="ar-SA"/>
              </w:rPr>
            </w:pPr>
            <w:r>
              <w:rPr>
                <w:rStyle w:val="8"/>
                <w:rFonts w:hint="eastAsia" w:ascii="宋体" w:hAnsi="宋体"/>
                <w:b w:val="0"/>
                <w:color w:val="000000"/>
                <w:highlight w:val="none"/>
              </w:rPr>
              <w:t>《行政处罚法》第三十三条</w:t>
            </w:r>
          </w:p>
        </w:tc>
        <w:tc>
          <w:tcPr>
            <w:tcW w:w="1582" w:type="dxa"/>
            <w:noWrap w:val="0"/>
            <w:vAlign w:val="center"/>
          </w:tcPr>
          <w:p>
            <w:pPr>
              <w:keepNext w:val="0"/>
              <w:keepLines w:val="0"/>
              <w:pageBreakBefore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b w:val="0"/>
                <w:bCs w:val="0"/>
                <w:color w:val="000000"/>
                <w:kern w:val="2"/>
                <w:sz w:val="21"/>
                <w:szCs w:val="21"/>
                <w:highlight w:val="none"/>
                <w:lang w:val="en-US" w:eastAsia="zh-CN" w:bidi="ar-SA"/>
              </w:rPr>
            </w:pPr>
            <w:r>
              <w:rPr>
                <w:rStyle w:val="8"/>
                <w:rFonts w:hint="eastAsia" w:ascii="宋体" w:hAnsi="宋体" w:eastAsia="宋体" w:cs="宋体"/>
                <w:b w:val="0"/>
                <w:bCs w:val="0"/>
                <w:color w:val="000000"/>
                <w:sz w:val="21"/>
                <w:szCs w:val="21"/>
                <w:highlight w:val="none"/>
              </w:rPr>
              <w:t>责令停止违法行为，</w:t>
            </w:r>
            <w:r>
              <w:rPr>
                <w:highlight w:val="none"/>
              </w:rPr>
              <w:t>履行告知承诺程序</w:t>
            </w:r>
            <w:r>
              <w:rPr>
                <w:rFonts w:hint="eastAsia"/>
                <w:highlight w:val="none"/>
                <w:lang w:eastAsia="zh-CN"/>
              </w:rPr>
              <w:t>，</w:t>
            </w:r>
            <w:r>
              <w:rPr>
                <w:rStyle w:val="8"/>
                <w:rFonts w:hint="eastAsia" w:ascii="宋体" w:hAnsi="宋体" w:eastAsia="宋体" w:cs="宋体"/>
                <w:b w:val="0"/>
                <w:bCs w:val="0"/>
                <w:color w:val="000000"/>
                <w:sz w:val="21"/>
                <w:szCs w:val="21"/>
                <w:highlight w:val="none"/>
              </w:rPr>
              <w:t>限期改正</w:t>
            </w:r>
            <w:r>
              <w:rPr>
                <w:rStyle w:val="8"/>
                <w:rFonts w:hint="eastAsia" w:ascii="宋体" w:hAnsi="宋体" w:eastAsia="宋体" w:cs="宋体"/>
                <w:b w:val="0"/>
                <w:bCs w:val="0"/>
                <w:color w:val="000000"/>
                <w:sz w:val="21"/>
                <w:szCs w:val="21"/>
                <w:highlight w:val="none"/>
                <w:lang w:eastAsia="zh-CN"/>
              </w:rPr>
              <w:t>，</w:t>
            </w:r>
            <w:r>
              <w:rPr>
                <w:rStyle w:val="8"/>
                <w:rFonts w:hint="eastAsia" w:ascii="宋体" w:hAnsi="宋体" w:eastAsia="宋体" w:cs="宋体"/>
                <w:b w:val="0"/>
                <w:color w:val="000000"/>
                <w:sz w:val="21"/>
                <w:szCs w:val="21"/>
                <w:highlight w:val="none"/>
              </w:rPr>
              <w:t>加强教育、劝导示范、及时复查整改情况、加强行政检查</w:t>
            </w:r>
            <w:r>
              <w:rPr>
                <w:rStyle w:val="8"/>
                <w:rFonts w:hint="eastAsia" w:ascii="宋体" w:hAnsi="宋体" w:eastAsia="宋体" w:cs="宋体"/>
                <w:b w:val="0"/>
                <w:color w:val="000000"/>
                <w:sz w:val="21"/>
                <w:szCs w:val="21"/>
                <w:highlight w:val="none"/>
                <w:lang w:eastAsia="zh-CN"/>
              </w:rPr>
              <w:t>等</w:t>
            </w:r>
            <w:bookmarkStart w:id="0" w:name="_GoBack"/>
            <w:bookmarkEnd w:id="0"/>
          </w:p>
        </w:tc>
      </w:tr>
    </w:tbl>
    <w:p>
      <w:pPr>
        <w:widowControl/>
        <w:rPr>
          <w:rStyle w:val="8"/>
          <w:rFonts w:hint="eastAsia" w:ascii="宋体" w:hAnsi="宋体" w:eastAsia="宋体" w:cs="Times New Roman"/>
          <w:b w:val="0"/>
          <w:color w:val="000000"/>
          <w:lang w:eastAsia="zh-CN"/>
        </w:rPr>
      </w:pPr>
      <w:r>
        <w:rPr>
          <w:rStyle w:val="8"/>
          <w:rFonts w:hint="eastAsia" w:ascii="宋体" w:hAnsi="宋体" w:eastAsia="宋体" w:cs="Times New Roman"/>
          <w:b w:val="0"/>
          <w:color w:val="000000"/>
          <w:lang w:eastAsia="zh-CN"/>
        </w:rPr>
        <w:t>备注：</w:t>
      </w:r>
      <w:r>
        <w:rPr>
          <w:rStyle w:val="8"/>
          <w:rFonts w:hint="eastAsia" w:ascii="宋体" w:hAnsi="宋体" w:eastAsia="宋体" w:cs="Times New Roman"/>
          <w:b w:val="0"/>
          <w:color w:val="000000"/>
          <w:lang w:val="en-US" w:eastAsia="zh-CN"/>
        </w:rPr>
        <w:t>1.</w:t>
      </w:r>
      <w:r>
        <w:rPr>
          <w:rStyle w:val="8"/>
          <w:rFonts w:hint="eastAsia" w:ascii="宋体" w:hAnsi="宋体" w:eastAsia="宋体" w:cs="Times New Roman"/>
          <w:b w:val="0"/>
          <w:color w:val="000000"/>
          <w:lang w:eastAsia="zh-CN"/>
        </w:rPr>
        <w:t>本清单</w:t>
      </w:r>
      <w:r>
        <w:rPr>
          <w:rStyle w:val="8"/>
          <w:rFonts w:hint="eastAsia" w:ascii="宋体" w:hAnsi="宋体" w:eastAsia="宋体" w:cs="Times New Roman"/>
          <w:b w:val="0"/>
          <w:color w:val="000000"/>
          <w:lang w:val="en-US" w:eastAsia="zh-CN"/>
        </w:rPr>
        <w:t>“适用情形”栏目</w:t>
      </w:r>
      <w:r>
        <w:rPr>
          <w:rStyle w:val="8"/>
          <w:rFonts w:hint="eastAsia" w:ascii="宋体" w:hAnsi="宋体" w:eastAsia="宋体" w:cs="Times New Roman"/>
          <w:b w:val="0"/>
          <w:color w:val="000000"/>
          <w:lang w:eastAsia="zh-CN"/>
        </w:rPr>
        <w:t>中“小于”包含本数。</w:t>
      </w:r>
    </w:p>
    <w:p>
      <w:pPr>
        <w:numPr>
          <w:ilvl w:val="0"/>
          <w:numId w:val="0"/>
        </w:numPr>
        <w:ind w:left="630" w:leftChars="0"/>
        <w:rPr>
          <w:rStyle w:val="8"/>
          <w:rFonts w:hint="eastAsia" w:ascii="宋体" w:hAnsi="宋体" w:eastAsia="宋体" w:cs="Times New Roman"/>
          <w:b w:val="0"/>
          <w:color w:val="000000"/>
          <w:lang w:val="en-US" w:eastAsia="zh-CN"/>
        </w:rPr>
      </w:pPr>
      <w:r>
        <w:rPr>
          <w:rStyle w:val="8"/>
          <w:rFonts w:hint="eastAsia" w:ascii="宋体" w:hAnsi="宋体" w:eastAsia="宋体" w:cs="Times New Roman"/>
          <w:b w:val="0"/>
          <w:color w:val="000000"/>
          <w:lang w:val="en-US" w:eastAsia="zh-CN"/>
        </w:rPr>
        <w:t>2.违法行为</w:t>
      </w:r>
      <w:r>
        <w:rPr>
          <w:rStyle w:val="8"/>
          <w:rFonts w:hint="eastAsia" w:ascii="宋体" w:hAnsi="宋体" w:cs="Times New Roman"/>
          <w:b w:val="0"/>
          <w:color w:val="000000"/>
          <w:lang w:val="en-US" w:eastAsia="zh-CN"/>
        </w:rPr>
        <w:t>须</w:t>
      </w:r>
      <w:r>
        <w:rPr>
          <w:rStyle w:val="8"/>
          <w:rFonts w:hint="eastAsia" w:ascii="宋体" w:hAnsi="宋体" w:eastAsia="宋体" w:cs="Times New Roman"/>
          <w:b w:val="0"/>
          <w:color w:val="000000"/>
          <w:lang w:val="en-US" w:eastAsia="zh-CN"/>
        </w:rPr>
        <w:t>同时满足本清单“适用情形”栏目所列的各项情形方可免于行政处罚。</w:t>
      </w:r>
    </w:p>
    <w:p>
      <w:pPr>
        <w:widowControl w:val="0"/>
        <w:numPr>
          <w:ilvl w:val="0"/>
          <w:numId w:val="0"/>
        </w:numPr>
        <w:jc w:val="both"/>
        <w:rPr>
          <w:rStyle w:val="8"/>
          <w:rFonts w:hint="default" w:ascii="宋体" w:hAnsi="宋体" w:eastAsia="宋体" w:cs="Times New Roman"/>
          <w:b w:val="0"/>
          <w:color w:val="000000"/>
          <w:lang w:val="en-US" w:eastAsia="zh-CN"/>
        </w:rPr>
      </w:pPr>
    </w:p>
    <w:p/>
    <w:sectPr>
      <w:footerReference r:id="rId3" w:type="default"/>
      <w:pgSz w:w="16838" w:h="11906" w:orient="landscape"/>
      <w:pgMar w:top="156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7C83CDA"/>
    <w:rsid w:val="1BFF294B"/>
    <w:rsid w:val="1CBEBA65"/>
    <w:rsid w:val="1EF7909F"/>
    <w:rsid w:val="1F376D1D"/>
    <w:rsid w:val="1FED5ECA"/>
    <w:rsid w:val="1FF78C27"/>
    <w:rsid w:val="25D7C946"/>
    <w:rsid w:val="26EFC198"/>
    <w:rsid w:val="273F1F18"/>
    <w:rsid w:val="2FFED756"/>
    <w:rsid w:val="343F5D29"/>
    <w:rsid w:val="35FF84B0"/>
    <w:rsid w:val="3ABBECF1"/>
    <w:rsid w:val="3AED9B20"/>
    <w:rsid w:val="3DEFD199"/>
    <w:rsid w:val="3E57EFE7"/>
    <w:rsid w:val="3EB6FED5"/>
    <w:rsid w:val="3EBE2897"/>
    <w:rsid w:val="3FFFA6A6"/>
    <w:rsid w:val="43FFBF7A"/>
    <w:rsid w:val="4A1947CF"/>
    <w:rsid w:val="4AFF212C"/>
    <w:rsid w:val="4B5FAE75"/>
    <w:rsid w:val="4E7BA3A8"/>
    <w:rsid w:val="4F5F7273"/>
    <w:rsid w:val="4FFB0B6A"/>
    <w:rsid w:val="52FBF468"/>
    <w:rsid w:val="555BA795"/>
    <w:rsid w:val="55BCDD23"/>
    <w:rsid w:val="55BD3B0C"/>
    <w:rsid w:val="57653D62"/>
    <w:rsid w:val="57CD0659"/>
    <w:rsid w:val="57EC5E7C"/>
    <w:rsid w:val="57FBCE8F"/>
    <w:rsid w:val="5CBF019E"/>
    <w:rsid w:val="5DBF929C"/>
    <w:rsid w:val="5DD53CEE"/>
    <w:rsid w:val="5DEF5C60"/>
    <w:rsid w:val="5DFDE161"/>
    <w:rsid w:val="5E2EC8BC"/>
    <w:rsid w:val="5ED5B613"/>
    <w:rsid w:val="5EFF36CA"/>
    <w:rsid w:val="5EFFA0FE"/>
    <w:rsid w:val="5F35228C"/>
    <w:rsid w:val="5FB99CC3"/>
    <w:rsid w:val="5FBFF265"/>
    <w:rsid w:val="5FDB05DF"/>
    <w:rsid w:val="5FE9A765"/>
    <w:rsid w:val="5FFFC76A"/>
    <w:rsid w:val="67D121E0"/>
    <w:rsid w:val="69F72567"/>
    <w:rsid w:val="6BD571F0"/>
    <w:rsid w:val="6D7D22A1"/>
    <w:rsid w:val="6EE7C25B"/>
    <w:rsid w:val="6F3F3512"/>
    <w:rsid w:val="6F4051B1"/>
    <w:rsid w:val="6FFF2E30"/>
    <w:rsid w:val="710D63A2"/>
    <w:rsid w:val="73FF29FE"/>
    <w:rsid w:val="75FF24C8"/>
    <w:rsid w:val="76AD8915"/>
    <w:rsid w:val="76ED3A7C"/>
    <w:rsid w:val="76EE8CC4"/>
    <w:rsid w:val="77BE16BD"/>
    <w:rsid w:val="77EFDD8F"/>
    <w:rsid w:val="78DF668E"/>
    <w:rsid w:val="791BBF3B"/>
    <w:rsid w:val="79963275"/>
    <w:rsid w:val="79B3D048"/>
    <w:rsid w:val="79FD4AFC"/>
    <w:rsid w:val="7A7EDADB"/>
    <w:rsid w:val="7A9E1E6A"/>
    <w:rsid w:val="7B1A019C"/>
    <w:rsid w:val="7B7589B3"/>
    <w:rsid w:val="7BD91316"/>
    <w:rsid w:val="7BF7A5EE"/>
    <w:rsid w:val="7C4F6735"/>
    <w:rsid w:val="7CBFE524"/>
    <w:rsid w:val="7D3BC68A"/>
    <w:rsid w:val="7D7EDB5E"/>
    <w:rsid w:val="7DDFFFCD"/>
    <w:rsid w:val="7DF71429"/>
    <w:rsid w:val="7E9FA2AB"/>
    <w:rsid w:val="7F3783B0"/>
    <w:rsid w:val="7F3FF710"/>
    <w:rsid w:val="7F9DB947"/>
    <w:rsid w:val="7FA5B4E9"/>
    <w:rsid w:val="7FAE05CF"/>
    <w:rsid w:val="7FBFB238"/>
    <w:rsid w:val="7FDFB6CB"/>
    <w:rsid w:val="7FFB0995"/>
    <w:rsid w:val="8FCD0C97"/>
    <w:rsid w:val="997D21F7"/>
    <w:rsid w:val="9FFE45AC"/>
    <w:rsid w:val="A7AE96AF"/>
    <w:rsid w:val="ABC7E9DB"/>
    <w:rsid w:val="ABFB72B3"/>
    <w:rsid w:val="AEFD879D"/>
    <w:rsid w:val="AF5AB872"/>
    <w:rsid w:val="AF9FDF18"/>
    <w:rsid w:val="AFB7C406"/>
    <w:rsid w:val="AFFB3973"/>
    <w:rsid w:val="B2F67BA9"/>
    <w:rsid w:val="B5FAE886"/>
    <w:rsid w:val="B5FFA002"/>
    <w:rsid w:val="BA3F7F76"/>
    <w:rsid w:val="BBF30E03"/>
    <w:rsid w:val="BC7B1191"/>
    <w:rsid w:val="BD2D3D13"/>
    <w:rsid w:val="BDDF10BD"/>
    <w:rsid w:val="BEBFCBE8"/>
    <w:rsid w:val="BFEBE481"/>
    <w:rsid w:val="C7E707CD"/>
    <w:rsid w:val="CD936E40"/>
    <w:rsid w:val="CEB4DB7B"/>
    <w:rsid w:val="D57F79D6"/>
    <w:rsid w:val="D5FB664F"/>
    <w:rsid w:val="D7C7955B"/>
    <w:rsid w:val="D7FFEAB1"/>
    <w:rsid w:val="DBBCBA2B"/>
    <w:rsid w:val="DDFF3DB0"/>
    <w:rsid w:val="DEECFE2D"/>
    <w:rsid w:val="DFBC3975"/>
    <w:rsid w:val="DFFFC205"/>
    <w:rsid w:val="E6F71E99"/>
    <w:rsid w:val="EAB4FFA0"/>
    <w:rsid w:val="EAF7C368"/>
    <w:rsid w:val="EBE9900E"/>
    <w:rsid w:val="EBF6D7BD"/>
    <w:rsid w:val="ED6F40FA"/>
    <w:rsid w:val="EDEF0A01"/>
    <w:rsid w:val="EE4FDE7E"/>
    <w:rsid w:val="EE9FA1C4"/>
    <w:rsid w:val="EF5FB627"/>
    <w:rsid w:val="EFD70076"/>
    <w:rsid w:val="F3F33F6A"/>
    <w:rsid w:val="F756116C"/>
    <w:rsid w:val="F7671935"/>
    <w:rsid w:val="F7DF77C0"/>
    <w:rsid w:val="F7E73FB6"/>
    <w:rsid w:val="F9F6389D"/>
    <w:rsid w:val="FA7F791F"/>
    <w:rsid w:val="FACB602C"/>
    <w:rsid w:val="FB8BF99F"/>
    <w:rsid w:val="FBF74534"/>
    <w:rsid w:val="FD594E6D"/>
    <w:rsid w:val="FD7B4A7B"/>
    <w:rsid w:val="FD7EB545"/>
    <w:rsid w:val="FDFB5611"/>
    <w:rsid w:val="FDFF6BA4"/>
    <w:rsid w:val="FE1714DC"/>
    <w:rsid w:val="FECE7D16"/>
    <w:rsid w:val="FEF3E69D"/>
    <w:rsid w:val="FEFF8F87"/>
    <w:rsid w:val="FEFFEB8F"/>
    <w:rsid w:val="FF33B444"/>
    <w:rsid w:val="FF7E69CE"/>
    <w:rsid w:val="FFBE6856"/>
    <w:rsid w:val="FFDD2958"/>
    <w:rsid w:val="FFDE6925"/>
    <w:rsid w:val="FFF7DB21"/>
    <w:rsid w:val="FFFB7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3701</Words>
  <Characters>3776</Characters>
  <Lines>0</Lines>
  <Paragraphs>0</Paragraphs>
  <TotalTime>28</TotalTime>
  <ScaleCrop>false</ScaleCrop>
  <LinksUpToDate>false</LinksUpToDate>
  <CharactersWithSpaces>3786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2018-07-23T07:11:00Z</dcterms:created>
  <dc:creator>d</dc:creator>
  <cp:lastModifiedBy>x</cp:lastModifiedBy>
  <cp:lastPrinted>2026-01-08T00:08:00Z</cp:lastPrinted>
  <dcterms:modified xsi:type="dcterms:W3CDTF">2026-01-07T14:51:21Z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D36DDCE69A21578169025E69DE88C14F</vt:lpwstr>
  </property>
  <property fmtid="{D5CDD505-2E9C-101B-9397-08002B2CF9AE}" pid="4" name="KSOTemplateDocerSaveRecord">
    <vt:lpwstr>eyJoZGlkIjoiZjIxYWNhMTRjZTExNGRkMmNlOWFkNTlkOTQxYmYzOGIiLCJ1c2VySWQiOiI4NTQ5Mzc5NDgifQ==</vt:lpwstr>
  </property>
</Properties>
</file>