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shd w:val="clear" w:color="auto" w:fill="FFFFFF"/>
        </w:rPr>
        <w:t>通信报装办事指南</w:t>
      </w:r>
    </w:p>
    <w:p>
      <w:pPr>
        <w:pStyle w:val="2"/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53092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92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0.6pt;height:0pt;width:418.05pt;z-index:251659264;mso-width-relative:page;mso-height-relative:page;" filled="f" stroked="t" coordsize="21600,21600" o:gfxdata="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A0y93SAAAABAEAAA8AAAAAAAAAAQAgAAAAIgAAAGRycy9kb3ducmV2LnhtbFBLAQIU&#10;ABQAAAAIAIdO4kA8tMDa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一、基本信息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事项名称：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通信报装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事项类型：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公共服务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基本编码：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行使层级：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市级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实施主体：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广东省通信管理局珠海市通信建设管理办公室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实施主体性质：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授权组织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实施编码：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1110000072548639X73442100000001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服务对象：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企业法人,事业法人,社会组织法人,非法人企业,行政机关,其他组织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法定办结时限：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15个工作日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承诺办结时限：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3个工作日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/1个工作日（告知承诺办理）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承诺办结时限说明：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结果名称：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无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结果样本：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办理结果类型：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其他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办件类型：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承诺件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办理形式：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网上大厅申请、预审和受理，网上办结。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支持预约办理：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本事项支持预约办理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权力来源：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法定本级行使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业务系统：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珠海市工程建设项目审批管理系统网上办事大厅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支持物流快递：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本事项支持物流快递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联办机构：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通办范围：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无</w:t>
      </w:r>
    </w:p>
    <w:p>
      <w:pPr>
        <w:pStyle w:val="2"/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二、申请条件</w:t>
      </w:r>
    </w:p>
    <w:p>
      <w:pPr>
        <w:pStyle w:val="2"/>
        <w:snapToGri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shd w:val="clear" w:color="auto" w:fill="FFFFFF"/>
          <w:lang w:val="en-US" w:eastAsia="zh-CN"/>
        </w:rPr>
        <w:t>根据《中华人民共和国电信条例》（第四十五条）《广东省信息化促进条例》（第十二、十五条）的规定，新建建设工程应将通信配套设施纳入项目预算，并与主体工程同时设计、同时施工、同时验收。</w:t>
      </w:r>
    </w:p>
    <w:p>
      <w:pPr>
        <w:pStyle w:val="2"/>
        <w:snapToGrid w:val="0"/>
        <w:spacing w:line="240" w:lineRule="atLeas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shd w:val="clear" w:color="auto" w:fill="FFFFFF"/>
          <w:lang w:val="en-US" w:eastAsia="zh-CN"/>
        </w:rPr>
        <w:t>工程规划阶段，建设单位应按照用地规划要求并联申办通信报装（通信设计）</w:t>
      </w:r>
      <w:r>
        <w:rPr>
          <w:rFonts w:hint="eastAsia" w:ascii="仿宋_GB2312" w:hAnsi="仿宋_GB2312" w:eastAsia="仿宋_GB2312" w:cs="仿宋_GB2312"/>
          <w:b w:val="0"/>
          <w:color w:val="auto"/>
          <w:sz w:val="28"/>
          <w:szCs w:val="28"/>
          <w:shd w:val="clear" w:color="auto" w:fill="FFFFFF"/>
          <w:lang w:val="en-US" w:eastAsia="zh-CN"/>
        </w:rPr>
        <w:t>，申办通信报装时可根据项目实际情况选择“通信报装”或“通信报装-告知承诺”办理流程。完成通信工程设计单位登记的项目可申请“通信报装-告知承诺”。</w:t>
      </w:r>
      <w:bookmarkStart w:id="0" w:name="_GoBack"/>
      <w:bookmarkEnd w:id="0"/>
    </w:p>
    <w:p>
      <w:pPr>
        <w:pStyle w:val="2"/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三、办理流程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窗口办理流程：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1.申请人通过现场珠海市政务服务中心服务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珠海市金湾区政务服务中心窗口填报申请；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2.受理：材料符合要求给予受理；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3.答复：对申报结果给予联系并答复。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</w:rPr>
        <w:t>网上办理流程：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  <w:t>①通信报装办理流程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1.申请人发起“通信报装”办理流程，填写申请信息与上传对应申报资料后进入初审环节；（备注：如资料不齐全仍处于初审环节，申报人需根据所反馈的“补正意见”进行补充完善，可多次补充。）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初审资料齐全后，进入受理环节，对资料进行核查；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申请资料填报齐全且符合申报要求的，予以通过，流程办理结束。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tLeas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eastAsia="zh-CN"/>
        </w:rPr>
        <w:t>②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</w:rPr>
        <w:t>通信报装-告知承诺办理流程</w:t>
      </w:r>
    </w:p>
    <w:p>
      <w:pPr>
        <w:widowControl/>
        <w:numPr>
          <w:ilvl w:val="0"/>
          <w:numId w:val="0"/>
        </w:numPr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建设单位登录广东政务服务网珠海市工程建设项目“一网通办”（珠海市工程建设项目审批管理系统），下载《珠海市通信报装告知承诺书》模板并填写后，进行建设工程规划许可和通信报装等联合申报；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申请人发起“通信报装-告知承诺办理流程”，填写申请信息与上传对应申报资料后进入初审环节；（备注：如资料不齐全仍处于初审环节，申报人需根据所反馈的“补正意见”进行补充完善，可多次补充。）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初审资料齐全后，方可进入受理环节，对资料进行核查；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申请资料填报齐全且符合申报要求的，予以通过，流程办理结束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。</w:t>
      </w:r>
    </w:p>
    <w:p>
      <w:pPr>
        <w:widowControl/>
        <w:snapToGrid w:val="0"/>
        <w:spacing w:line="240" w:lineRule="atLeas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</w:pPr>
      <w:r>
        <w:drawing>
          <wp:inline distT="0" distB="0" distL="114300" distR="114300">
            <wp:extent cx="5232400" cy="54419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240" w:lineRule="atLeast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lang w:eastAsia="zh-CN"/>
        </w:rPr>
        <w:t>网上办理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lang w:val="en-US" w:eastAsia="zh-CN"/>
        </w:rPr>
        <w:t>-通信报装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szCs w:val="24"/>
          <w:lang w:eastAsia="zh-CN"/>
        </w:rPr>
        <w:t>流程示意图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</w:rPr>
        <w:t>特殊环节：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通信报装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办理流程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特殊环节。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“通信报装-告知承诺”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办理流程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  <w:t>无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lang w:eastAsia="zh-CN"/>
        </w:rPr>
        <w:t>特殊环节。</w:t>
      </w: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widowControl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>
      <w:pPr>
        <w:pStyle w:val="2"/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四、申请材料</w:t>
      </w:r>
    </w:p>
    <w:tbl>
      <w:tblPr>
        <w:tblStyle w:val="5"/>
        <w:tblW w:w="9141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941"/>
        <w:gridCol w:w="1456"/>
        <w:gridCol w:w="1247"/>
        <w:gridCol w:w="1247"/>
        <w:gridCol w:w="1247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8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材料名称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材料类型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纸质材料原件扫描件份数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原件收/验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来源渠道    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是否允许容缺办理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9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1-1 通信报装：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建设用地规划许可证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包含红线图、用地规划条件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电子文件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行政机关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通信工程设计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电子文件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申请人自备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9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lang w:val="en-US" w:eastAsia="zh-CN"/>
              </w:rPr>
              <w:t>1-2 通信报装-告知承诺办理：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建设用地规划许可证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包含红线图、用地规划条件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电子文件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行政机关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exac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通信报装告知承诺书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电子文件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申请人自备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</w:t>
            </w:r>
          </w:p>
        </w:tc>
      </w:tr>
    </w:tbl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材料说明：</w:t>
      </w:r>
    </w:p>
    <w:p>
      <w:pPr>
        <w:numPr>
          <w:ilvl w:val="0"/>
          <w:numId w:val="1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通信报装已实现全程网上受理、批复、办结，申报材料只需提供原件扫描件，原件备验。</w:t>
      </w:r>
    </w:p>
    <w:p>
      <w:pPr>
        <w:numPr>
          <w:ilvl w:val="0"/>
          <w:numId w:val="1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通信工程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设计可以是初步设计或者施工图设计。若上传通信工程施工图设计，应附上相应的审图合格证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numPr>
          <w:ilvl w:val="0"/>
          <w:numId w:val="2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监督咨询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咨询电话：0756-3908899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监督投诉电话：0756-3908899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numPr>
          <w:ilvl w:val="0"/>
          <w:numId w:val="2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窗口办理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1、珠海市政务服务中心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珠海市香洲区红山路230号市政务服务大厅三楼综合窗口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办公电话：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0756-2600980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办公时间：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周一至周五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0-12:00、14: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法定节假日除外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交通指引：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乘公交在“行政服务中心”站下车，经停的公交线路有：23路、26路、35路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2、金湾区市民服务中心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 xml:space="preserve">珠海市金湾区金鑫路137号金湾区市民服务中心（金湾区图书馆旁）A2栋5楼投资建设综合服务厅综合接办窗口（1-3号） 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办公电话：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0756-7260552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办公时间：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周一至周五上午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0-12:00、14: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（法定节假日除外）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交通指引：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市民中心东、市民中心南（公交站）：801、Z115、Z126、Z127，其中801、Z126、Z127途经湖心路口总站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numPr>
          <w:ilvl w:val="0"/>
          <w:numId w:val="2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事项收费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本事项不收费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numPr>
          <w:ilvl w:val="0"/>
          <w:numId w:val="2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法律依据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《中华人民共和国电信条例》第四十五条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2、《建设工程质量管理条例》第十一、四十九条。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《广东省信息化促进条例》第十二、十五条。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4、《通信建设工程质量监督管理规定》第十七、二十一条。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《广东省通信设施建设与保护规定》第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pStyle w:val="2"/>
        <w:numPr>
          <w:ilvl w:val="0"/>
          <w:numId w:val="2"/>
        </w:num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申报资料相关模板</w:t>
      </w:r>
    </w:p>
    <w:p>
      <w:pPr>
        <w:snapToGrid w:val="0"/>
        <w:spacing w:line="240" w:lineRule="atLeast"/>
        <w:rPr>
          <w:rFonts w:hint="default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附件-珠海市通信报装告知承诺书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p>
      <w:pPr>
        <w:adjustRightInd w:val="0"/>
        <w:snapToGrid w:val="0"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44"/>
          <w:szCs w:val="44"/>
          <w:lang w:eastAsia="zh-CN"/>
        </w:rPr>
        <w:t>珠海市通信报装告知承诺书</w:t>
      </w:r>
    </w:p>
    <w:p>
      <w:pPr>
        <w:adjustRightInd w:val="0"/>
        <w:snapToGrid w:val="0"/>
        <w:spacing w:line="600" w:lineRule="exact"/>
        <w:ind w:firstLine="646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珠海市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通信建设管理办公室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（个人）建设的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(项目代码：          ）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工程项目已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组织参建单位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完成设计工作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现申办建设工程通信报装事项。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本单位（个人）已知晓并全面理解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通信报装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告知承诺制”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，现就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的通信报装事项作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出以下承诺：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1.本单位（个人）承诺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办理通信报装告知承诺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告知承诺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后三个月内主动向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珠海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市通信建设管理办公室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补充通信工程施工图设计文件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本单位（个人）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工程文件与工程实际相符，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真实性、完整性和准确性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，并保证提供的电子文件和纸质文件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应为原件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一致。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3.如违反以上承诺，本单位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（个人）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自行承担由此造成的后果，并接受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珠海市通信建设管理办公室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及其他有关部门依法给予的行政处罚和信用联合惩戒等处理。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本承诺为本单位（个人）真实意思的表示，并由本单位（个人）承担法律后果。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62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人身份证复印件粘贴处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（身份证正、反面）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620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托人身份证复印件粘贴处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（身份证正、反面）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建设单位（个人）：盖章（签字）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授权代理人：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联系人、电话（手机）：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办公通讯地址：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</w:t>
      </w:r>
    </w:p>
    <w:p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日期：    年    月    日</w:t>
      </w:r>
    </w:p>
    <w:p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本告知承诺书一式二份，由建设单位、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珠海市通信建设管理办公室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各执一份。</w:t>
      </w:r>
    </w:p>
    <w:p>
      <w:pPr>
        <w:snapToGrid w:val="0"/>
        <w:spacing w:line="24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83B66"/>
    <w:multiLevelType w:val="singleLevel"/>
    <w:tmpl w:val="ADC83B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2B6681"/>
    <w:multiLevelType w:val="singleLevel"/>
    <w:tmpl w:val="122B6681"/>
    <w:lvl w:ilvl="0" w:tentative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GNmMzE5ZjY5ZjYyODVmZmUwNjZjNjJlM2NkZmUifQ=="/>
  </w:docVars>
  <w:rsids>
    <w:rsidRoot w:val="00096FB3"/>
    <w:rsid w:val="00047FE8"/>
    <w:rsid w:val="00096FB3"/>
    <w:rsid w:val="00113AB8"/>
    <w:rsid w:val="001213C2"/>
    <w:rsid w:val="001352FA"/>
    <w:rsid w:val="001D3278"/>
    <w:rsid w:val="002E1B56"/>
    <w:rsid w:val="003733FC"/>
    <w:rsid w:val="003944A5"/>
    <w:rsid w:val="003F5F10"/>
    <w:rsid w:val="00417AEC"/>
    <w:rsid w:val="00434ADA"/>
    <w:rsid w:val="00443E8D"/>
    <w:rsid w:val="00463552"/>
    <w:rsid w:val="004734C0"/>
    <w:rsid w:val="00512B04"/>
    <w:rsid w:val="005E3CAA"/>
    <w:rsid w:val="00770B32"/>
    <w:rsid w:val="008746D9"/>
    <w:rsid w:val="0096607D"/>
    <w:rsid w:val="009A74AE"/>
    <w:rsid w:val="00A93D6C"/>
    <w:rsid w:val="00B935EF"/>
    <w:rsid w:val="00D1010B"/>
    <w:rsid w:val="00D211E3"/>
    <w:rsid w:val="00EA5ABE"/>
    <w:rsid w:val="00EF1A10"/>
    <w:rsid w:val="00FE1829"/>
    <w:rsid w:val="01217544"/>
    <w:rsid w:val="059E3028"/>
    <w:rsid w:val="07B41B05"/>
    <w:rsid w:val="09243C92"/>
    <w:rsid w:val="0A0106F5"/>
    <w:rsid w:val="0C6B1C72"/>
    <w:rsid w:val="12721DE5"/>
    <w:rsid w:val="15237A86"/>
    <w:rsid w:val="17D46D3B"/>
    <w:rsid w:val="17E70043"/>
    <w:rsid w:val="214251C5"/>
    <w:rsid w:val="24565AC3"/>
    <w:rsid w:val="25397FC2"/>
    <w:rsid w:val="29660211"/>
    <w:rsid w:val="2B68543C"/>
    <w:rsid w:val="2BFE34FA"/>
    <w:rsid w:val="2EAA7028"/>
    <w:rsid w:val="2F2C59E1"/>
    <w:rsid w:val="3109025C"/>
    <w:rsid w:val="31337D3F"/>
    <w:rsid w:val="33AC07B4"/>
    <w:rsid w:val="35EE2156"/>
    <w:rsid w:val="37DE3E25"/>
    <w:rsid w:val="3BEC1DF5"/>
    <w:rsid w:val="3D150DCE"/>
    <w:rsid w:val="431A1552"/>
    <w:rsid w:val="43280E3A"/>
    <w:rsid w:val="4C615168"/>
    <w:rsid w:val="4D3F19D3"/>
    <w:rsid w:val="4E7B76FB"/>
    <w:rsid w:val="4FAE2855"/>
    <w:rsid w:val="4FB14523"/>
    <w:rsid w:val="51701F10"/>
    <w:rsid w:val="519C7B57"/>
    <w:rsid w:val="522F68FA"/>
    <w:rsid w:val="55877D61"/>
    <w:rsid w:val="560F23F7"/>
    <w:rsid w:val="5A3229F2"/>
    <w:rsid w:val="5BF062E2"/>
    <w:rsid w:val="5DB012E7"/>
    <w:rsid w:val="5E756D8B"/>
    <w:rsid w:val="61AD334A"/>
    <w:rsid w:val="6448433E"/>
    <w:rsid w:val="64EC7CA3"/>
    <w:rsid w:val="6B2B5013"/>
    <w:rsid w:val="6DB50EDB"/>
    <w:rsid w:val="70B26F83"/>
    <w:rsid w:val="71173072"/>
    <w:rsid w:val="73566A3E"/>
    <w:rsid w:val="750B5103"/>
    <w:rsid w:val="76A618AA"/>
    <w:rsid w:val="77D01422"/>
    <w:rsid w:val="7EDA392C"/>
    <w:rsid w:val="7F6F4C8A"/>
    <w:rsid w:val="7F8D5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outlineLvl w:val="3"/>
    </w:pPr>
    <w:rPr>
      <w:rFonts w:hint="default" w:eastAsia="黑体"/>
      <w:b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4</Pages>
  <Words>258</Words>
  <Characters>1472</Characters>
  <Lines>12</Lines>
  <Paragraphs>3</Paragraphs>
  <TotalTime>0</TotalTime>
  <ScaleCrop>false</ScaleCrop>
  <LinksUpToDate>false</LinksUpToDate>
  <CharactersWithSpaces>1727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2020-07-23T08:41:00Z</dcterms:created>
  <dc:creator>tc</dc:creator>
  <cp:lastModifiedBy>陈钟雅</cp:lastModifiedBy>
  <dcterms:modified xsi:type="dcterms:W3CDTF">2024-05-23T01:37:40Z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0A3E37CAB3A44492B18D8971C9D18E7E</vt:lpwstr>
  </property>
</Properties>
</file>