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84" w:line="185" w:lineRule="auto"/>
        <w:ind w:left="1752"/>
        <w:rPr>
          <w:rFonts w:ascii="微软雅黑" w:hAnsi="微软雅黑" w:eastAsia="微软雅黑" w:cs="微软雅黑"/>
          <w:spacing w:val="12"/>
          <w:sz w:val="43"/>
          <w:szCs w:val="43"/>
        </w:rPr>
      </w:pPr>
    </w:p>
    <w:p>
      <w:pPr>
        <w:spacing w:before="184" w:line="185" w:lineRule="auto"/>
        <w:jc w:val="center"/>
        <w:rPr>
          <w:rFonts w:ascii="微软雅黑" w:hAnsi="微软雅黑" w:eastAsia="微软雅黑" w:cs="微软雅黑"/>
          <w:sz w:val="43"/>
          <w:szCs w:val="43"/>
        </w:rPr>
      </w:pPr>
      <w:r>
        <w:rPr>
          <w:rFonts w:ascii="微软雅黑" w:hAnsi="微软雅黑" w:eastAsia="微软雅黑" w:cs="微软雅黑"/>
          <w:spacing w:val="12"/>
          <w:sz w:val="43"/>
          <w:szCs w:val="43"/>
        </w:rPr>
        <w:t>珠</w:t>
      </w:r>
      <w:r>
        <w:rPr>
          <w:rFonts w:ascii="微软雅黑" w:hAnsi="微软雅黑" w:eastAsia="微软雅黑" w:cs="微软雅黑"/>
          <w:spacing w:val="9"/>
          <w:sz w:val="43"/>
          <w:szCs w:val="43"/>
        </w:rPr>
        <w:t>海市</w:t>
      </w:r>
      <w:r>
        <w:rPr>
          <w:rFonts w:hint="eastAsia" w:ascii="微软雅黑" w:hAnsi="微软雅黑" w:eastAsia="微软雅黑" w:cs="微软雅黑"/>
          <w:spacing w:val="9"/>
          <w:sz w:val="43"/>
          <w:szCs w:val="43"/>
          <w:lang w:val="en-US" w:eastAsia="zh-CN"/>
        </w:rPr>
        <w:t>加氢站布局专项</w:t>
      </w:r>
      <w:r>
        <w:rPr>
          <w:rFonts w:ascii="微软雅黑" w:hAnsi="微软雅黑" w:eastAsia="微软雅黑" w:cs="微软雅黑"/>
          <w:spacing w:val="9"/>
          <w:sz w:val="43"/>
          <w:szCs w:val="43"/>
        </w:rPr>
        <w:t>规划</w:t>
      </w:r>
    </w:p>
    <w:p>
      <w:pPr>
        <w:tabs>
          <w:tab w:val="left" w:pos="2642"/>
        </w:tabs>
        <w:spacing w:before="346" w:line="210" w:lineRule="auto"/>
        <w:jc w:val="center"/>
        <w:rPr>
          <w:rFonts w:hint="eastAsia" w:ascii="微软雅黑" w:hAnsi="微软雅黑" w:eastAsia="微软雅黑" w:cs="微软雅黑"/>
          <w:sz w:val="43"/>
          <w:szCs w:val="43"/>
          <w:lang w:eastAsia="zh-CN"/>
        </w:rPr>
      </w:pPr>
      <w:r>
        <w:rPr>
          <w:rFonts w:hint="eastAsia" w:ascii="微软雅黑" w:hAnsi="微软雅黑" w:eastAsia="微软雅黑" w:cs="微软雅黑"/>
          <w:spacing w:val="-9"/>
          <w:sz w:val="43"/>
          <w:szCs w:val="43"/>
          <w:lang w:eastAsia="zh-CN"/>
        </w:rPr>
        <w:t>（</w:t>
      </w:r>
      <w:r>
        <w:rPr>
          <w:rFonts w:ascii="微软雅黑" w:hAnsi="微软雅黑" w:eastAsia="微软雅黑" w:cs="微软雅黑"/>
          <w:spacing w:val="-9"/>
          <w:sz w:val="43"/>
          <w:szCs w:val="43"/>
        </w:rPr>
        <w:t>202</w:t>
      </w:r>
      <w:r>
        <w:rPr>
          <w:rFonts w:hint="eastAsia" w:ascii="微软雅黑" w:hAnsi="微软雅黑" w:eastAsia="微软雅黑" w:cs="微软雅黑"/>
          <w:spacing w:val="-9"/>
          <w:sz w:val="43"/>
          <w:szCs w:val="43"/>
          <w:lang w:val="en-US" w:eastAsia="zh-CN"/>
        </w:rPr>
        <w:t>3</w:t>
      </w:r>
      <w:r>
        <w:rPr>
          <w:rFonts w:ascii="微软雅黑" w:hAnsi="微软雅黑" w:eastAsia="微软雅黑" w:cs="微软雅黑"/>
          <w:spacing w:val="-9"/>
          <w:sz w:val="43"/>
          <w:szCs w:val="43"/>
        </w:rPr>
        <w:t>-20</w:t>
      </w:r>
      <w:r>
        <w:rPr>
          <w:rFonts w:hint="eastAsia" w:ascii="微软雅黑" w:hAnsi="微软雅黑" w:eastAsia="微软雅黑" w:cs="微软雅黑"/>
          <w:spacing w:val="-9"/>
          <w:sz w:val="43"/>
          <w:szCs w:val="43"/>
          <w:lang w:val="en-US" w:eastAsia="zh-CN"/>
        </w:rPr>
        <w:t>27</w:t>
      </w:r>
      <w:r>
        <w:rPr>
          <w:rFonts w:ascii="微软雅黑" w:hAnsi="微软雅黑" w:eastAsia="微软雅黑" w:cs="微软雅黑"/>
          <w:spacing w:val="-9"/>
          <w:sz w:val="43"/>
          <w:szCs w:val="43"/>
        </w:rPr>
        <w:t>年</w:t>
      </w:r>
      <w:r>
        <w:rPr>
          <w:rFonts w:hint="eastAsia" w:ascii="微软雅黑" w:hAnsi="微软雅黑" w:eastAsia="微软雅黑" w:cs="微软雅黑"/>
          <w:spacing w:val="-9"/>
          <w:sz w:val="43"/>
          <w:szCs w:val="43"/>
          <w:lang w:eastAsia="zh-CN"/>
        </w:rPr>
        <w:t>）</w:t>
      </w:r>
    </w:p>
    <w:p>
      <w:pPr>
        <w:tabs>
          <w:tab w:val="left" w:pos="3507"/>
        </w:tabs>
        <w:spacing w:before="204" w:line="212" w:lineRule="auto"/>
        <w:jc w:val="center"/>
        <w:rPr>
          <w:rFonts w:ascii="微软雅黑" w:hAnsi="微软雅黑" w:eastAsia="微软雅黑" w:cs="微软雅黑"/>
          <w:spacing w:val="35"/>
          <w:sz w:val="31"/>
          <w:szCs w:val="31"/>
        </w:rPr>
      </w:pPr>
      <w:r>
        <w:rPr>
          <w:rFonts w:hint="eastAsia" w:ascii="微软雅黑" w:hAnsi="微软雅黑" w:eastAsia="微软雅黑" w:cs="微软雅黑"/>
          <w:spacing w:val="38"/>
          <w:sz w:val="28"/>
          <w:szCs w:val="28"/>
          <w:lang w:eastAsia="zh-CN"/>
        </w:rPr>
        <w:t>（发布</w:t>
      </w:r>
      <w:r>
        <w:rPr>
          <w:rFonts w:hint="eastAsia" w:ascii="微软雅黑" w:hAnsi="微软雅黑" w:eastAsia="微软雅黑" w:cs="微软雅黑"/>
          <w:spacing w:val="38"/>
          <w:sz w:val="28"/>
          <w:szCs w:val="28"/>
          <w:lang w:val="en-US" w:eastAsia="zh-CN"/>
        </w:rPr>
        <w:t>稿</w:t>
      </w:r>
      <w:r>
        <w:rPr>
          <w:rFonts w:hint="eastAsia" w:ascii="微软雅黑" w:hAnsi="微软雅黑" w:eastAsia="微软雅黑" w:cs="微软雅黑"/>
          <w:spacing w:val="38"/>
          <w:sz w:val="28"/>
          <w:szCs w:val="28"/>
          <w:lang w:eastAsia="zh-CN"/>
        </w:rPr>
        <w:t>）</w:t>
      </w:r>
    </w:p>
    <w:p>
      <w:pPr>
        <w:tabs>
          <w:tab w:val="left" w:pos="3507"/>
        </w:tabs>
        <w:spacing w:before="204" w:line="212" w:lineRule="auto"/>
        <w:jc w:val="center"/>
        <w:rPr>
          <w:rFonts w:ascii="微软雅黑" w:hAnsi="微软雅黑" w:eastAsia="微软雅黑" w:cs="微软雅黑"/>
          <w:spacing w:val="35"/>
          <w:sz w:val="31"/>
          <w:szCs w:val="31"/>
        </w:rPr>
      </w:pPr>
    </w:p>
    <w:p>
      <w:pPr>
        <w:tabs>
          <w:tab w:val="left" w:pos="3507"/>
        </w:tabs>
        <w:spacing w:before="204" w:line="212" w:lineRule="auto"/>
        <w:jc w:val="center"/>
        <w:rPr>
          <w:rFonts w:ascii="微软雅黑" w:hAnsi="微软雅黑" w:eastAsia="微软雅黑" w:cs="微软雅黑"/>
          <w:spacing w:val="35"/>
          <w:sz w:val="31"/>
          <w:szCs w:val="31"/>
        </w:rPr>
      </w:pPr>
    </w:p>
    <w:p>
      <w:pPr>
        <w:tabs>
          <w:tab w:val="left" w:pos="3507"/>
        </w:tabs>
        <w:spacing w:before="204" w:line="212" w:lineRule="auto"/>
        <w:jc w:val="center"/>
        <w:rPr>
          <w:rFonts w:ascii="微软雅黑" w:hAnsi="微软雅黑" w:eastAsia="微软雅黑" w:cs="微软雅黑"/>
          <w:spacing w:val="35"/>
          <w:sz w:val="31"/>
          <w:szCs w:val="31"/>
        </w:rPr>
      </w:pPr>
    </w:p>
    <w:p>
      <w:pPr>
        <w:tabs>
          <w:tab w:val="left" w:pos="3507"/>
        </w:tabs>
        <w:spacing w:before="204" w:line="212" w:lineRule="auto"/>
        <w:jc w:val="center"/>
        <w:rPr>
          <w:rFonts w:ascii="微软雅黑" w:hAnsi="微软雅黑" w:eastAsia="微软雅黑" w:cs="微软雅黑"/>
          <w:spacing w:val="35"/>
          <w:sz w:val="31"/>
          <w:szCs w:val="31"/>
        </w:rPr>
      </w:pPr>
    </w:p>
    <w:p>
      <w:pPr>
        <w:pStyle w:val="2"/>
        <w:numPr>
          <w:ilvl w:val="0"/>
          <w:numId w:val="0"/>
        </w:numPr>
        <w:ind w:leftChars="0"/>
        <w:rPr>
          <w:rFonts w:ascii="微软雅黑" w:hAnsi="微软雅黑" w:eastAsia="微软雅黑" w:cs="微软雅黑"/>
          <w:spacing w:val="35"/>
          <w:sz w:val="31"/>
          <w:szCs w:val="31"/>
        </w:rPr>
      </w:pPr>
    </w:p>
    <w:p/>
    <w:p>
      <w:pPr>
        <w:tabs>
          <w:tab w:val="left" w:pos="3507"/>
        </w:tabs>
        <w:spacing w:before="204" w:line="212" w:lineRule="auto"/>
        <w:jc w:val="center"/>
        <w:rPr>
          <w:rFonts w:ascii="微软雅黑" w:hAnsi="微软雅黑" w:eastAsia="微软雅黑" w:cs="微软雅黑"/>
          <w:spacing w:val="35"/>
          <w:sz w:val="31"/>
          <w:szCs w:val="31"/>
        </w:rPr>
      </w:pPr>
    </w:p>
    <w:p>
      <w:pPr>
        <w:tabs>
          <w:tab w:val="left" w:pos="3507"/>
        </w:tabs>
        <w:spacing w:before="204" w:line="212" w:lineRule="auto"/>
        <w:jc w:val="center"/>
        <w:rPr>
          <w:rFonts w:hint="eastAsia" w:ascii="微软雅黑" w:hAnsi="微软雅黑" w:eastAsia="微软雅黑" w:cs="微软雅黑"/>
          <w:spacing w:val="35"/>
          <w:sz w:val="31"/>
          <w:szCs w:val="31"/>
          <w:lang w:eastAsia="zh-CN"/>
        </w:rPr>
      </w:pPr>
      <w:r>
        <w:rPr>
          <w:rFonts w:hint="eastAsia" w:ascii="微软雅黑" w:hAnsi="微软雅黑" w:eastAsia="微软雅黑" w:cs="微软雅黑"/>
          <w:spacing w:val="35"/>
          <w:sz w:val="31"/>
          <w:szCs w:val="31"/>
          <w:lang w:eastAsia="zh-CN"/>
        </w:rPr>
        <w:t>珠海市发展和改革局</w:t>
      </w:r>
    </w:p>
    <w:p>
      <w:pPr>
        <w:tabs>
          <w:tab w:val="left" w:pos="3507"/>
        </w:tabs>
        <w:spacing w:before="204" w:line="212" w:lineRule="auto"/>
        <w:jc w:val="center"/>
        <w:rPr>
          <w:rFonts w:hint="eastAsia" w:ascii="微软雅黑" w:hAnsi="微软雅黑" w:eastAsia="微软雅黑" w:cs="微软雅黑"/>
          <w:spacing w:val="35"/>
          <w:sz w:val="31"/>
          <w:szCs w:val="31"/>
          <w:lang w:eastAsia="zh-CN"/>
        </w:rPr>
      </w:pPr>
      <w:r>
        <w:rPr>
          <w:rFonts w:hint="eastAsia" w:ascii="微软雅黑" w:hAnsi="微软雅黑" w:eastAsia="微软雅黑" w:cs="微软雅黑"/>
          <w:spacing w:val="35"/>
          <w:sz w:val="31"/>
          <w:szCs w:val="31"/>
          <w:lang w:eastAsia="zh-CN"/>
        </w:rPr>
        <w:t>二〇二</w:t>
      </w:r>
      <w:r>
        <w:rPr>
          <w:rFonts w:hint="eastAsia" w:ascii="微软雅黑" w:hAnsi="微软雅黑" w:eastAsia="微软雅黑" w:cs="微软雅黑"/>
          <w:spacing w:val="35"/>
          <w:sz w:val="31"/>
          <w:szCs w:val="31"/>
          <w:lang w:val="en-US" w:eastAsia="zh-CN"/>
        </w:rPr>
        <w:t>五</w:t>
      </w:r>
      <w:r>
        <w:rPr>
          <w:rFonts w:hint="eastAsia" w:ascii="微软雅黑" w:hAnsi="微软雅黑" w:eastAsia="微软雅黑" w:cs="微软雅黑"/>
          <w:spacing w:val="35"/>
          <w:sz w:val="31"/>
          <w:szCs w:val="31"/>
          <w:lang w:eastAsia="zh-CN"/>
        </w:rPr>
        <w:t>年</w:t>
      </w:r>
      <w:r>
        <w:rPr>
          <w:rFonts w:hint="eastAsia" w:ascii="微软雅黑" w:hAnsi="微软雅黑" w:eastAsia="微软雅黑" w:cs="微软雅黑"/>
          <w:spacing w:val="35"/>
          <w:sz w:val="31"/>
          <w:szCs w:val="31"/>
          <w:lang w:val="en-US" w:eastAsia="zh-CN"/>
        </w:rPr>
        <w:t>八</w:t>
      </w:r>
      <w:r>
        <w:rPr>
          <w:rFonts w:hint="eastAsia" w:ascii="微软雅黑" w:hAnsi="微软雅黑" w:eastAsia="微软雅黑" w:cs="微软雅黑"/>
          <w:spacing w:val="35"/>
          <w:sz w:val="31"/>
          <w:szCs w:val="31"/>
          <w:lang w:eastAsia="zh-CN"/>
        </w:rPr>
        <w:t>月</w:t>
      </w:r>
    </w:p>
    <w:p>
      <w:pPr>
        <w:bidi w:val="0"/>
        <w:rPr>
          <w:rFonts w:hint="eastAsia"/>
          <w:lang w:eastAsia="zh-CN"/>
        </w:rPr>
      </w:pPr>
    </w:p>
    <w:p>
      <w:pPr>
        <w:bidi w:val="0"/>
        <w:rPr>
          <w:rFonts w:hint="eastAsia"/>
          <w:lang w:eastAsia="zh-CN"/>
        </w:rPr>
      </w:pPr>
    </w:p>
    <w:p>
      <w:pPr>
        <w:bidi w:val="0"/>
        <w:rPr>
          <w:rFonts w:hint="eastAsia"/>
          <w:lang w:eastAsia="zh-CN"/>
        </w:rPr>
        <w:sectPr>
          <w:pgSz w:w="11906" w:h="16838"/>
          <w:pgMar w:top="2041" w:right="1531" w:bottom="2041" w:left="1531" w:header="851" w:footer="992" w:gutter="0"/>
          <w:cols w:space="425" w:num="1"/>
          <w:docGrid w:type="lines" w:linePitch="312" w:charSpace="0"/>
        </w:sectPr>
      </w:pPr>
    </w:p>
    <w:p>
      <w:pPr>
        <w:rPr>
          <w:rFonts w:hint="eastAsia"/>
          <w:lang w:eastAsia="zh-CN"/>
        </w:rPr>
      </w:pPr>
      <w:r>
        <w:rPr>
          <w:rFonts w:hint="eastAsia"/>
          <w:lang w:eastAsia="zh-CN"/>
        </w:rPr>
        <w:br w:type="page"/>
      </w:r>
    </w:p>
    <w:p>
      <w:pPr>
        <w:keepNext w:val="0"/>
        <w:keepLines w:val="0"/>
        <w:pageBreakBefore w:val="0"/>
        <w:widowControl w:val="0"/>
        <w:wordWrap/>
        <w:overflowPunct/>
        <w:topLinePunct w:val="0"/>
        <w:bidi w:val="0"/>
        <w:spacing w:line="579" w:lineRule="exact"/>
        <w:jc w:val="center"/>
        <w:outlineLvl w:val="0"/>
        <w:rPr>
          <w:rFonts w:ascii="微软雅黑" w:hAnsi="微软雅黑" w:eastAsia="微软雅黑" w:cs="微软雅黑"/>
          <w:sz w:val="43"/>
          <w:szCs w:val="43"/>
        </w:rPr>
      </w:pPr>
      <w:r>
        <w:rPr>
          <w:rFonts w:ascii="微软雅黑" w:hAnsi="微软雅黑" w:eastAsia="微软雅黑" w:cs="微软雅黑"/>
          <w:spacing w:val="16"/>
          <w:sz w:val="43"/>
          <w:szCs w:val="43"/>
        </w:rPr>
        <w:t>前</w:t>
      </w:r>
      <w:r>
        <w:rPr>
          <w:rFonts w:ascii="微软雅黑" w:hAnsi="微软雅黑" w:eastAsia="微软雅黑" w:cs="微软雅黑"/>
          <w:spacing w:val="14"/>
          <w:sz w:val="43"/>
          <w:szCs w:val="43"/>
        </w:rPr>
        <w:t xml:space="preserve">   言</w:t>
      </w:r>
    </w:p>
    <w:p>
      <w:pPr>
        <w:keepNext w:val="0"/>
        <w:keepLines w:val="0"/>
        <w:pageBreakBefore w:val="0"/>
        <w:widowControl w:val="0"/>
        <w:wordWrap/>
        <w:overflowPunct/>
        <w:topLinePunct w:val="0"/>
        <w:bidi w:val="0"/>
        <w:spacing w:line="579" w:lineRule="exact"/>
        <w:rPr>
          <w:rFonts w:hint="eastAsia"/>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第一节 规划背景和意义</w:t>
      </w:r>
    </w:p>
    <w:p>
      <w:pPr>
        <w:keepNext w:val="0"/>
        <w:keepLines w:val="0"/>
        <w:pageBreakBefore w:val="0"/>
        <w:widowControl w:val="0"/>
        <w:wordWrap/>
        <w:overflowPunct/>
        <w:topLinePunct w:val="0"/>
        <w:bidi w:val="0"/>
        <w:spacing w:line="579" w:lineRule="exact"/>
        <w:rPr>
          <w:rFonts w:hint="eastAsia"/>
          <w:lang w:val="en-US" w:eastAsia="zh-CN"/>
        </w:rPr>
      </w:pP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次布点规划属于专项规划中的指导性规划，本规划所指的加氢站是为燃料电池汽车的储氢瓶充装氢燃料的专门场所。统筹布局加氢站是推动燃料电池汽车发展、培育完善氢能产业的基础保障，是加快能源绿色低碳转型的重要抓手。</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黑体" w:hAnsi="黑体" w:eastAsia="黑体" w:cs="黑体"/>
          <w:snapToGrid w:val="0"/>
          <w:color w:val="000000"/>
          <w:spacing w:val="13"/>
          <w:kern w:val="0"/>
          <w:sz w:val="32"/>
          <w:szCs w:val="32"/>
          <w:lang w:val="en-US" w:eastAsia="zh-CN"/>
        </w:rPr>
      </w:pPr>
      <w:r>
        <w:rPr>
          <w:rFonts w:hint="eastAsia" w:ascii="仿宋_GB2312" w:hAnsi="仿宋_GB2312" w:eastAsia="仿宋_GB2312" w:cs="仿宋_GB2312"/>
          <w:sz w:val="32"/>
          <w:szCs w:val="32"/>
          <w:lang w:val="en-US" w:eastAsia="zh-CN"/>
        </w:rPr>
        <w:t>2021年，国家五部委公布了率先推动北京、上海、广东、河北、河南五个城市群开展燃料电池汽车示范应用，旨在实现关键核心技术产业化，推动车辆示范应用，构建氢能供应体系，形成可复制可推广的先进经验。为贯彻落实《关于开展燃料电池汽车示范应用的通知》《广东省燃料电池汽车示范应用城市群实施方案》等文件精神，结合《珠海市国土空间总体规划（2021-2035年）》提出的建立煤、油、气等传统能源、新能源、可再生能源等多轮驱动的能源多元供给体系，以及《珠海市氢能产业发展规划（2022-2035年）》提出的燃料电池汽车推广目标和加氢站建设计划，为加快培育珠海市燃料电池汽车产业新动能，配合燃料电池汽车推广应用需求，提供充足、便捷的加氢服务保障，加大符合规划要求的加氢站建设，持续推动传统能源转型升级，带动相关基础材料、核心零部件和整车关键技术研发突破并实现产业化应用，结合本市实际，制定本规划。</w:t>
      </w: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eastAsia" w:ascii="黑体" w:hAnsi="黑体" w:eastAsia="黑体" w:cs="黑体"/>
          <w:snapToGrid w:val="0"/>
          <w:color w:val="000000"/>
          <w:spacing w:val="13"/>
          <w:kern w:val="0"/>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第二节 规划依据</w:t>
      </w:r>
    </w:p>
    <w:p>
      <w:pPr>
        <w:keepNext w:val="0"/>
        <w:keepLines w:val="0"/>
        <w:pageBreakBefore w:val="0"/>
        <w:widowControl w:val="0"/>
        <w:wordWrap/>
        <w:overflowPunct/>
        <w:topLinePunct w:val="0"/>
        <w:bidi w:val="0"/>
        <w:spacing w:line="579" w:lineRule="exact"/>
        <w:rPr>
          <w:rFonts w:hint="eastAsia"/>
          <w:lang w:val="en-US" w:eastAsia="zh-CN"/>
        </w:rPr>
      </w:pPr>
    </w:p>
    <w:p>
      <w:pPr>
        <w:keepNext w:val="0"/>
        <w:keepLines w:val="0"/>
        <w:pageBreakBefore w:val="0"/>
        <w:widowControl w:val="0"/>
        <w:wordWrap/>
        <w:overflowPunct/>
        <w:topLinePunct w:val="0"/>
        <w:bidi w:val="0"/>
        <w:spacing w:line="579"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一、相关法律法规</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《中华人民共和国土地管理法》（2019年）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《中华人民共和国城乡规划法》（2019年）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《城市规划编制办法》（2019年）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《中华人民共和国土地管理法实施条例》（2021年）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《广东省环境保护条例》</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《广东省大气污染防治条例》</w:t>
      </w:r>
    </w:p>
    <w:p>
      <w:pPr>
        <w:keepNext w:val="0"/>
        <w:keepLines w:val="0"/>
        <w:pageBreakBefore w:val="0"/>
        <w:widowControl w:val="0"/>
        <w:wordWrap/>
        <w:overflowPunct/>
        <w:topLinePunct w:val="0"/>
        <w:bidi w:val="0"/>
        <w:spacing w:line="579"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二、相关标准和规范</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《加氢站技术规范》GB 50516</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《加氢站安全技术规范》GB/T 34584</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《汽车加油加气加氢站技术标准》GB 50156</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《氢气站设计规范》GB 50177</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《车用加氢站运营管理规范》DB37/T 4073</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《移动式加氢设施安全技术规范》GB/T 31139</w:t>
      </w:r>
    </w:p>
    <w:p>
      <w:pPr>
        <w:keepNext w:val="0"/>
        <w:keepLines w:val="0"/>
        <w:pageBreakBefore w:val="0"/>
        <w:widowControl w:val="0"/>
        <w:wordWrap/>
        <w:overflowPunct/>
        <w:topLinePunct w:val="0"/>
        <w:bidi w:val="0"/>
        <w:spacing w:line="579"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三、政策文件</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《关于开展燃料电池汽车示范应用的通知》（财建〔2020〕394号）</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《氢能产业发展中长期规划（2021-2035 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《广东省燃料电池汽车示范应用城市群实施方案》</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广东省加快建设燃料电池汽车示范城市群行动计划</w:t>
      </w:r>
      <w:r>
        <w:rPr>
          <w:rFonts w:hint="eastAsia" w:ascii="仿宋_GB2312" w:hAnsi="仿宋_GB2312" w:eastAsia="仿宋_GB2312" w:cs="仿宋_GB2312"/>
          <w:kern w:val="2"/>
          <w:sz w:val="32"/>
          <w:szCs w:val="32"/>
          <w:lang w:val="en-US" w:eastAsia="zh-CN" w:bidi="ar-SA"/>
        </w:rPr>
        <w:t>》</w:t>
      </w:r>
      <w:r>
        <w:rPr>
          <w:rFonts w:hint="default" w:ascii="仿宋_GB2312" w:hAnsi="仿宋_GB2312" w:eastAsia="仿宋_GB2312" w:cs="仿宋_GB2312"/>
          <w:kern w:val="2"/>
          <w:sz w:val="32"/>
          <w:szCs w:val="32"/>
          <w:lang w:val="en-US" w:eastAsia="zh-CN" w:bidi="ar-SA"/>
        </w:rPr>
        <w:t>（2022-2025年）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《广东省燃料电池汽车加氢站建设管理暂行办法》</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《广东省加快氢能产业创新发展的意见》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《广东省生态环境保护“十四五”规划》</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《珠海市国民经济和社会发展第十四五个五年规划和二〇三五年远景目标纲要》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《珠海市国土空间总体规划（2021-2035年）》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《珠海十四五能源发展规划》</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《珠海市氢能产业发展规划（2022-2035年）》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《珠海市现代物流业发展规划（2020-2025）》</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《珠海市成品油分销体系“十四五”发展规划（2021-2025年）》</w:t>
      </w:r>
    </w:p>
    <w:p>
      <w:pPr>
        <w:keepNext w:val="0"/>
        <w:keepLines w:val="0"/>
        <w:pageBreakBefore w:val="0"/>
        <w:widowControl w:val="0"/>
        <w:wordWrap/>
        <w:overflowPunct/>
        <w:topLinePunct w:val="0"/>
        <w:bidi w:val="0"/>
        <w:spacing w:line="579" w:lineRule="exact"/>
        <w:rPr>
          <w:rFonts w:hint="eastAsia"/>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第三节 规划范围和期限</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wordWrap/>
        <w:overflowPunct/>
        <w:topLinePunct w:val="0"/>
        <w:bidi w:val="0"/>
        <w:spacing w:line="579" w:lineRule="exact"/>
        <w:ind w:firstLine="640" w:firstLineChars="200"/>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一、规划范围</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本规划的空间范围为珠海市行政区域范围，总面积约7828平方公里，其中陆域面积约1725平方公里，海域面积约6103平方公里。包括香洲区、金湾区和斗门区三大行政区域，镇15个，街道10个，分别为南屏镇、唐家湾镇、横琴镇、万山镇、桂山镇、担杆镇、三灶镇、南水镇、红旗镇、平沙镇、白蕉镇、井岸镇、斗门镇、乾务镇、莲花镇，狮山街道、翠香街道、拱北街道、吉大街道、梅华街道、前山街道、凤山街道、香湾街道、湾仔街道、白藤街道。</w:t>
      </w:r>
    </w:p>
    <w:p>
      <w:pPr>
        <w:keepNext w:val="0"/>
        <w:keepLines w:val="0"/>
        <w:pageBreakBefore w:val="0"/>
        <w:widowControl w:val="0"/>
        <w:wordWrap/>
        <w:overflowPunct/>
        <w:topLinePunct w:val="0"/>
        <w:bidi w:val="0"/>
        <w:spacing w:line="579" w:lineRule="exact"/>
        <w:ind w:firstLine="640" w:firstLineChars="200"/>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二、规划期限</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leftChars="0"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规划近期至2026年，中远期至2027年，后续根据实际情况滚动调整实施。</w:t>
      </w:r>
      <w:bookmarkStart w:id="18" w:name="_GoBack"/>
      <w:bookmarkEnd w:id="18"/>
    </w:p>
    <w:p>
      <w:pPr>
        <w:spacing w:before="184" w:line="183" w:lineRule="auto"/>
        <w:ind w:left="3820"/>
        <w:rPr>
          <w:rFonts w:ascii="微软雅黑" w:hAnsi="微软雅黑" w:eastAsia="微软雅黑" w:cs="微软雅黑"/>
          <w:sz w:val="43"/>
          <w:szCs w:val="43"/>
        </w:rPr>
      </w:pPr>
    </w:p>
    <w:p>
      <w:pPr>
        <w:spacing w:before="184" w:line="183" w:lineRule="auto"/>
        <w:ind w:left="3820"/>
        <w:rPr>
          <w:rFonts w:ascii="微软雅黑" w:hAnsi="微软雅黑" w:eastAsia="微软雅黑" w:cs="微软雅黑"/>
          <w:sz w:val="43"/>
          <w:szCs w:val="43"/>
        </w:rPr>
        <w:sectPr>
          <w:pgSz w:w="11906" w:h="16838"/>
          <w:pgMar w:top="2041" w:right="1531" w:bottom="2041" w:left="1531" w:header="851" w:footer="992" w:gutter="0"/>
          <w:cols w:space="425" w:num="1"/>
          <w:docGrid w:type="lines" w:linePitch="312" w:charSpace="0"/>
        </w:sectPr>
      </w:pPr>
    </w:p>
    <w:sdt>
      <w:sdtPr>
        <w:rPr>
          <w:rFonts w:ascii="微软雅黑" w:hAnsi="微软雅黑" w:eastAsia="微软雅黑" w:cs="微软雅黑"/>
          <w:sz w:val="43"/>
          <w:szCs w:val="43"/>
        </w:rPr>
        <w:id w:val="1"/>
        <w:docPartObj>
          <w:docPartGallery w:val="Table of Contents"/>
          <w:docPartUnique/>
        </w:docPartObj>
      </w:sdtPr>
      <w:sdtEndPr>
        <w:rPr>
          <w:rFonts w:ascii="楷体" w:hAnsi="楷体" w:eastAsia="楷体" w:cs="楷体"/>
          <w:sz w:val="31"/>
          <w:szCs w:val="31"/>
        </w:rPr>
      </w:sdtEndPr>
      <w:sdtContent>
        <w:p>
          <w:pPr>
            <w:spacing w:before="184" w:line="183" w:lineRule="auto"/>
            <w:ind w:left="3820"/>
            <w:rPr>
              <w:rFonts w:ascii="微软雅黑" w:hAnsi="微软雅黑" w:eastAsia="微软雅黑" w:cs="微软雅黑"/>
              <w:sz w:val="43"/>
              <w:szCs w:val="43"/>
            </w:rPr>
          </w:pPr>
          <w:r>
            <w:rPr>
              <w:rFonts w:ascii="微软雅黑" w:hAnsi="微软雅黑" w:eastAsia="微软雅黑" w:cs="微软雅黑"/>
              <w:spacing w:val="2"/>
              <w:sz w:val="43"/>
              <w:szCs w:val="43"/>
            </w:rPr>
            <w:t>目   录</w:t>
          </w:r>
        </w:p>
        <w:p>
          <w:pPr>
            <w:spacing w:line="275" w:lineRule="auto"/>
            <w:rPr>
              <w:rFonts w:ascii="Arial"/>
              <w:sz w:val="21"/>
            </w:rPr>
          </w:pPr>
        </w:p>
        <w:p>
          <w:pPr>
            <w:tabs>
              <w:tab w:val="right" w:leader="dot" w:pos="8282"/>
            </w:tabs>
            <w:spacing w:before="100" w:line="226" w:lineRule="auto"/>
            <w:rPr>
              <w:rFonts w:ascii="黑体" w:hAnsi="黑体" w:eastAsia="黑体" w:cs="黑体"/>
              <w:sz w:val="31"/>
              <w:szCs w:val="31"/>
            </w:rPr>
          </w:pPr>
          <w:r>
            <w:fldChar w:fldCharType="begin"/>
          </w:r>
          <w:r>
            <w:instrText xml:space="preserve"> HYPERLINK \l "_bookmark1" </w:instrText>
          </w:r>
          <w:r>
            <w:fldChar w:fldCharType="separate"/>
          </w:r>
          <w:r>
            <w:rPr>
              <w:rFonts w:ascii="黑体" w:hAnsi="黑体" w:eastAsia="黑体" w:cs="黑体"/>
              <w:spacing w:val="18"/>
              <w:sz w:val="31"/>
              <w:szCs w:val="31"/>
            </w:rPr>
            <w:t>第</w:t>
          </w:r>
          <w:r>
            <w:rPr>
              <w:rFonts w:ascii="黑体" w:hAnsi="黑体" w:eastAsia="黑体" w:cs="黑体"/>
              <w:spacing w:val="12"/>
              <w:sz w:val="31"/>
              <w:szCs w:val="31"/>
            </w:rPr>
            <w:t xml:space="preserve">一章 </w:t>
          </w:r>
          <w:r>
            <w:rPr>
              <w:rFonts w:hint="eastAsia" w:ascii="黑体" w:hAnsi="黑体" w:eastAsia="黑体" w:cs="黑体"/>
              <w:spacing w:val="12"/>
              <w:sz w:val="31"/>
              <w:szCs w:val="31"/>
              <w:lang w:val="en-US" w:eastAsia="zh-CN"/>
            </w:rPr>
            <w:t>发展现状</w:t>
          </w:r>
          <w:r>
            <w:rPr>
              <w:rFonts w:ascii="黑体" w:hAnsi="黑体" w:eastAsia="黑体" w:cs="黑体"/>
              <w:sz w:val="31"/>
              <w:szCs w:val="31"/>
            </w:rPr>
            <w:tab/>
          </w:r>
          <w:r>
            <w:rPr>
              <w:rFonts w:ascii="黑体" w:hAnsi="黑体" w:eastAsia="黑体" w:cs="黑体"/>
              <w:spacing w:val="12"/>
              <w:sz w:val="31"/>
              <w:szCs w:val="31"/>
            </w:rPr>
            <w:t>1</w:t>
          </w:r>
          <w:r>
            <w:rPr>
              <w:rFonts w:ascii="黑体" w:hAnsi="黑体" w:eastAsia="黑体" w:cs="黑体"/>
              <w:spacing w:val="12"/>
              <w:sz w:val="31"/>
              <w:szCs w:val="31"/>
            </w:rPr>
            <w:fldChar w:fldCharType="end"/>
          </w:r>
        </w:p>
        <w:p>
          <w:pPr>
            <w:tabs>
              <w:tab w:val="right" w:leader="dot" w:pos="8282"/>
            </w:tabs>
            <w:spacing w:before="245" w:line="220" w:lineRule="auto"/>
            <w:ind w:left="428"/>
            <w:rPr>
              <w:rFonts w:ascii="楷体" w:hAnsi="楷体" w:eastAsia="楷体" w:cs="楷体"/>
              <w:sz w:val="31"/>
              <w:szCs w:val="31"/>
            </w:rPr>
          </w:pPr>
          <w:r>
            <w:fldChar w:fldCharType="begin"/>
          </w:r>
          <w:r>
            <w:instrText xml:space="preserve"> HYPERLINK \l "_bookmark2" </w:instrText>
          </w:r>
          <w:r>
            <w:fldChar w:fldCharType="separate"/>
          </w:r>
          <w:r>
            <w:rPr>
              <w:rFonts w:ascii="楷体" w:hAnsi="楷体" w:eastAsia="楷体" w:cs="楷体"/>
              <w:spacing w:val="9"/>
              <w:sz w:val="31"/>
              <w:szCs w:val="31"/>
            </w:rPr>
            <w:t>第一节 发展</w:t>
          </w:r>
          <w:r>
            <w:rPr>
              <w:rFonts w:hint="eastAsia" w:ascii="楷体" w:hAnsi="楷体" w:eastAsia="楷体" w:cs="楷体"/>
              <w:spacing w:val="9"/>
              <w:sz w:val="31"/>
              <w:szCs w:val="31"/>
              <w:lang w:val="en-US" w:eastAsia="zh-CN"/>
            </w:rPr>
            <w:t>基础</w:t>
          </w:r>
          <w:r>
            <w:rPr>
              <w:rFonts w:ascii="楷体" w:hAnsi="楷体" w:eastAsia="楷体" w:cs="楷体"/>
              <w:sz w:val="31"/>
              <w:szCs w:val="31"/>
            </w:rPr>
            <w:tab/>
          </w:r>
          <w:r>
            <w:rPr>
              <w:rFonts w:ascii="楷体" w:hAnsi="楷体" w:eastAsia="楷体" w:cs="楷体"/>
              <w:spacing w:val="8"/>
              <w:sz w:val="31"/>
              <w:szCs w:val="31"/>
            </w:rPr>
            <w:t>1</w:t>
          </w:r>
          <w:r>
            <w:rPr>
              <w:rFonts w:ascii="楷体" w:hAnsi="楷体" w:eastAsia="楷体" w:cs="楷体"/>
              <w:spacing w:val="8"/>
              <w:sz w:val="31"/>
              <w:szCs w:val="31"/>
            </w:rPr>
            <w:fldChar w:fldCharType="end"/>
          </w:r>
        </w:p>
        <w:p>
          <w:pPr>
            <w:tabs>
              <w:tab w:val="right" w:leader="dot" w:pos="8282"/>
            </w:tabs>
            <w:spacing w:before="254" w:line="220" w:lineRule="auto"/>
            <w:ind w:left="428"/>
            <w:rPr>
              <w:rFonts w:ascii="楷体" w:hAnsi="楷体" w:eastAsia="楷体" w:cs="楷体"/>
              <w:spacing w:val="8"/>
              <w:sz w:val="31"/>
              <w:szCs w:val="31"/>
            </w:rPr>
          </w:pPr>
          <w:r>
            <w:fldChar w:fldCharType="begin"/>
          </w:r>
          <w:r>
            <w:instrText xml:space="preserve"> HYPERLINK \l "_bookmark3" </w:instrText>
          </w:r>
          <w:r>
            <w:fldChar w:fldCharType="separate"/>
          </w:r>
          <w:r>
            <w:rPr>
              <w:rFonts w:ascii="楷体" w:hAnsi="楷体" w:eastAsia="楷体" w:cs="楷体"/>
              <w:spacing w:val="10"/>
              <w:sz w:val="31"/>
              <w:szCs w:val="31"/>
            </w:rPr>
            <w:t>第</w:t>
          </w:r>
          <w:r>
            <w:rPr>
              <w:rFonts w:ascii="楷体" w:hAnsi="楷体" w:eastAsia="楷体" w:cs="楷体"/>
              <w:spacing w:val="8"/>
              <w:sz w:val="31"/>
              <w:szCs w:val="31"/>
            </w:rPr>
            <w:t xml:space="preserve">二节 </w:t>
          </w:r>
          <w:r>
            <w:rPr>
              <w:rFonts w:hint="eastAsia" w:ascii="楷体" w:hAnsi="楷体" w:eastAsia="楷体" w:cs="楷体"/>
              <w:spacing w:val="8"/>
              <w:sz w:val="31"/>
              <w:szCs w:val="31"/>
              <w:lang w:val="en-US" w:eastAsia="zh-CN"/>
            </w:rPr>
            <w:t>发展形势</w:t>
          </w:r>
          <w:r>
            <w:rPr>
              <w:rFonts w:ascii="楷体" w:hAnsi="楷体" w:eastAsia="楷体" w:cs="楷体"/>
              <w:sz w:val="31"/>
              <w:szCs w:val="31"/>
            </w:rPr>
            <w:tab/>
          </w:r>
          <w:r>
            <w:rPr>
              <w:rFonts w:hint="eastAsia" w:ascii="楷体" w:hAnsi="楷体" w:eastAsia="楷体" w:cs="楷体"/>
              <w:spacing w:val="8"/>
              <w:sz w:val="31"/>
              <w:szCs w:val="31"/>
              <w:lang w:val="en-US" w:eastAsia="zh-CN"/>
            </w:rPr>
            <w:t>2</w:t>
          </w:r>
          <w:r>
            <w:rPr>
              <w:rFonts w:ascii="楷体" w:hAnsi="楷体" w:eastAsia="楷体" w:cs="楷体"/>
              <w:spacing w:val="8"/>
              <w:sz w:val="31"/>
              <w:szCs w:val="31"/>
            </w:rPr>
            <w:fldChar w:fldCharType="end"/>
          </w:r>
        </w:p>
        <w:p>
          <w:pPr>
            <w:tabs>
              <w:tab w:val="right" w:leader="dot" w:pos="8282"/>
            </w:tabs>
            <w:spacing w:before="254" w:line="220" w:lineRule="auto"/>
            <w:ind w:left="428"/>
            <w:rPr>
              <w:rFonts w:ascii="楷体" w:hAnsi="楷体" w:eastAsia="楷体" w:cs="楷体"/>
              <w:sz w:val="31"/>
              <w:szCs w:val="31"/>
            </w:rPr>
          </w:pPr>
          <w:r>
            <w:fldChar w:fldCharType="begin"/>
          </w:r>
          <w:r>
            <w:instrText xml:space="preserve"> HYPERLINK \l "_bookmark3" </w:instrText>
          </w:r>
          <w:r>
            <w:fldChar w:fldCharType="separate"/>
          </w:r>
          <w:r>
            <w:rPr>
              <w:rFonts w:ascii="楷体" w:hAnsi="楷体" w:eastAsia="楷体" w:cs="楷体"/>
              <w:spacing w:val="10"/>
              <w:sz w:val="31"/>
              <w:szCs w:val="31"/>
            </w:rPr>
            <w:t>第</w:t>
          </w:r>
          <w:r>
            <w:rPr>
              <w:rFonts w:hint="eastAsia" w:ascii="楷体" w:hAnsi="楷体" w:eastAsia="楷体" w:cs="楷体"/>
              <w:spacing w:val="8"/>
              <w:sz w:val="31"/>
              <w:szCs w:val="31"/>
              <w:lang w:val="en-US" w:eastAsia="zh-CN"/>
            </w:rPr>
            <w:t>三</w:t>
          </w:r>
          <w:r>
            <w:rPr>
              <w:rFonts w:ascii="楷体" w:hAnsi="楷体" w:eastAsia="楷体" w:cs="楷体"/>
              <w:spacing w:val="8"/>
              <w:sz w:val="31"/>
              <w:szCs w:val="31"/>
            </w:rPr>
            <w:t xml:space="preserve">节 </w:t>
          </w:r>
          <w:r>
            <w:rPr>
              <w:rFonts w:hint="eastAsia" w:ascii="楷体" w:hAnsi="楷体" w:eastAsia="楷体" w:cs="楷体"/>
              <w:spacing w:val="8"/>
              <w:sz w:val="31"/>
              <w:szCs w:val="31"/>
              <w:lang w:val="en-US" w:eastAsia="zh-CN"/>
            </w:rPr>
            <w:t>问题与挑战</w:t>
          </w:r>
          <w:r>
            <w:rPr>
              <w:rFonts w:ascii="楷体" w:hAnsi="楷体" w:eastAsia="楷体" w:cs="楷体"/>
              <w:sz w:val="31"/>
              <w:szCs w:val="31"/>
            </w:rPr>
            <w:tab/>
          </w:r>
          <w:r>
            <w:rPr>
              <w:rFonts w:hint="eastAsia" w:ascii="楷体" w:hAnsi="楷体" w:eastAsia="楷体" w:cs="楷体"/>
              <w:spacing w:val="8"/>
              <w:sz w:val="31"/>
              <w:szCs w:val="31"/>
              <w:lang w:val="en-US" w:eastAsia="zh-CN"/>
            </w:rPr>
            <w:t>4</w:t>
          </w:r>
          <w:r>
            <w:rPr>
              <w:rFonts w:ascii="楷体" w:hAnsi="楷体" w:eastAsia="楷体" w:cs="楷体"/>
              <w:spacing w:val="8"/>
              <w:sz w:val="31"/>
              <w:szCs w:val="31"/>
            </w:rPr>
            <w:fldChar w:fldCharType="end"/>
          </w:r>
        </w:p>
        <w:p>
          <w:pPr>
            <w:tabs>
              <w:tab w:val="right" w:leader="dot" w:pos="8282"/>
            </w:tabs>
            <w:spacing w:before="252" w:line="227" w:lineRule="auto"/>
            <w:rPr>
              <w:rFonts w:ascii="黑体" w:hAnsi="黑体" w:eastAsia="黑体" w:cs="黑体"/>
              <w:sz w:val="31"/>
              <w:szCs w:val="31"/>
            </w:rPr>
          </w:pPr>
          <w:r>
            <w:fldChar w:fldCharType="begin"/>
          </w:r>
          <w:r>
            <w:instrText xml:space="preserve"> HYPERLINK \l "_bookmark5" </w:instrText>
          </w:r>
          <w:r>
            <w:fldChar w:fldCharType="separate"/>
          </w:r>
          <w:r>
            <w:rPr>
              <w:rFonts w:ascii="黑体" w:hAnsi="黑体" w:eastAsia="黑体" w:cs="黑体"/>
              <w:spacing w:val="18"/>
              <w:sz w:val="31"/>
              <w:szCs w:val="31"/>
            </w:rPr>
            <w:t>第</w:t>
          </w:r>
          <w:r>
            <w:rPr>
              <w:rFonts w:ascii="黑体" w:hAnsi="黑体" w:eastAsia="黑体" w:cs="黑体"/>
              <w:spacing w:val="12"/>
              <w:sz w:val="31"/>
              <w:szCs w:val="31"/>
            </w:rPr>
            <w:t xml:space="preserve">二章 </w:t>
          </w:r>
          <w:r>
            <w:rPr>
              <w:rFonts w:hint="eastAsia" w:ascii="黑体" w:hAnsi="黑体" w:eastAsia="黑体" w:cs="黑体"/>
              <w:spacing w:val="12"/>
              <w:sz w:val="31"/>
              <w:szCs w:val="31"/>
              <w:lang w:val="en-US" w:eastAsia="zh-CN"/>
            </w:rPr>
            <w:t>需求预测</w:t>
          </w:r>
          <w:r>
            <w:rPr>
              <w:rFonts w:ascii="黑体" w:hAnsi="黑体" w:eastAsia="黑体" w:cs="黑体"/>
              <w:sz w:val="31"/>
              <w:szCs w:val="31"/>
            </w:rPr>
            <w:tab/>
          </w:r>
          <w:r>
            <w:rPr>
              <w:rFonts w:hint="eastAsia" w:ascii="黑体" w:hAnsi="黑体" w:eastAsia="黑体" w:cs="黑体"/>
              <w:spacing w:val="12"/>
              <w:sz w:val="31"/>
              <w:szCs w:val="31"/>
              <w:lang w:val="en-US" w:eastAsia="zh-CN"/>
            </w:rPr>
            <w:t>5</w:t>
          </w:r>
          <w:r>
            <w:rPr>
              <w:rFonts w:ascii="黑体" w:hAnsi="黑体" w:eastAsia="黑体" w:cs="黑体"/>
              <w:spacing w:val="12"/>
              <w:sz w:val="31"/>
              <w:szCs w:val="31"/>
            </w:rPr>
            <w:fldChar w:fldCharType="end"/>
          </w:r>
        </w:p>
        <w:p>
          <w:pPr>
            <w:tabs>
              <w:tab w:val="right" w:leader="dot" w:pos="8282"/>
            </w:tabs>
            <w:spacing w:before="245" w:line="220" w:lineRule="auto"/>
            <w:ind w:left="428"/>
            <w:rPr>
              <w:rFonts w:ascii="楷体" w:hAnsi="楷体" w:eastAsia="楷体" w:cs="楷体"/>
              <w:sz w:val="31"/>
              <w:szCs w:val="31"/>
            </w:rPr>
          </w:pPr>
          <w:r>
            <w:fldChar w:fldCharType="begin"/>
          </w:r>
          <w:r>
            <w:instrText xml:space="preserve"> HYPERLINK \l "_bookmark6" </w:instrText>
          </w:r>
          <w:r>
            <w:fldChar w:fldCharType="separate"/>
          </w:r>
          <w:r>
            <w:rPr>
              <w:rFonts w:ascii="楷体" w:hAnsi="楷体" w:eastAsia="楷体" w:cs="楷体"/>
              <w:spacing w:val="9"/>
              <w:sz w:val="31"/>
              <w:szCs w:val="31"/>
            </w:rPr>
            <w:t xml:space="preserve">第一节 </w:t>
          </w:r>
          <w:r>
            <w:rPr>
              <w:rFonts w:hint="eastAsia" w:ascii="楷体" w:hAnsi="楷体" w:eastAsia="楷体" w:cs="楷体"/>
              <w:spacing w:val="9"/>
              <w:sz w:val="31"/>
              <w:szCs w:val="31"/>
              <w:lang w:val="en-US" w:eastAsia="zh-CN"/>
            </w:rPr>
            <w:t>氢能应用场景分析</w:t>
          </w:r>
          <w:r>
            <w:rPr>
              <w:rFonts w:ascii="楷体" w:hAnsi="楷体" w:eastAsia="楷体" w:cs="楷体"/>
              <w:sz w:val="31"/>
              <w:szCs w:val="31"/>
            </w:rPr>
            <w:tab/>
          </w:r>
          <w:r>
            <w:rPr>
              <w:rFonts w:hint="eastAsia" w:ascii="楷体" w:hAnsi="楷体" w:eastAsia="楷体" w:cs="楷体"/>
              <w:spacing w:val="8"/>
              <w:sz w:val="31"/>
              <w:szCs w:val="31"/>
              <w:lang w:val="en-US" w:eastAsia="zh-CN"/>
            </w:rPr>
            <w:t>5</w:t>
          </w:r>
          <w:r>
            <w:rPr>
              <w:rFonts w:ascii="楷体" w:hAnsi="楷体" w:eastAsia="楷体" w:cs="楷体"/>
              <w:spacing w:val="8"/>
              <w:sz w:val="31"/>
              <w:szCs w:val="31"/>
            </w:rPr>
            <w:fldChar w:fldCharType="end"/>
          </w:r>
        </w:p>
        <w:p>
          <w:pPr>
            <w:tabs>
              <w:tab w:val="right" w:leader="dot" w:pos="8282"/>
            </w:tabs>
            <w:spacing w:before="254" w:line="221" w:lineRule="auto"/>
            <w:ind w:left="428"/>
            <w:rPr>
              <w:rFonts w:hint="eastAsia" w:ascii="楷体" w:hAnsi="楷体" w:eastAsia="楷体" w:cs="楷体"/>
              <w:spacing w:val="8"/>
              <w:sz w:val="31"/>
              <w:szCs w:val="31"/>
              <w:lang w:val="en-US" w:eastAsia="zh-CN"/>
            </w:rPr>
          </w:pPr>
          <w:r>
            <w:fldChar w:fldCharType="begin"/>
          </w:r>
          <w:r>
            <w:instrText xml:space="preserve"> HYPERLINK \l "_bookmark7" </w:instrText>
          </w:r>
          <w:r>
            <w:fldChar w:fldCharType="separate"/>
          </w:r>
          <w:r>
            <w:rPr>
              <w:rFonts w:ascii="楷体" w:hAnsi="楷体" w:eastAsia="楷体" w:cs="楷体"/>
              <w:spacing w:val="9"/>
              <w:sz w:val="31"/>
              <w:szCs w:val="31"/>
            </w:rPr>
            <w:t xml:space="preserve">第二节 </w:t>
          </w:r>
          <w:r>
            <w:rPr>
              <w:rFonts w:hint="eastAsia" w:ascii="楷体" w:hAnsi="楷体" w:eastAsia="楷体" w:cs="楷体"/>
              <w:spacing w:val="9"/>
              <w:sz w:val="31"/>
              <w:szCs w:val="31"/>
              <w:lang w:val="en-US" w:eastAsia="zh-CN"/>
            </w:rPr>
            <w:t>燃料电池汽车推广预测</w:t>
          </w:r>
          <w:r>
            <w:rPr>
              <w:rFonts w:ascii="楷体" w:hAnsi="楷体" w:eastAsia="楷体" w:cs="楷体"/>
              <w:sz w:val="31"/>
              <w:szCs w:val="31"/>
            </w:rPr>
            <w:tab/>
          </w:r>
          <w:r>
            <w:rPr>
              <w:rFonts w:hint="default" w:ascii="楷体" w:hAnsi="楷体" w:eastAsia="楷体" w:cs="楷体"/>
              <w:spacing w:val="8"/>
              <w:sz w:val="31"/>
              <w:szCs w:val="31"/>
              <w:lang w:val="en" w:eastAsia="zh-CN"/>
            </w:rPr>
            <w:t>9</w:t>
          </w:r>
          <w:r>
            <w:rPr>
              <w:rFonts w:ascii="楷体" w:hAnsi="楷体" w:eastAsia="楷体" w:cs="楷体"/>
              <w:spacing w:val="8"/>
              <w:sz w:val="31"/>
              <w:szCs w:val="31"/>
            </w:rPr>
            <w:fldChar w:fldCharType="end"/>
          </w:r>
        </w:p>
        <w:p>
          <w:pPr>
            <w:tabs>
              <w:tab w:val="right" w:leader="dot" w:pos="8282"/>
            </w:tabs>
            <w:spacing w:before="254" w:line="221" w:lineRule="auto"/>
            <w:ind w:left="428"/>
            <w:rPr>
              <w:rFonts w:hint="eastAsia" w:ascii="楷体" w:hAnsi="楷体" w:eastAsia="楷体" w:cs="楷体"/>
              <w:spacing w:val="8"/>
              <w:sz w:val="31"/>
              <w:szCs w:val="31"/>
              <w:lang w:val="en-US" w:eastAsia="zh-CN"/>
            </w:rPr>
          </w:pPr>
          <w:r>
            <w:fldChar w:fldCharType="begin"/>
          </w:r>
          <w:r>
            <w:instrText xml:space="preserve"> HYPERLINK \l "_bookmark7" </w:instrText>
          </w:r>
          <w:r>
            <w:fldChar w:fldCharType="separate"/>
          </w:r>
          <w:r>
            <w:rPr>
              <w:rFonts w:ascii="楷体" w:hAnsi="楷体" w:eastAsia="楷体" w:cs="楷体"/>
              <w:spacing w:val="9"/>
              <w:sz w:val="31"/>
              <w:szCs w:val="31"/>
            </w:rPr>
            <w:t>第</w:t>
          </w:r>
          <w:r>
            <w:rPr>
              <w:rFonts w:hint="eastAsia" w:ascii="楷体" w:hAnsi="楷体" w:eastAsia="楷体" w:cs="楷体"/>
              <w:spacing w:val="9"/>
              <w:sz w:val="31"/>
              <w:szCs w:val="31"/>
              <w:lang w:val="en-US" w:eastAsia="zh-CN"/>
            </w:rPr>
            <w:t>三</w:t>
          </w:r>
          <w:r>
            <w:rPr>
              <w:rFonts w:ascii="楷体" w:hAnsi="楷体" w:eastAsia="楷体" w:cs="楷体"/>
              <w:spacing w:val="9"/>
              <w:sz w:val="31"/>
              <w:szCs w:val="31"/>
            </w:rPr>
            <w:t xml:space="preserve">节 </w:t>
          </w:r>
          <w:r>
            <w:rPr>
              <w:rFonts w:hint="eastAsia" w:ascii="楷体" w:hAnsi="楷体" w:eastAsia="楷体" w:cs="楷体"/>
              <w:spacing w:val="9"/>
              <w:sz w:val="31"/>
              <w:szCs w:val="31"/>
              <w:lang w:val="en-US" w:eastAsia="zh-CN"/>
            </w:rPr>
            <w:t>用氢需求预测</w:t>
          </w:r>
          <w:r>
            <w:rPr>
              <w:rFonts w:ascii="楷体" w:hAnsi="楷体" w:eastAsia="楷体" w:cs="楷体"/>
              <w:sz w:val="31"/>
              <w:szCs w:val="31"/>
            </w:rPr>
            <w:tab/>
          </w:r>
          <w:r>
            <w:rPr>
              <w:rFonts w:hint="eastAsia" w:ascii="楷体" w:hAnsi="楷体" w:eastAsia="楷体" w:cs="楷体"/>
              <w:spacing w:val="8"/>
              <w:sz w:val="31"/>
              <w:szCs w:val="31"/>
              <w:lang w:val="en-US" w:eastAsia="zh-CN"/>
            </w:rPr>
            <w:t>1</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2</w:t>
          </w:r>
        </w:p>
        <w:p>
          <w:pPr>
            <w:tabs>
              <w:tab w:val="right" w:leader="dot" w:pos="8282"/>
            </w:tabs>
            <w:spacing w:before="252" w:line="226" w:lineRule="auto"/>
            <w:rPr>
              <w:rFonts w:hint="default" w:ascii="黑体" w:hAnsi="黑体" w:eastAsia="黑体" w:cs="黑体"/>
              <w:sz w:val="31"/>
              <w:szCs w:val="31"/>
              <w:lang w:val="en"/>
            </w:rPr>
          </w:pPr>
          <w:r>
            <w:fldChar w:fldCharType="begin"/>
          </w:r>
          <w:r>
            <w:instrText xml:space="preserve"> HYPERLINK \l "_bookmark10" </w:instrText>
          </w:r>
          <w:r>
            <w:fldChar w:fldCharType="separate"/>
          </w:r>
          <w:r>
            <w:rPr>
              <w:rFonts w:ascii="黑体" w:hAnsi="黑体" w:eastAsia="黑体" w:cs="黑体"/>
              <w:spacing w:val="18"/>
              <w:sz w:val="31"/>
              <w:szCs w:val="31"/>
            </w:rPr>
            <w:t>第</w:t>
          </w:r>
          <w:r>
            <w:rPr>
              <w:rFonts w:ascii="黑体" w:hAnsi="黑体" w:eastAsia="黑体" w:cs="黑体"/>
              <w:spacing w:val="11"/>
              <w:sz w:val="31"/>
              <w:szCs w:val="31"/>
            </w:rPr>
            <w:t xml:space="preserve">三章 </w:t>
          </w:r>
          <w:r>
            <w:rPr>
              <w:rFonts w:hint="eastAsia" w:ascii="黑体" w:hAnsi="黑体" w:eastAsia="黑体" w:cs="黑体"/>
              <w:spacing w:val="11"/>
              <w:sz w:val="31"/>
              <w:szCs w:val="31"/>
              <w:lang w:val="en-US" w:eastAsia="zh-CN"/>
            </w:rPr>
            <w:t>发展思路</w:t>
          </w:r>
          <w:r>
            <w:rPr>
              <w:rFonts w:ascii="黑体" w:hAnsi="黑体" w:eastAsia="黑体" w:cs="黑体"/>
              <w:sz w:val="31"/>
              <w:szCs w:val="31"/>
            </w:rPr>
            <w:tab/>
          </w:r>
          <w:r>
            <w:rPr>
              <w:rFonts w:hint="default" w:ascii="黑体" w:hAnsi="黑体" w:eastAsia="黑体" w:cs="黑体"/>
              <w:spacing w:val="11"/>
              <w:sz w:val="31"/>
              <w:szCs w:val="31"/>
              <w:lang w:val="en"/>
            </w:rPr>
            <w:t>1</w:t>
          </w:r>
          <w:r>
            <w:rPr>
              <w:rFonts w:ascii="黑体" w:hAnsi="黑体" w:eastAsia="黑体" w:cs="黑体"/>
              <w:spacing w:val="11"/>
              <w:sz w:val="31"/>
              <w:szCs w:val="31"/>
            </w:rPr>
            <w:fldChar w:fldCharType="end"/>
          </w:r>
          <w:r>
            <w:rPr>
              <w:rFonts w:hint="default" w:ascii="黑体" w:hAnsi="黑体" w:eastAsia="黑体" w:cs="黑体"/>
              <w:spacing w:val="11"/>
              <w:sz w:val="31"/>
              <w:szCs w:val="31"/>
              <w:lang w:val="en"/>
            </w:rPr>
            <w:t>3</w:t>
          </w:r>
        </w:p>
        <w:p>
          <w:pPr>
            <w:tabs>
              <w:tab w:val="right" w:leader="dot" w:pos="8282"/>
            </w:tabs>
            <w:spacing w:before="245" w:line="217" w:lineRule="auto"/>
            <w:ind w:left="428"/>
            <w:rPr>
              <w:rFonts w:ascii="楷体" w:hAnsi="楷体" w:eastAsia="楷体" w:cs="楷体"/>
              <w:sz w:val="31"/>
              <w:szCs w:val="31"/>
            </w:rPr>
          </w:pPr>
          <w:r>
            <w:fldChar w:fldCharType="begin"/>
          </w:r>
          <w:r>
            <w:instrText xml:space="preserve"> HYPERLINK \l "_bookmark11" </w:instrText>
          </w:r>
          <w:r>
            <w:fldChar w:fldCharType="separate"/>
          </w:r>
          <w:r>
            <w:rPr>
              <w:rFonts w:ascii="楷体" w:hAnsi="楷体" w:eastAsia="楷体" w:cs="楷体"/>
              <w:spacing w:val="11"/>
              <w:sz w:val="31"/>
              <w:szCs w:val="31"/>
            </w:rPr>
            <w:t xml:space="preserve">第一节 </w:t>
          </w:r>
          <w:r>
            <w:rPr>
              <w:rFonts w:hint="eastAsia" w:ascii="楷体" w:hAnsi="楷体" w:eastAsia="楷体" w:cs="楷体"/>
              <w:spacing w:val="11"/>
              <w:sz w:val="31"/>
              <w:szCs w:val="31"/>
              <w:lang w:val="en-US" w:eastAsia="zh-CN"/>
            </w:rPr>
            <w:t>指导思想</w:t>
          </w:r>
          <w:r>
            <w:rPr>
              <w:rFonts w:ascii="楷体" w:hAnsi="楷体" w:eastAsia="楷体" w:cs="楷体"/>
              <w:sz w:val="31"/>
              <w:szCs w:val="31"/>
            </w:rPr>
            <w:tab/>
          </w:r>
          <w:r>
            <w:rPr>
              <w:rFonts w:ascii="楷体" w:hAnsi="楷体" w:eastAsia="楷体" w:cs="楷体"/>
              <w:spacing w:val="11"/>
              <w:sz w:val="31"/>
              <w:szCs w:val="31"/>
            </w:rPr>
            <w:t>1</w:t>
          </w:r>
          <w:r>
            <w:rPr>
              <w:rFonts w:hint="default" w:ascii="楷体" w:hAnsi="楷体" w:eastAsia="楷体" w:cs="楷体"/>
              <w:spacing w:val="8"/>
              <w:sz w:val="31"/>
              <w:szCs w:val="31"/>
              <w:lang w:val="en" w:eastAsia="zh-CN"/>
            </w:rPr>
            <w:t>3</w:t>
          </w:r>
          <w:r>
            <w:rPr>
              <w:rFonts w:ascii="楷体" w:hAnsi="楷体" w:eastAsia="楷体" w:cs="楷体"/>
              <w:spacing w:val="8"/>
              <w:sz w:val="31"/>
              <w:szCs w:val="31"/>
            </w:rPr>
            <w:fldChar w:fldCharType="end"/>
          </w:r>
        </w:p>
        <w:p>
          <w:pPr>
            <w:tabs>
              <w:tab w:val="right" w:leader="dot" w:pos="8282"/>
            </w:tabs>
            <w:spacing w:before="260" w:line="217" w:lineRule="auto"/>
            <w:ind w:left="428"/>
            <w:rPr>
              <w:rFonts w:ascii="楷体" w:hAnsi="楷体" w:eastAsia="楷体" w:cs="楷体"/>
              <w:sz w:val="31"/>
              <w:szCs w:val="31"/>
            </w:rPr>
          </w:pPr>
          <w:r>
            <w:fldChar w:fldCharType="begin"/>
          </w:r>
          <w:r>
            <w:instrText xml:space="preserve"> HYPERLINK \l "_bookmark12" </w:instrText>
          </w:r>
          <w:r>
            <w:fldChar w:fldCharType="separate"/>
          </w:r>
          <w:r>
            <w:rPr>
              <w:rFonts w:ascii="楷体" w:hAnsi="楷体" w:eastAsia="楷体" w:cs="楷体"/>
              <w:spacing w:val="11"/>
              <w:sz w:val="31"/>
              <w:szCs w:val="31"/>
            </w:rPr>
            <w:t xml:space="preserve">第二节 </w:t>
          </w:r>
          <w:r>
            <w:rPr>
              <w:rFonts w:hint="eastAsia" w:ascii="楷体" w:hAnsi="楷体" w:eastAsia="楷体" w:cs="楷体"/>
              <w:spacing w:val="11"/>
              <w:sz w:val="31"/>
              <w:szCs w:val="31"/>
              <w:lang w:val="en-US" w:eastAsia="zh-CN"/>
            </w:rPr>
            <w:t>工作原则</w:t>
          </w:r>
          <w:r>
            <w:rPr>
              <w:rFonts w:ascii="楷体" w:hAnsi="楷体" w:eastAsia="楷体" w:cs="楷体"/>
              <w:sz w:val="31"/>
              <w:szCs w:val="31"/>
            </w:rPr>
            <w:tab/>
          </w:r>
          <w:r>
            <w:rPr>
              <w:rFonts w:ascii="楷体" w:hAnsi="楷体" w:eastAsia="楷体" w:cs="楷体"/>
              <w:spacing w:val="11"/>
              <w:sz w:val="31"/>
              <w:szCs w:val="31"/>
            </w:rPr>
            <w:t>1</w:t>
          </w:r>
          <w:r>
            <w:rPr>
              <w:rFonts w:hint="eastAsia" w:ascii="楷体" w:hAnsi="楷体" w:eastAsia="楷体" w:cs="楷体"/>
              <w:spacing w:val="8"/>
              <w:sz w:val="31"/>
              <w:szCs w:val="31"/>
              <w:lang w:val="en-US" w:eastAsia="zh-CN"/>
            </w:rPr>
            <w:t>4</w:t>
          </w:r>
          <w:r>
            <w:rPr>
              <w:rFonts w:ascii="楷体" w:hAnsi="楷体" w:eastAsia="楷体" w:cs="楷体"/>
              <w:spacing w:val="8"/>
              <w:sz w:val="31"/>
              <w:szCs w:val="31"/>
            </w:rPr>
            <w:fldChar w:fldCharType="end"/>
          </w:r>
        </w:p>
        <w:p>
          <w:pPr>
            <w:tabs>
              <w:tab w:val="right" w:leader="dot" w:pos="8282"/>
            </w:tabs>
            <w:spacing w:before="260" w:line="217" w:lineRule="auto"/>
            <w:ind w:left="428"/>
            <w:rPr>
              <w:rFonts w:ascii="楷体" w:hAnsi="楷体" w:eastAsia="楷体" w:cs="楷体"/>
              <w:sz w:val="31"/>
              <w:szCs w:val="31"/>
            </w:rPr>
          </w:pPr>
          <w:r>
            <w:fldChar w:fldCharType="begin"/>
          </w:r>
          <w:r>
            <w:instrText xml:space="preserve"> HYPERLINK \l "_bookmark14" </w:instrText>
          </w:r>
          <w:r>
            <w:fldChar w:fldCharType="separate"/>
          </w:r>
          <w:r>
            <w:rPr>
              <w:rFonts w:ascii="楷体" w:hAnsi="楷体" w:eastAsia="楷体" w:cs="楷体"/>
              <w:spacing w:val="11"/>
              <w:sz w:val="31"/>
              <w:szCs w:val="31"/>
            </w:rPr>
            <w:t>第</w:t>
          </w:r>
          <w:r>
            <w:rPr>
              <w:rFonts w:hint="eastAsia" w:ascii="楷体" w:hAnsi="楷体" w:eastAsia="楷体" w:cs="楷体"/>
              <w:spacing w:val="11"/>
              <w:sz w:val="31"/>
              <w:szCs w:val="31"/>
              <w:lang w:val="en-US" w:eastAsia="zh-CN"/>
            </w:rPr>
            <w:t>三</w:t>
          </w:r>
          <w:r>
            <w:rPr>
              <w:rFonts w:ascii="楷体" w:hAnsi="楷体" w:eastAsia="楷体" w:cs="楷体"/>
              <w:spacing w:val="11"/>
              <w:sz w:val="31"/>
              <w:szCs w:val="31"/>
            </w:rPr>
            <w:t xml:space="preserve">节 </w:t>
          </w:r>
          <w:r>
            <w:rPr>
              <w:rFonts w:hint="eastAsia" w:ascii="楷体" w:hAnsi="楷体" w:eastAsia="楷体" w:cs="楷体"/>
              <w:spacing w:val="11"/>
              <w:sz w:val="31"/>
              <w:szCs w:val="31"/>
              <w:lang w:val="en-US" w:eastAsia="zh-CN"/>
            </w:rPr>
            <w:t>发展目标</w:t>
          </w:r>
          <w:r>
            <w:rPr>
              <w:rFonts w:ascii="楷体" w:hAnsi="楷体" w:eastAsia="楷体" w:cs="楷体"/>
              <w:sz w:val="31"/>
              <w:szCs w:val="31"/>
            </w:rPr>
            <w:tab/>
          </w:r>
          <w:r>
            <w:rPr>
              <w:rFonts w:ascii="楷体" w:hAnsi="楷体" w:eastAsia="楷体" w:cs="楷体"/>
              <w:spacing w:val="11"/>
              <w:sz w:val="31"/>
              <w:szCs w:val="31"/>
            </w:rPr>
            <w:t>1</w:t>
          </w:r>
          <w:r>
            <w:rPr>
              <w:rFonts w:ascii="楷体" w:hAnsi="楷体" w:eastAsia="楷体" w:cs="楷体"/>
              <w:spacing w:val="8"/>
              <w:sz w:val="31"/>
              <w:szCs w:val="31"/>
            </w:rPr>
            <w:t>5</w:t>
          </w:r>
          <w:r>
            <w:rPr>
              <w:rFonts w:ascii="楷体" w:hAnsi="楷体" w:eastAsia="楷体" w:cs="楷体"/>
              <w:spacing w:val="8"/>
              <w:sz w:val="31"/>
              <w:szCs w:val="31"/>
            </w:rPr>
            <w:fldChar w:fldCharType="end"/>
          </w:r>
        </w:p>
        <w:p>
          <w:pPr>
            <w:tabs>
              <w:tab w:val="right" w:leader="dot" w:pos="8282"/>
            </w:tabs>
            <w:spacing w:before="252" w:line="226" w:lineRule="auto"/>
            <w:rPr>
              <w:rFonts w:ascii="黑体" w:hAnsi="黑体" w:eastAsia="黑体" w:cs="黑体"/>
              <w:sz w:val="31"/>
              <w:szCs w:val="31"/>
            </w:rPr>
          </w:pPr>
          <w:r>
            <w:fldChar w:fldCharType="begin"/>
          </w:r>
          <w:r>
            <w:instrText xml:space="preserve"> HYPERLINK \l "_bookmark10" </w:instrText>
          </w:r>
          <w:r>
            <w:fldChar w:fldCharType="separate"/>
          </w:r>
          <w:r>
            <w:rPr>
              <w:rFonts w:ascii="黑体" w:hAnsi="黑体" w:eastAsia="黑体" w:cs="黑体"/>
              <w:spacing w:val="18"/>
              <w:sz w:val="31"/>
              <w:szCs w:val="31"/>
            </w:rPr>
            <w:t>第</w:t>
          </w:r>
          <w:r>
            <w:rPr>
              <w:rFonts w:hint="eastAsia" w:ascii="黑体" w:hAnsi="黑体" w:eastAsia="黑体" w:cs="黑体"/>
              <w:spacing w:val="11"/>
              <w:sz w:val="31"/>
              <w:szCs w:val="31"/>
              <w:lang w:val="en-US" w:eastAsia="zh-CN"/>
            </w:rPr>
            <w:t>四</w:t>
          </w:r>
          <w:r>
            <w:rPr>
              <w:rFonts w:ascii="黑体" w:hAnsi="黑体" w:eastAsia="黑体" w:cs="黑体"/>
              <w:spacing w:val="11"/>
              <w:sz w:val="31"/>
              <w:szCs w:val="31"/>
            </w:rPr>
            <w:t xml:space="preserve">章 </w:t>
          </w:r>
          <w:r>
            <w:rPr>
              <w:rFonts w:hint="eastAsia" w:ascii="黑体" w:hAnsi="黑体" w:eastAsia="黑体" w:cs="黑体"/>
              <w:spacing w:val="11"/>
              <w:sz w:val="31"/>
              <w:szCs w:val="31"/>
              <w:lang w:val="en-US" w:eastAsia="zh-CN"/>
            </w:rPr>
            <w:t>空间布局</w:t>
          </w:r>
          <w:r>
            <w:rPr>
              <w:rFonts w:ascii="黑体" w:hAnsi="黑体" w:eastAsia="黑体" w:cs="黑体"/>
              <w:sz w:val="31"/>
              <w:szCs w:val="31"/>
            </w:rPr>
            <w:tab/>
          </w:r>
          <w:r>
            <w:rPr>
              <w:rFonts w:ascii="黑体" w:hAnsi="黑体" w:eastAsia="黑体" w:cs="黑体"/>
              <w:spacing w:val="11"/>
              <w:sz w:val="31"/>
              <w:szCs w:val="31"/>
            </w:rPr>
            <w:t>1</w:t>
          </w:r>
          <w:r>
            <w:rPr>
              <w:rFonts w:hint="eastAsia" w:ascii="黑体" w:hAnsi="黑体" w:eastAsia="黑体" w:cs="黑体"/>
              <w:spacing w:val="11"/>
              <w:sz w:val="31"/>
              <w:szCs w:val="31"/>
              <w:lang w:val="en-US" w:eastAsia="zh-CN"/>
            </w:rPr>
            <w:t>6</w:t>
          </w:r>
          <w:r>
            <w:rPr>
              <w:rFonts w:ascii="黑体" w:hAnsi="黑体" w:eastAsia="黑体" w:cs="黑体"/>
              <w:spacing w:val="11"/>
              <w:sz w:val="31"/>
              <w:szCs w:val="31"/>
            </w:rPr>
            <w:fldChar w:fldCharType="end"/>
          </w:r>
        </w:p>
        <w:p>
          <w:pPr>
            <w:tabs>
              <w:tab w:val="right" w:leader="dot" w:pos="8282"/>
            </w:tabs>
            <w:spacing w:before="245" w:line="217" w:lineRule="auto"/>
            <w:ind w:left="428"/>
            <w:rPr>
              <w:rFonts w:ascii="楷体" w:hAnsi="楷体" w:eastAsia="楷体" w:cs="楷体"/>
              <w:sz w:val="31"/>
              <w:szCs w:val="31"/>
            </w:rPr>
          </w:pPr>
          <w:r>
            <w:fldChar w:fldCharType="begin"/>
          </w:r>
          <w:r>
            <w:instrText xml:space="preserve"> HYPERLINK \l "_bookmark11" </w:instrText>
          </w:r>
          <w:r>
            <w:fldChar w:fldCharType="separate"/>
          </w:r>
          <w:r>
            <w:rPr>
              <w:rFonts w:ascii="楷体" w:hAnsi="楷体" w:eastAsia="楷体" w:cs="楷体"/>
              <w:spacing w:val="11"/>
              <w:sz w:val="31"/>
              <w:szCs w:val="31"/>
            </w:rPr>
            <w:t xml:space="preserve">第一节 </w:t>
          </w:r>
          <w:r>
            <w:rPr>
              <w:rFonts w:hint="eastAsia" w:ascii="楷体" w:hAnsi="楷体" w:eastAsia="楷体" w:cs="楷体"/>
              <w:spacing w:val="11"/>
              <w:sz w:val="31"/>
              <w:szCs w:val="31"/>
              <w:lang w:val="en-US" w:eastAsia="zh-CN"/>
            </w:rPr>
            <w:t>布局原则</w:t>
          </w:r>
          <w:r>
            <w:rPr>
              <w:rFonts w:ascii="楷体" w:hAnsi="楷体" w:eastAsia="楷体" w:cs="楷体"/>
              <w:sz w:val="31"/>
              <w:szCs w:val="31"/>
            </w:rPr>
            <w:tab/>
          </w:r>
          <w:r>
            <w:rPr>
              <w:rFonts w:ascii="楷体" w:hAnsi="楷体" w:eastAsia="楷体" w:cs="楷体"/>
              <w:spacing w:val="11"/>
              <w:sz w:val="31"/>
              <w:szCs w:val="31"/>
            </w:rPr>
            <w:t>1</w:t>
          </w:r>
          <w:r>
            <w:rPr>
              <w:rFonts w:hint="eastAsia" w:ascii="楷体" w:hAnsi="楷体" w:eastAsia="楷体" w:cs="楷体"/>
              <w:spacing w:val="8"/>
              <w:sz w:val="31"/>
              <w:szCs w:val="31"/>
              <w:lang w:val="en-US" w:eastAsia="zh-CN"/>
            </w:rPr>
            <w:t>6</w:t>
          </w:r>
          <w:r>
            <w:rPr>
              <w:rFonts w:ascii="楷体" w:hAnsi="楷体" w:eastAsia="楷体" w:cs="楷体"/>
              <w:spacing w:val="8"/>
              <w:sz w:val="31"/>
              <w:szCs w:val="31"/>
            </w:rPr>
            <w:fldChar w:fldCharType="end"/>
          </w:r>
        </w:p>
        <w:p>
          <w:pPr>
            <w:tabs>
              <w:tab w:val="right" w:leader="dot" w:pos="8282"/>
            </w:tabs>
            <w:spacing w:before="260" w:line="217" w:lineRule="auto"/>
            <w:ind w:left="428"/>
            <w:rPr>
              <w:rFonts w:ascii="楷体" w:hAnsi="楷体" w:eastAsia="楷体" w:cs="楷体"/>
              <w:sz w:val="31"/>
              <w:szCs w:val="31"/>
            </w:rPr>
          </w:pPr>
          <w:r>
            <w:fldChar w:fldCharType="begin"/>
          </w:r>
          <w:r>
            <w:instrText xml:space="preserve"> HYPERLINK \l "_bookmark12" </w:instrText>
          </w:r>
          <w:r>
            <w:fldChar w:fldCharType="separate"/>
          </w:r>
          <w:r>
            <w:rPr>
              <w:rFonts w:ascii="楷体" w:hAnsi="楷体" w:eastAsia="楷体" w:cs="楷体"/>
              <w:spacing w:val="11"/>
              <w:sz w:val="31"/>
              <w:szCs w:val="31"/>
            </w:rPr>
            <w:t xml:space="preserve">第二节 </w:t>
          </w:r>
          <w:r>
            <w:rPr>
              <w:rFonts w:hint="eastAsia" w:ascii="楷体" w:hAnsi="楷体" w:eastAsia="楷体" w:cs="楷体"/>
              <w:spacing w:val="11"/>
              <w:sz w:val="31"/>
              <w:szCs w:val="31"/>
              <w:lang w:val="en-US" w:eastAsia="zh-CN"/>
            </w:rPr>
            <w:t>布局方案</w:t>
          </w:r>
          <w:r>
            <w:rPr>
              <w:rFonts w:ascii="楷体" w:hAnsi="楷体" w:eastAsia="楷体" w:cs="楷体"/>
              <w:sz w:val="31"/>
              <w:szCs w:val="31"/>
            </w:rPr>
            <w:tab/>
          </w:r>
          <w:r>
            <w:rPr>
              <w:rFonts w:ascii="楷体" w:hAnsi="楷体" w:eastAsia="楷体" w:cs="楷体"/>
              <w:spacing w:val="11"/>
              <w:sz w:val="31"/>
              <w:szCs w:val="31"/>
            </w:rPr>
            <w:t>1</w:t>
          </w:r>
          <w:r>
            <w:rPr>
              <w:rFonts w:hint="eastAsia" w:ascii="楷体" w:hAnsi="楷体" w:eastAsia="楷体" w:cs="楷体"/>
              <w:spacing w:val="8"/>
              <w:sz w:val="31"/>
              <w:szCs w:val="31"/>
              <w:lang w:val="en-US" w:eastAsia="zh-CN"/>
            </w:rPr>
            <w:t>7</w:t>
          </w:r>
          <w:r>
            <w:rPr>
              <w:rFonts w:ascii="楷体" w:hAnsi="楷体" w:eastAsia="楷体" w:cs="楷体"/>
              <w:spacing w:val="8"/>
              <w:sz w:val="31"/>
              <w:szCs w:val="31"/>
            </w:rPr>
            <w:fldChar w:fldCharType="end"/>
          </w:r>
        </w:p>
        <w:p>
          <w:pPr>
            <w:tabs>
              <w:tab w:val="right" w:leader="dot" w:pos="8282"/>
            </w:tabs>
            <w:spacing w:before="252" w:line="226" w:lineRule="auto"/>
            <w:rPr>
              <w:rFonts w:hint="eastAsia" w:ascii="黑体" w:hAnsi="黑体" w:eastAsia="黑体" w:cs="黑体"/>
              <w:sz w:val="31"/>
              <w:szCs w:val="31"/>
              <w:lang w:val="en-US" w:eastAsia="zh-CN"/>
            </w:rPr>
          </w:pPr>
          <w:r>
            <w:fldChar w:fldCharType="begin"/>
          </w:r>
          <w:r>
            <w:instrText xml:space="preserve"> HYPERLINK \l "_bookmark10" </w:instrText>
          </w:r>
          <w:r>
            <w:fldChar w:fldCharType="separate"/>
          </w:r>
          <w:r>
            <w:rPr>
              <w:rFonts w:ascii="黑体" w:hAnsi="黑体" w:eastAsia="黑体" w:cs="黑体"/>
              <w:spacing w:val="18"/>
              <w:sz w:val="31"/>
              <w:szCs w:val="31"/>
            </w:rPr>
            <w:t>第</w:t>
          </w:r>
          <w:r>
            <w:rPr>
              <w:rFonts w:hint="eastAsia" w:ascii="黑体" w:hAnsi="黑体" w:eastAsia="黑体" w:cs="黑体"/>
              <w:spacing w:val="18"/>
              <w:sz w:val="31"/>
              <w:szCs w:val="31"/>
              <w:lang w:val="en-US" w:eastAsia="zh-CN"/>
            </w:rPr>
            <w:t>五</w:t>
          </w:r>
          <w:r>
            <w:rPr>
              <w:rFonts w:ascii="黑体" w:hAnsi="黑体" w:eastAsia="黑体" w:cs="黑体"/>
              <w:spacing w:val="11"/>
              <w:sz w:val="31"/>
              <w:szCs w:val="31"/>
            </w:rPr>
            <w:t xml:space="preserve">章 </w:t>
          </w:r>
          <w:r>
            <w:rPr>
              <w:rFonts w:hint="eastAsia" w:ascii="黑体" w:hAnsi="黑体" w:eastAsia="黑体" w:cs="黑体"/>
              <w:spacing w:val="11"/>
              <w:sz w:val="31"/>
              <w:szCs w:val="31"/>
              <w:lang w:val="en-US" w:eastAsia="zh-CN"/>
            </w:rPr>
            <w:t>环境影响评价</w:t>
          </w:r>
          <w:r>
            <w:rPr>
              <w:rFonts w:ascii="黑体" w:hAnsi="黑体" w:eastAsia="黑体" w:cs="黑体"/>
              <w:sz w:val="31"/>
              <w:szCs w:val="31"/>
            </w:rPr>
            <w:tab/>
          </w:r>
          <w:r>
            <w:rPr>
              <w:rFonts w:hint="eastAsia" w:ascii="黑体" w:hAnsi="黑体" w:eastAsia="黑体" w:cs="黑体"/>
              <w:spacing w:val="11"/>
              <w:sz w:val="31"/>
              <w:szCs w:val="31"/>
              <w:lang w:val="en-US" w:eastAsia="zh-CN"/>
            </w:rPr>
            <w:t>2</w:t>
          </w:r>
          <w:r>
            <w:rPr>
              <w:rFonts w:ascii="黑体" w:hAnsi="黑体" w:eastAsia="黑体" w:cs="黑体"/>
              <w:spacing w:val="11"/>
              <w:sz w:val="31"/>
              <w:szCs w:val="31"/>
            </w:rPr>
            <w:fldChar w:fldCharType="end"/>
          </w:r>
          <w:r>
            <w:rPr>
              <w:rFonts w:hint="eastAsia" w:ascii="黑体" w:hAnsi="黑体" w:eastAsia="黑体" w:cs="黑体"/>
              <w:spacing w:val="11"/>
              <w:sz w:val="31"/>
              <w:szCs w:val="31"/>
              <w:lang w:val="en-US" w:eastAsia="zh-CN"/>
            </w:rPr>
            <w:t>5</w:t>
          </w:r>
        </w:p>
        <w:p>
          <w:pPr>
            <w:tabs>
              <w:tab w:val="right" w:leader="dot" w:pos="8282"/>
            </w:tabs>
            <w:spacing w:before="245" w:line="217" w:lineRule="auto"/>
            <w:ind w:left="428"/>
            <w:rPr>
              <w:rFonts w:hint="eastAsia" w:ascii="楷体" w:hAnsi="楷体" w:eastAsia="楷体" w:cs="楷体"/>
              <w:sz w:val="31"/>
              <w:szCs w:val="31"/>
              <w:lang w:val="en-US" w:eastAsia="zh-CN"/>
            </w:rPr>
          </w:pPr>
          <w:r>
            <w:fldChar w:fldCharType="begin"/>
          </w:r>
          <w:r>
            <w:instrText xml:space="preserve"> HYPERLINK \l "_bookmark11" </w:instrText>
          </w:r>
          <w:r>
            <w:fldChar w:fldCharType="separate"/>
          </w:r>
          <w:r>
            <w:rPr>
              <w:rFonts w:ascii="楷体" w:hAnsi="楷体" w:eastAsia="楷体" w:cs="楷体"/>
              <w:spacing w:val="11"/>
              <w:sz w:val="31"/>
              <w:szCs w:val="31"/>
            </w:rPr>
            <w:t xml:space="preserve">第一节 </w:t>
          </w:r>
          <w:r>
            <w:rPr>
              <w:rFonts w:hint="eastAsia" w:ascii="楷体" w:hAnsi="楷体" w:eastAsia="楷体" w:cs="楷体"/>
              <w:spacing w:val="11"/>
              <w:sz w:val="31"/>
              <w:szCs w:val="31"/>
              <w:lang w:val="en-US" w:eastAsia="zh-CN"/>
            </w:rPr>
            <w:t>环境影响分析</w:t>
          </w:r>
          <w:r>
            <w:rPr>
              <w:rFonts w:ascii="楷体" w:hAnsi="楷体" w:eastAsia="楷体" w:cs="楷体"/>
              <w:sz w:val="31"/>
              <w:szCs w:val="31"/>
            </w:rPr>
            <w:tab/>
          </w:r>
          <w:r>
            <w:rPr>
              <w:rFonts w:hint="eastAsia" w:ascii="楷体" w:hAnsi="楷体" w:eastAsia="楷体" w:cs="楷体"/>
              <w:spacing w:val="11"/>
              <w:sz w:val="31"/>
              <w:szCs w:val="31"/>
              <w:lang w:val="en-US" w:eastAsia="zh-CN"/>
            </w:rPr>
            <w:t>2</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5</w:t>
          </w:r>
        </w:p>
        <w:p>
          <w:pPr>
            <w:tabs>
              <w:tab w:val="right" w:leader="dot" w:pos="8282"/>
            </w:tabs>
            <w:spacing w:before="260" w:line="217" w:lineRule="auto"/>
            <w:ind w:left="428"/>
            <w:rPr>
              <w:rFonts w:hint="eastAsia" w:eastAsia="楷体"/>
              <w:lang w:val="en-US" w:eastAsia="zh-CN"/>
            </w:rPr>
          </w:pPr>
          <w:r>
            <w:fldChar w:fldCharType="begin"/>
          </w:r>
          <w:r>
            <w:instrText xml:space="preserve"> HYPERLINK \l "_bookmark12" </w:instrText>
          </w:r>
          <w:r>
            <w:fldChar w:fldCharType="separate"/>
          </w:r>
          <w:r>
            <w:rPr>
              <w:rFonts w:ascii="楷体" w:hAnsi="楷体" w:eastAsia="楷体" w:cs="楷体"/>
              <w:spacing w:val="11"/>
              <w:sz w:val="31"/>
              <w:szCs w:val="31"/>
            </w:rPr>
            <w:t xml:space="preserve">第二节 </w:t>
          </w:r>
          <w:r>
            <w:rPr>
              <w:rFonts w:hint="eastAsia" w:ascii="楷体" w:hAnsi="楷体" w:eastAsia="楷体" w:cs="楷体"/>
              <w:spacing w:val="11"/>
              <w:sz w:val="31"/>
              <w:szCs w:val="31"/>
              <w:lang w:val="en-US" w:eastAsia="zh-CN"/>
            </w:rPr>
            <w:t>环境影响防治措施</w:t>
          </w:r>
          <w:r>
            <w:rPr>
              <w:rFonts w:ascii="楷体" w:hAnsi="楷体" w:eastAsia="楷体" w:cs="楷体"/>
              <w:sz w:val="31"/>
              <w:szCs w:val="31"/>
            </w:rPr>
            <w:tab/>
          </w:r>
          <w:r>
            <w:rPr>
              <w:rFonts w:hint="eastAsia" w:ascii="楷体" w:hAnsi="楷体" w:eastAsia="楷体" w:cs="楷体"/>
              <w:spacing w:val="11"/>
              <w:sz w:val="31"/>
              <w:szCs w:val="31"/>
              <w:lang w:val="en-US" w:eastAsia="zh-CN"/>
            </w:rPr>
            <w:t>2</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7</w:t>
          </w:r>
        </w:p>
        <w:p>
          <w:pPr>
            <w:tabs>
              <w:tab w:val="right" w:leader="dot" w:pos="8282"/>
            </w:tabs>
            <w:spacing w:before="260" w:line="217" w:lineRule="auto"/>
            <w:ind w:left="428"/>
            <w:rPr>
              <w:rFonts w:hint="eastAsia" w:eastAsia="楷体"/>
              <w:lang w:val="en-US" w:eastAsia="zh-CN"/>
            </w:rPr>
          </w:pPr>
          <w:r>
            <w:fldChar w:fldCharType="begin"/>
          </w:r>
          <w:r>
            <w:instrText xml:space="preserve"> HYPERLINK \l "_bookmark12" </w:instrText>
          </w:r>
          <w:r>
            <w:fldChar w:fldCharType="separate"/>
          </w:r>
          <w:r>
            <w:rPr>
              <w:rFonts w:ascii="楷体" w:hAnsi="楷体" w:eastAsia="楷体" w:cs="楷体"/>
              <w:spacing w:val="11"/>
              <w:sz w:val="31"/>
              <w:szCs w:val="31"/>
            </w:rPr>
            <w:t>第</w:t>
          </w:r>
          <w:r>
            <w:rPr>
              <w:rFonts w:hint="eastAsia" w:ascii="楷体" w:hAnsi="楷体" w:eastAsia="楷体" w:cs="楷体"/>
              <w:spacing w:val="11"/>
              <w:sz w:val="31"/>
              <w:szCs w:val="31"/>
              <w:lang w:val="en-US" w:eastAsia="zh-CN"/>
            </w:rPr>
            <w:t>三</w:t>
          </w:r>
          <w:r>
            <w:rPr>
              <w:rFonts w:ascii="楷体" w:hAnsi="楷体" w:eastAsia="楷体" w:cs="楷体"/>
              <w:spacing w:val="11"/>
              <w:sz w:val="31"/>
              <w:szCs w:val="31"/>
            </w:rPr>
            <w:t xml:space="preserve">节 </w:t>
          </w:r>
          <w:r>
            <w:rPr>
              <w:rFonts w:hint="eastAsia" w:ascii="楷体" w:hAnsi="楷体" w:eastAsia="楷体" w:cs="楷体"/>
              <w:spacing w:val="11"/>
              <w:sz w:val="31"/>
              <w:szCs w:val="31"/>
              <w:lang w:val="en-US" w:eastAsia="zh-CN"/>
            </w:rPr>
            <w:t>安全管理</w:t>
          </w:r>
          <w:r>
            <w:rPr>
              <w:rFonts w:ascii="楷体" w:hAnsi="楷体" w:eastAsia="楷体" w:cs="楷体"/>
              <w:sz w:val="31"/>
              <w:szCs w:val="31"/>
            </w:rPr>
            <w:tab/>
          </w:r>
          <w:r>
            <w:rPr>
              <w:rFonts w:hint="eastAsia" w:ascii="楷体" w:hAnsi="楷体" w:eastAsia="楷体" w:cs="楷体"/>
              <w:spacing w:val="11"/>
              <w:sz w:val="31"/>
              <w:szCs w:val="31"/>
              <w:lang w:val="en-US" w:eastAsia="zh-CN"/>
            </w:rPr>
            <w:t>2</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9</w:t>
          </w:r>
        </w:p>
        <w:p>
          <w:pPr>
            <w:tabs>
              <w:tab w:val="right" w:leader="dot" w:pos="8282"/>
            </w:tabs>
            <w:spacing w:before="251" w:line="227" w:lineRule="auto"/>
            <w:rPr>
              <w:rFonts w:hint="eastAsia" w:ascii="黑体" w:hAnsi="黑体" w:eastAsia="黑体" w:cs="黑体"/>
              <w:sz w:val="31"/>
              <w:szCs w:val="31"/>
              <w:lang w:val="en-US" w:eastAsia="zh-CN"/>
            </w:rPr>
          </w:pPr>
          <w:r>
            <w:fldChar w:fldCharType="begin"/>
          </w:r>
          <w:r>
            <w:instrText xml:space="preserve"> HYPERLINK \l "_bookmark22" </w:instrText>
          </w:r>
          <w:r>
            <w:fldChar w:fldCharType="separate"/>
          </w:r>
          <w:r>
            <w:rPr>
              <w:rFonts w:ascii="黑体" w:hAnsi="黑体" w:eastAsia="黑体" w:cs="黑体"/>
              <w:spacing w:val="18"/>
              <w:sz w:val="31"/>
              <w:szCs w:val="31"/>
            </w:rPr>
            <w:t>第</w:t>
          </w:r>
          <w:r>
            <w:rPr>
              <w:rFonts w:hint="eastAsia" w:ascii="黑体" w:hAnsi="黑体" w:eastAsia="黑体" w:cs="黑体"/>
              <w:spacing w:val="11"/>
              <w:sz w:val="31"/>
              <w:szCs w:val="31"/>
              <w:lang w:val="en-US" w:eastAsia="zh-CN"/>
            </w:rPr>
            <w:t>六</w:t>
          </w:r>
          <w:r>
            <w:rPr>
              <w:rFonts w:ascii="黑体" w:hAnsi="黑体" w:eastAsia="黑体" w:cs="黑体"/>
              <w:spacing w:val="11"/>
              <w:sz w:val="31"/>
              <w:szCs w:val="31"/>
            </w:rPr>
            <w:t>章 保障</w:t>
          </w:r>
          <w:r>
            <w:rPr>
              <w:rFonts w:hint="eastAsia" w:ascii="黑体" w:hAnsi="黑体" w:eastAsia="黑体" w:cs="黑体"/>
              <w:spacing w:val="11"/>
              <w:sz w:val="31"/>
              <w:szCs w:val="31"/>
              <w:lang w:val="en-US" w:eastAsia="zh-CN"/>
            </w:rPr>
            <w:t>措施</w:t>
          </w:r>
          <w:r>
            <w:rPr>
              <w:rFonts w:ascii="黑体" w:hAnsi="黑体" w:eastAsia="黑体" w:cs="黑体"/>
              <w:sz w:val="31"/>
              <w:szCs w:val="31"/>
            </w:rPr>
            <w:tab/>
          </w:r>
          <w:r>
            <w:rPr>
              <w:rFonts w:hint="eastAsia" w:ascii="黑体" w:hAnsi="黑体" w:eastAsia="黑体" w:cs="黑体"/>
              <w:spacing w:val="11"/>
              <w:sz w:val="31"/>
              <w:szCs w:val="31"/>
              <w:lang w:val="en-US" w:eastAsia="zh-CN"/>
            </w:rPr>
            <w:t>3</w:t>
          </w:r>
          <w:r>
            <w:rPr>
              <w:rFonts w:ascii="黑体" w:hAnsi="黑体" w:eastAsia="黑体" w:cs="黑体"/>
              <w:spacing w:val="11"/>
              <w:sz w:val="31"/>
              <w:szCs w:val="31"/>
            </w:rPr>
            <w:fldChar w:fldCharType="end"/>
          </w:r>
          <w:r>
            <w:rPr>
              <w:rFonts w:hint="eastAsia" w:ascii="黑体" w:hAnsi="黑体" w:eastAsia="黑体" w:cs="黑体"/>
              <w:spacing w:val="11"/>
              <w:sz w:val="31"/>
              <w:szCs w:val="31"/>
              <w:lang w:val="en-US" w:eastAsia="zh-CN"/>
            </w:rPr>
            <w:t>1</w:t>
          </w:r>
        </w:p>
        <w:p>
          <w:pPr>
            <w:tabs>
              <w:tab w:val="right" w:leader="dot" w:pos="8282"/>
            </w:tabs>
            <w:spacing w:before="244" w:line="221" w:lineRule="auto"/>
            <w:ind w:left="428"/>
            <w:rPr>
              <w:rFonts w:hint="eastAsia" w:ascii="楷体" w:hAnsi="楷体" w:eastAsia="楷体" w:cs="楷体"/>
              <w:sz w:val="31"/>
              <w:szCs w:val="31"/>
              <w:lang w:val="en-US" w:eastAsia="zh-CN"/>
            </w:rPr>
          </w:pPr>
          <w:r>
            <w:fldChar w:fldCharType="begin"/>
          </w:r>
          <w:r>
            <w:instrText xml:space="preserve"> HYPERLINK \l "_bookmark23" </w:instrText>
          </w:r>
          <w:r>
            <w:fldChar w:fldCharType="separate"/>
          </w:r>
          <w:r>
            <w:rPr>
              <w:rFonts w:ascii="楷体" w:hAnsi="楷体" w:eastAsia="楷体" w:cs="楷体"/>
              <w:spacing w:val="11"/>
              <w:sz w:val="31"/>
              <w:szCs w:val="31"/>
            </w:rPr>
            <w:t>第</w:t>
          </w:r>
          <w:r>
            <w:rPr>
              <w:rFonts w:ascii="楷体" w:hAnsi="楷体" w:eastAsia="楷体" w:cs="楷体"/>
              <w:spacing w:val="8"/>
              <w:sz w:val="31"/>
              <w:szCs w:val="31"/>
            </w:rPr>
            <w:t xml:space="preserve">一节 </w:t>
          </w:r>
          <w:r>
            <w:rPr>
              <w:rFonts w:hint="eastAsia" w:ascii="楷体" w:hAnsi="楷体" w:eastAsia="楷体" w:cs="楷体"/>
              <w:spacing w:val="8"/>
              <w:sz w:val="31"/>
              <w:szCs w:val="31"/>
              <w:lang w:val="en-US" w:eastAsia="zh-CN"/>
            </w:rPr>
            <w:t>加强规划统筹协调</w:t>
          </w:r>
          <w:r>
            <w:rPr>
              <w:rFonts w:ascii="楷体" w:hAnsi="楷体" w:eastAsia="楷体" w:cs="楷体"/>
              <w:sz w:val="31"/>
              <w:szCs w:val="31"/>
            </w:rPr>
            <w:tab/>
          </w:r>
          <w:r>
            <w:rPr>
              <w:rFonts w:hint="eastAsia" w:ascii="楷体" w:hAnsi="楷体" w:eastAsia="楷体" w:cs="楷体"/>
              <w:spacing w:val="8"/>
              <w:sz w:val="31"/>
              <w:szCs w:val="31"/>
              <w:lang w:val="en-US" w:eastAsia="zh-CN"/>
            </w:rPr>
            <w:t>3</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1</w:t>
          </w:r>
        </w:p>
        <w:p>
          <w:pPr>
            <w:tabs>
              <w:tab w:val="right" w:leader="dot" w:pos="8282"/>
            </w:tabs>
            <w:spacing w:before="253" w:line="220" w:lineRule="auto"/>
            <w:ind w:left="428"/>
            <w:rPr>
              <w:rFonts w:hint="eastAsia" w:ascii="楷体" w:hAnsi="楷体" w:eastAsia="楷体" w:cs="楷体"/>
              <w:sz w:val="31"/>
              <w:szCs w:val="31"/>
              <w:lang w:val="en-US" w:eastAsia="zh-CN"/>
            </w:rPr>
          </w:pPr>
          <w:r>
            <w:fldChar w:fldCharType="begin"/>
          </w:r>
          <w:r>
            <w:instrText xml:space="preserve"> HYPERLINK \l "_bookmark24" </w:instrText>
          </w:r>
          <w:r>
            <w:fldChar w:fldCharType="separate"/>
          </w:r>
          <w:r>
            <w:rPr>
              <w:rFonts w:ascii="楷体" w:hAnsi="楷体" w:eastAsia="楷体" w:cs="楷体"/>
              <w:spacing w:val="11"/>
              <w:sz w:val="31"/>
              <w:szCs w:val="31"/>
            </w:rPr>
            <w:t>第</w:t>
          </w:r>
          <w:r>
            <w:rPr>
              <w:rFonts w:ascii="楷体" w:hAnsi="楷体" w:eastAsia="楷体" w:cs="楷体"/>
              <w:spacing w:val="8"/>
              <w:sz w:val="31"/>
              <w:szCs w:val="31"/>
            </w:rPr>
            <w:t xml:space="preserve">二节 </w:t>
          </w:r>
          <w:r>
            <w:rPr>
              <w:rFonts w:hint="eastAsia" w:ascii="楷体" w:hAnsi="楷体" w:eastAsia="楷体" w:cs="楷体"/>
              <w:spacing w:val="8"/>
              <w:sz w:val="31"/>
              <w:szCs w:val="31"/>
              <w:lang w:val="en-US" w:eastAsia="zh-CN"/>
            </w:rPr>
            <w:t>完善审批监管服务</w:t>
          </w:r>
          <w:r>
            <w:rPr>
              <w:rFonts w:ascii="楷体" w:hAnsi="楷体" w:eastAsia="楷体" w:cs="楷体"/>
              <w:sz w:val="31"/>
              <w:szCs w:val="31"/>
            </w:rPr>
            <w:tab/>
          </w:r>
          <w:r>
            <w:rPr>
              <w:rFonts w:hint="eastAsia" w:ascii="楷体" w:hAnsi="楷体" w:eastAsia="楷体" w:cs="楷体"/>
              <w:spacing w:val="8"/>
              <w:sz w:val="31"/>
              <w:szCs w:val="31"/>
              <w:lang w:val="en-US" w:eastAsia="zh-CN"/>
            </w:rPr>
            <w:t>3</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2</w:t>
          </w:r>
        </w:p>
        <w:p>
          <w:pPr>
            <w:tabs>
              <w:tab w:val="right" w:leader="dot" w:pos="8282"/>
            </w:tabs>
            <w:spacing w:before="254" w:line="221" w:lineRule="auto"/>
            <w:ind w:left="428"/>
            <w:rPr>
              <w:rFonts w:hint="eastAsia" w:ascii="楷体" w:hAnsi="楷体" w:eastAsia="楷体" w:cs="楷体"/>
              <w:sz w:val="31"/>
              <w:szCs w:val="31"/>
              <w:lang w:val="en-US" w:eastAsia="zh-CN"/>
            </w:rPr>
          </w:pPr>
          <w:r>
            <w:fldChar w:fldCharType="begin"/>
          </w:r>
          <w:r>
            <w:instrText xml:space="preserve"> HYPERLINK \l "_bookmark25" </w:instrText>
          </w:r>
          <w:r>
            <w:fldChar w:fldCharType="separate"/>
          </w:r>
          <w:r>
            <w:rPr>
              <w:rFonts w:ascii="楷体" w:hAnsi="楷体" w:eastAsia="楷体" w:cs="楷体"/>
              <w:spacing w:val="11"/>
              <w:sz w:val="31"/>
              <w:szCs w:val="31"/>
            </w:rPr>
            <w:t>第</w:t>
          </w:r>
          <w:r>
            <w:rPr>
              <w:rFonts w:ascii="楷体" w:hAnsi="楷体" w:eastAsia="楷体" w:cs="楷体"/>
              <w:spacing w:val="8"/>
              <w:sz w:val="31"/>
              <w:szCs w:val="31"/>
            </w:rPr>
            <w:t xml:space="preserve">三节 </w:t>
          </w:r>
          <w:r>
            <w:rPr>
              <w:rFonts w:hint="eastAsia" w:ascii="楷体" w:hAnsi="楷体" w:eastAsia="楷体" w:cs="楷体"/>
              <w:spacing w:val="8"/>
              <w:sz w:val="31"/>
              <w:szCs w:val="31"/>
              <w:lang w:val="en-US" w:eastAsia="zh-CN"/>
            </w:rPr>
            <w:t>加大政策金融支持</w:t>
          </w:r>
          <w:r>
            <w:rPr>
              <w:rFonts w:ascii="楷体" w:hAnsi="楷体" w:eastAsia="楷体" w:cs="楷体"/>
              <w:sz w:val="31"/>
              <w:szCs w:val="31"/>
            </w:rPr>
            <w:tab/>
          </w:r>
          <w:r>
            <w:rPr>
              <w:rFonts w:hint="eastAsia" w:ascii="楷体" w:hAnsi="楷体" w:eastAsia="楷体" w:cs="楷体"/>
              <w:spacing w:val="8"/>
              <w:sz w:val="31"/>
              <w:szCs w:val="31"/>
              <w:lang w:val="en-US" w:eastAsia="zh-CN"/>
            </w:rPr>
            <w:t>3</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3</w:t>
          </w:r>
        </w:p>
        <w:p>
          <w:pPr>
            <w:tabs>
              <w:tab w:val="right" w:leader="dot" w:pos="8282"/>
            </w:tabs>
            <w:spacing w:before="253" w:line="221" w:lineRule="auto"/>
            <w:ind w:left="428"/>
            <w:rPr>
              <w:rFonts w:hint="eastAsia" w:ascii="楷体" w:hAnsi="楷体" w:eastAsia="楷体" w:cs="楷体"/>
              <w:sz w:val="31"/>
              <w:szCs w:val="31"/>
              <w:lang w:val="en-US" w:eastAsia="zh-CN"/>
            </w:rPr>
          </w:pPr>
          <w:r>
            <w:fldChar w:fldCharType="begin"/>
          </w:r>
          <w:r>
            <w:instrText xml:space="preserve"> HYPERLINK \l "_bookmark26" </w:instrText>
          </w:r>
          <w:r>
            <w:fldChar w:fldCharType="separate"/>
          </w:r>
          <w:r>
            <w:rPr>
              <w:rFonts w:ascii="楷体" w:hAnsi="楷体" w:eastAsia="楷体" w:cs="楷体"/>
              <w:spacing w:val="11"/>
              <w:sz w:val="31"/>
              <w:szCs w:val="31"/>
            </w:rPr>
            <w:t>第</w:t>
          </w:r>
          <w:r>
            <w:rPr>
              <w:rFonts w:ascii="楷体" w:hAnsi="楷体" w:eastAsia="楷体" w:cs="楷体"/>
              <w:spacing w:val="8"/>
              <w:sz w:val="31"/>
              <w:szCs w:val="31"/>
            </w:rPr>
            <w:t xml:space="preserve">四节 </w:t>
          </w:r>
          <w:r>
            <w:rPr>
              <w:rFonts w:hint="eastAsia" w:ascii="楷体" w:hAnsi="楷体" w:eastAsia="楷体" w:cs="楷体"/>
              <w:spacing w:val="8"/>
              <w:sz w:val="31"/>
              <w:szCs w:val="31"/>
              <w:lang w:val="en-US" w:eastAsia="zh-CN"/>
            </w:rPr>
            <w:t>加快车辆示范推广</w:t>
          </w:r>
          <w:r>
            <w:rPr>
              <w:rFonts w:ascii="楷体" w:hAnsi="楷体" w:eastAsia="楷体" w:cs="楷体"/>
              <w:sz w:val="31"/>
              <w:szCs w:val="31"/>
            </w:rPr>
            <w:tab/>
          </w:r>
          <w:r>
            <w:rPr>
              <w:rFonts w:hint="eastAsia" w:ascii="楷体" w:hAnsi="楷体" w:eastAsia="楷体" w:cs="楷体"/>
              <w:spacing w:val="8"/>
              <w:sz w:val="31"/>
              <w:szCs w:val="31"/>
              <w:lang w:val="en-US" w:eastAsia="zh-CN"/>
            </w:rPr>
            <w:t>3</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3</w:t>
          </w:r>
        </w:p>
        <w:p>
          <w:pPr>
            <w:tabs>
              <w:tab w:val="right" w:leader="dot" w:pos="8282"/>
            </w:tabs>
            <w:spacing w:before="254" w:line="221" w:lineRule="auto"/>
            <w:ind w:left="428"/>
            <w:rPr>
              <w:rFonts w:hint="eastAsia" w:ascii="楷体" w:hAnsi="楷体" w:eastAsia="楷体" w:cs="楷体"/>
              <w:sz w:val="31"/>
              <w:szCs w:val="31"/>
              <w:lang w:val="en-US" w:eastAsia="zh-CN"/>
            </w:rPr>
          </w:pPr>
          <w:r>
            <w:fldChar w:fldCharType="begin"/>
          </w:r>
          <w:r>
            <w:instrText xml:space="preserve"> HYPERLINK \l "_bookmark25" </w:instrText>
          </w:r>
          <w:r>
            <w:fldChar w:fldCharType="separate"/>
          </w:r>
          <w:r>
            <w:rPr>
              <w:rFonts w:ascii="楷体" w:hAnsi="楷体" w:eastAsia="楷体" w:cs="楷体"/>
              <w:spacing w:val="11"/>
              <w:sz w:val="31"/>
              <w:szCs w:val="31"/>
            </w:rPr>
            <w:t>第</w:t>
          </w:r>
          <w:r>
            <w:rPr>
              <w:rFonts w:hint="eastAsia" w:ascii="楷体" w:hAnsi="楷体" w:eastAsia="楷体" w:cs="楷体"/>
              <w:spacing w:val="8"/>
              <w:sz w:val="31"/>
              <w:szCs w:val="31"/>
              <w:lang w:val="en-US" w:eastAsia="zh-CN"/>
            </w:rPr>
            <w:t>五</w:t>
          </w:r>
          <w:r>
            <w:rPr>
              <w:rFonts w:ascii="楷体" w:hAnsi="楷体" w:eastAsia="楷体" w:cs="楷体"/>
              <w:spacing w:val="8"/>
              <w:sz w:val="31"/>
              <w:szCs w:val="31"/>
            </w:rPr>
            <w:t xml:space="preserve">节 </w:t>
          </w:r>
          <w:r>
            <w:rPr>
              <w:rFonts w:hint="eastAsia" w:ascii="楷体" w:hAnsi="楷体" w:eastAsia="楷体" w:cs="楷体"/>
              <w:spacing w:val="8"/>
              <w:sz w:val="31"/>
              <w:szCs w:val="31"/>
              <w:lang w:val="en-US" w:eastAsia="zh-CN"/>
            </w:rPr>
            <w:t>强化安全监督管理</w:t>
          </w:r>
          <w:r>
            <w:rPr>
              <w:rFonts w:ascii="楷体" w:hAnsi="楷体" w:eastAsia="楷体" w:cs="楷体"/>
              <w:sz w:val="31"/>
              <w:szCs w:val="31"/>
            </w:rPr>
            <w:tab/>
          </w:r>
          <w:r>
            <w:rPr>
              <w:rFonts w:hint="eastAsia" w:ascii="楷体" w:hAnsi="楷体" w:eastAsia="楷体" w:cs="楷体"/>
              <w:spacing w:val="8"/>
              <w:sz w:val="31"/>
              <w:szCs w:val="31"/>
              <w:lang w:val="en-US" w:eastAsia="zh-CN"/>
            </w:rPr>
            <w:t>3</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3</w:t>
          </w:r>
        </w:p>
        <w:p>
          <w:pPr>
            <w:tabs>
              <w:tab w:val="right" w:leader="dot" w:pos="8282"/>
            </w:tabs>
            <w:spacing w:before="253" w:line="221" w:lineRule="auto"/>
            <w:ind w:left="428"/>
          </w:pPr>
          <w:r>
            <w:fldChar w:fldCharType="begin"/>
          </w:r>
          <w:r>
            <w:instrText xml:space="preserve"> HYPERLINK \l "_bookmark26" </w:instrText>
          </w:r>
          <w:r>
            <w:fldChar w:fldCharType="separate"/>
          </w:r>
          <w:r>
            <w:rPr>
              <w:rFonts w:ascii="楷体" w:hAnsi="楷体" w:eastAsia="楷体" w:cs="楷体"/>
              <w:spacing w:val="11"/>
              <w:sz w:val="31"/>
              <w:szCs w:val="31"/>
            </w:rPr>
            <w:t>第</w:t>
          </w:r>
          <w:r>
            <w:rPr>
              <w:rFonts w:hint="eastAsia" w:ascii="楷体" w:hAnsi="楷体" w:eastAsia="楷体" w:cs="楷体"/>
              <w:spacing w:val="8"/>
              <w:sz w:val="31"/>
              <w:szCs w:val="31"/>
              <w:lang w:val="en-US" w:eastAsia="zh-CN"/>
            </w:rPr>
            <w:t>六</w:t>
          </w:r>
          <w:r>
            <w:rPr>
              <w:rFonts w:ascii="楷体" w:hAnsi="楷体" w:eastAsia="楷体" w:cs="楷体"/>
              <w:spacing w:val="8"/>
              <w:sz w:val="31"/>
              <w:szCs w:val="31"/>
            </w:rPr>
            <w:t xml:space="preserve">节 </w:t>
          </w:r>
          <w:r>
            <w:rPr>
              <w:rFonts w:hint="eastAsia" w:ascii="楷体" w:hAnsi="楷体" w:eastAsia="楷体" w:cs="楷体"/>
              <w:spacing w:val="8"/>
              <w:sz w:val="31"/>
              <w:szCs w:val="31"/>
              <w:lang w:val="en-US" w:eastAsia="zh-CN"/>
            </w:rPr>
            <w:t>加强宣传舆论引导</w:t>
          </w:r>
          <w:r>
            <w:rPr>
              <w:rFonts w:ascii="楷体" w:hAnsi="楷体" w:eastAsia="楷体" w:cs="楷体"/>
              <w:sz w:val="31"/>
              <w:szCs w:val="31"/>
            </w:rPr>
            <w:tab/>
          </w:r>
          <w:r>
            <w:rPr>
              <w:rFonts w:hint="eastAsia" w:ascii="楷体" w:hAnsi="楷体" w:eastAsia="楷体" w:cs="楷体"/>
              <w:spacing w:val="8"/>
              <w:sz w:val="31"/>
              <w:szCs w:val="31"/>
              <w:lang w:val="en-US" w:eastAsia="zh-CN"/>
            </w:rPr>
            <w:t>3</w:t>
          </w:r>
          <w:r>
            <w:rPr>
              <w:rFonts w:ascii="楷体" w:hAnsi="楷体" w:eastAsia="楷体" w:cs="楷体"/>
              <w:spacing w:val="8"/>
              <w:sz w:val="31"/>
              <w:szCs w:val="31"/>
            </w:rPr>
            <w:fldChar w:fldCharType="end"/>
          </w:r>
          <w:r>
            <w:rPr>
              <w:rFonts w:hint="eastAsia" w:ascii="楷体" w:hAnsi="楷体" w:eastAsia="楷体" w:cs="楷体"/>
              <w:spacing w:val="8"/>
              <w:sz w:val="31"/>
              <w:szCs w:val="31"/>
              <w:lang w:val="en-US" w:eastAsia="zh-CN"/>
            </w:rPr>
            <w:t>4</w:t>
          </w:r>
        </w:p>
        <w:p>
          <w:pPr>
            <w:tabs>
              <w:tab w:val="right" w:leader="dot" w:pos="8282"/>
            </w:tabs>
            <w:spacing w:line="240" w:lineRule="auto"/>
            <w:ind w:left="0"/>
            <w:sectPr>
              <w:pgSz w:w="11906" w:h="16839"/>
              <w:pgMar w:top="400" w:right="1785" w:bottom="400" w:left="1543" w:header="0" w:footer="0" w:gutter="0"/>
              <w:cols w:space="720" w:num="1"/>
            </w:sectPr>
          </w:pPr>
        </w:p>
      </w:sdtContent>
    </w:sdt>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0"/>
        <w:rPr>
          <w:rFonts w:hint="default" w:ascii="微软雅黑" w:hAnsi="微软雅黑" w:eastAsia="微软雅黑" w:cs="微软雅黑"/>
          <w:snapToGrid w:val="0"/>
          <w:color w:val="000000"/>
          <w:spacing w:val="0"/>
          <w:kern w:val="0"/>
          <w:sz w:val="35"/>
          <w:szCs w:val="35"/>
          <w:lang w:val="en-US" w:eastAsia="zh-CN"/>
        </w:rPr>
      </w:pPr>
      <w:r>
        <w:rPr>
          <w:rFonts w:hint="eastAsia" w:ascii="微软雅黑" w:hAnsi="微软雅黑" w:eastAsia="微软雅黑" w:cs="微软雅黑"/>
          <w:snapToGrid w:val="0"/>
          <w:color w:val="000000"/>
          <w:spacing w:val="0"/>
          <w:kern w:val="0"/>
          <w:sz w:val="35"/>
          <w:szCs w:val="35"/>
          <w:lang w:val="en-US" w:eastAsia="zh-CN"/>
        </w:rPr>
        <w:t>第一章 发展现状</w:t>
      </w:r>
    </w:p>
    <w:p>
      <w:pPr>
        <w:keepNext w:val="0"/>
        <w:keepLines w:val="0"/>
        <w:pageBreakBefore w:val="0"/>
        <w:widowControl w:val="0"/>
        <w:wordWrap/>
        <w:overflowPunct/>
        <w:topLinePunct w:val="0"/>
        <w:bidi w:val="0"/>
        <w:spacing w:line="579" w:lineRule="exact"/>
        <w:rPr>
          <w:rFonts w:hint="eastAsia"/>
          <w:spacing w:val="0"/>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eastAsia" w:ascii="黑体" w:hAnsi="黑体" w:eastAsia="黑体" w:cs="黑体"/>
          <w:snapToGrid w:val="0"/>
          <w:color w:val="000000"/>
          <w:spacing w:val="0"/>
          <w:kern w:val="0"/>
          <w:sz w:val="32"/>
          <w:szCs w:val="32"/>
          <w:lang w:val="en-US" w:eastAsia="zh-CN"/>
        </w:rPr>
      </w:pPr>
      <w:r>
        <w:rPr>
          <w:rFonts w:hint="eastAsia" w:ascii="黑体" w:hAnsi="黑体" w:eastAsia="黑体" w:cs="黑体"/>
          <w:snapToGrid w:val="0"/>
          <w:color w:val="000000"/>
          <w:spacing w:val="0"/>
          <w:kern w:val="0"/>
          <w:sz w:val="32"/>
          <w:szCs w:val="32"/>
          <w:lang w:val="en-US" w:eastAsia="zh-CN"/>
        </w:rPr>
        <w:t>第一节 发展基础</w:t>
      </w:r>
    </w:p>
    <w:p>
      <w:pPr>
        <w:keepNext w:val="0"/>
        <w:keepLines w:val="0"/>
        <w:pageBreakBefore w:val="0"/>
        <w:widowControl w:val="0"/>
        <w:wordWrap/>
        <w:overflowPunct/>
        <w:topLinePunct w:val="0"/>
        <w:bidi w:val="0"/>
        <w:spacing w:line="579" w:lineRule="exact"/>
        <w:rPr>
          <w:rFonts w:hint="eastAsia"/>
          <w:spacing w:val="0"/>
          <w:lang w:val="en-US" w:eastAsia="zh-CN"/>
        </w:rPr>
      </w:pPr>
    </w:p>
    <w:p>
      <w:pPr>
        <w:keepNext w:val="0"/>
        <w:keepLines w:val="0"/>
        <w:pageBreakBefore w:val="0"/>
        <w:widowControl w:val="0"/>
        <w:numPr>
          <w:ilvl w:val="0"/>
          <w:numId w:val="0"/>
        </w:numPr>
        <w:wordWrap/>
        <w:overflowPunct/>
        <w:topLinePunct w:val="0"/>
        <w:bidi w:val="0"/>
        <w:spacing w:line="579" w:lineRule="exact"/>
        <w:ind w:firstLine="640" w:firstLineChars="200"/>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氢源和运输保障充足。珠海市氢气资源丰富，目前拥有大量的副产氢资源，结合未来规划的海上风电制氢、生物质制氢项目将形成多元化的供氢体系。现有副产氢提纯项目建成投产后规模为1.6万吨/年，可满足5000辆燃料电池汽车运营的用氢需求；桂山、金湾、高栏等海上风电项目开展海上风电制绿氢，后续为沿海及周边区域加氢站提供氢源保障。同时珠海市在氢气运输领域具有较好的基础，拥有中海油、珠海港等天然气进出口运营管理经验，以及金石能源、长炼等长输的氢气运输条件，为氢能储运提供运氢保障。</w:t>
      </w:r>
    </w:p>
    <w:p>
      <w:pPr>
        <w:keepNext w:val="0"/>
        <w:keepLines w:val="0"/>
        <w:pageBreakBefore w:val="0"/>
        <w:widowControl w:val="0"/>
        <w:numPr>
          <w:ilvl w:val="0"/>
          <w:numId w:val="0"/>
        </w:numPr>
        <w:wordWrap/>
        <w:overflowPunct/>
        <w:topLinePunct w:val="0"/>
        <w:bidi w:val="0"/>
        <w:spacing w:line="579" w:lineRule="exact"/>
        <w:ind w:firstLine="640" w:firstLineChars="200"/>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加氢站建设资源具备。在加氢站的前期建设中优化盘活现有加油/加气站资源进行改建/合建是较好的方式。目前珠海市建有14座天然气汽车加气站，其中暂停注销的站点11座，在运营站点3座，且在运营的气站存在销量逐步降低，将要面临转型发展的迫切。现有的加气站站点面积、安全距离等规范都具备改扩建加氢站的条件，同时站点位置主要处于公交场站内及市内主要交通干线中，符合加氢站布局要求。同时珠海市内企业在现有基础设施和自有用地中具有投资建设加氢站意向，在基础设施用地和投资单位意向方面都具备建设加氢站的条件。</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应用示范场景开阔。一是公交和环卫车领域替代潜力大。目前珠海市公交车保有量2600多辆，环卫用车超过700辆，部分较早购置的车辆面临更新换代需求，燃料电池汽车具有加注快和续航里程长的优势，结合本地氢源供应模式，燃料电池汽车具备替代的潜力；二是港口物流及跨境车辆示范潜力巨大。珠海市拥有珠海港、拱北口岸、九州港口岸等国家类别口岸，以及高栏港国际物流园、空港国际物流园、粤港澳国际物流园等国际型物流园，可围绕港口货运、物流供应链等领域开展燃料电池货车、重卡、叉车等特种车辆示范应用。三是文旅产业发展态势良好。珠海市文旅产业发达，可围绕珠海长隆、神秘岛主题乐园等旅游景区开展燃料电池观光车、自行车等释放应用。</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pacing w:val="0"/>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0"/>
          <w:kern w:val="0"/>
          <w:sz w:val="32"/>
          <w:szCs w:val="32"/>
          <w:lang w:val="en-US" w:eastAsia="zh-CN"/>
        </w:rPr>
      </w:pPr>
      <w:r>
        <w:rPr>
          <w:rFonts w:hint="eastAsia" w:ascii="黑体" w:hAnsi="黑体" w:eastAsia="黑体" w:cs="黑体"/>
          <w:snapToGrid w:val="0"/>
          <w:color w:val="000000"/>
          <w:spacing w:val="0"/>
          <w:kern w:val="0"/>
          <w:sz w:val="32"/>
          <w:szCs w:val="32"/>
          <w:lang w:val="en-US" w:eastAsia="zh-CN"/>
        </w:rPr>
        <w:t>第二节 发展形势</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pacing w:val="0"/>
          <w:sz w:val="32"/>
          <w:szCs w:val="32"/>
          <w:lang w:val="en-US" w:eastAsia="zh-CN"/>
        </w:rPr>
      </w:pP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燃料电池汽车发展带动用氢需求增长。燃料电池汽车是新能源汽车发展的重要方向之一。根据</w:t>
      </w:r>
      <w:r>
        <w:rPr>
          <w:rFonts w:hint="default"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lang w:val="en-US" w:eastAsia="zh-CN"/>
        </w:rPr>
        <w:t>广东省燃料电池汽车示范应用城市群实施方案</w:t>
      </w:r>
      <w:r>
        <w:rPr>
          <w:rFonts w:hint="default"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lang w:val="en-US" w:eastAsia="zh-CN"/>
        </w:rPr>
        <w:t>要求，到2025年依托示范城市群经济发达、货物周转量大、消费需求旺盛、新能源汽车产业发展基础好等优势，重点在城际物流、城市物流、港口物流、市政环卫等领域推广燃料电池汽车12715辆。2022年7月，珠海市发布了</w:t>
      </w:r>
      <w:r>
        <w:rPr>
          <w:rFonts w:hint="default"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lang w:val="en-US" w:eastAsia="zh-CN"/>
        </w:rPr>
        <w:t>珠海市氢能产业发展规划</w:t>
      </w:r>
      <w:r>
        <w:rPr>
          <w:rFonts w:hint="default" w:ascii="仿宋_GB2312" w:hAnsi="仿宋_GB2312" w:eastAsia="仿宋_GB2312" w:cs="仿宋_GB2312"/>
          <w:spacing w:val="0"/>
          <w:sz w:val="32"/>
          <w:szCs w:val="32"/>
          <w:lang w:val="en-US" w:eastAsia="zh-CN"/>
        </w:rPr>
        <w:t>（202</w:t>
      </w:r>
      <w:r>
        <w:rPr>
          <w:rFonts w:hint="eastAsia" w:ascii="仿宋_GB2312" w:hAnsi="仿宋_GB2312" w:eastAsia="仿宋_GB2312" w:cs="仿宋_GB2312"/>
          <w:spacing w:val="0"/>
          <w:sz w:val="32"/>
          <w:szCs w:val="32"/>
          <w:lang w:val="en-US" w:eastAsia="zh-CN"/>
        </w:rPr>
        <w:t>2</w:t>
      </w:r>
      <w:r>
        <w:rPr>
          <w:rFonts w:hint="default" w:ascii="仿宋_GB2312" w:hAnsi="仿宋_GB2312" w:eastAsia="仿宋_GB2312" w:cs="仿宋_GB2312"/>
          <w:spacing w:val="0"/>
          <w:sz w:val="32"/>
          <w:szCs w:val="32"/>
          <w:lang w:val="en-US" w:eastAsia="zh-CN"/>
        </w:rPr>
        <w:t>-2035年）》</w:t>
      </w:r>
      <w:r>
        <w:rPr>
          <w:rFonts w:hint="eastAsia" w:ascii="仿宋_GB2312" w:hAnsi="仿宋_GB2312" w:eastAsia="仿宋_GB2312" w:cs="仿宋_GB2312"/>
          <w:spacing w:val="0"/>
          <w:sz w:val="32"/>
          <w:szCs w:val="32"/>
          <w:lang w:val="en-US" w:eastAsia="zh-CN"/>
        </w:rPr>
        <w:t>，规划提出在公交、物流等领域开展燃料电池汽车示范及代替，推广氢燃料电池汽车不低于520辆，到2030年完善氢能产业链条建设，形成与周边城市协同互补、深度融合的区域氢能产业共同体。燃料电池汽车的发展带动用氢需求，同时也对加氢站建设和普及提出了更大的需求。</w:t>
      </w:r>
    </w:p>
    <w:p>
      <w:pPr>
        <w:keepNext w:val="0"/>
        <w:keepLines w:val="0"/>
        <w:pageBreakBefore w:val="0"/>
        <w:widowControl w:val="0"/>
        <w:numPr>
          <w:ilvl w:val="0"/>
          <w:numId w:val="0"/>
        </w:numPr>
        <w:wordWrap/>
        <w:overflowPunct/>
        <w:topLinePunct w:val="0"/>
        <w:bidi w:val="0"/>
        <w:spacing w:line="579" w:lineRule="exact"/>
        <w:ind w:firstLine="640" w:firstLineChars="200"/>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政策法规逐步完善为加氢站建设提供保障。加氢站是燃料电池汽车进行大规模推广的重要基础设施，在国家及各省市政府的政策法规支持下，我国加氢站建设步伐进入了快速发展阶段。2023年12月，国务院国资委等部门发布了《共建中国氢能高速行动倡议》，提出加快构建以京津冀、上海、广东、郑州和河北五城示范群为基础的氢能高速网络，加快城市群间的加氢站建设和衔接。在省地市支持政策中，广东、吉林、上海、武汉等8个省份发布加氢站相关的松绑政策，对绿氢生产以及制氢加氢一体化站建设做出了政策突破，同时广东省住建厅相继出台了《广东省燃料电池汽车加氢站安全管理指引（试行）》《广东省加氢站突发事件应急预案》，为加氢站建设提供安全和应急保障。</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多元化建站模式加快加氢站建设步伐。近年来我国在加氢站建设中处于快速增长阶段，截至2024年12月底，我国建成加氢站数量超过500座，位居全球第一。据公开信息统计，2024年中新建成加氢站66座，其中投入运营的加氢站主要为一体站和合建站，同时多元化的制氢加氢站以及管道输氢加氢站模式也相继出现，中石化辽宁大连甲醇制氢一体化站、广西石油南宁分布式氨制氢加氢一体化站以及山东齐鲁通过管输到站形成“微管网”加氢站的投入运营，有利于探索推动加氢站商业化推广，降低加氢站营运成本，助推我国加氢站建设快速发展。</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pacing w:val="0"/>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0"/>
          <w:kern w:val="0"/>
          <w:sz w:val="32"/>
          <w:szCs w:val="32"/>
          <w:lang w:val="en-US" w:eastAsia="zh-CN"/>
        </w:rPr>
      </w:pPr>
      <w:r>
        <w:rPr>
          <w:rFonts w:hint="eastAsia" w:ascii="黑体" w:hAnsi="黑体" w:eastAsia="黑体" w:cs="黑体"/>
          <w:snapToGrid w:val="0"/>
          <w:color w:val="000000"/>
          <w:spacing w:val="0"/>
          <w:kern w:val="0"/>
          <w:sz w:val="32"/>
          <w:szCs w:val="32"/>
          <w:lang w:val="en-US" w:eastAsia="zh-CN"/>
        </w:rPr>
        <w:t>第三节 问题与挑战</w:t>
      </w:r>
    </w:p>
    <w:p>
      <w:pPr>
        <w:keepNext w:val="0"/>
        <w:keepLines w:val="0"/>
        <w:pageBreakBefore w:val="0"/>
        <w:widowControl w:val="0"/>
        <w:wordWrap/>
        <w:overflowPunct/>
        <w:topLinePunct w:val="0"/>
        <w:bidi w:val="0"/>
        <w:spacing w:line="579" w:lineRule="exact"/>
        <w:rPr>
          <w:rFonts w:hint="eastAsia"/>
          <w:spacing w:val="0"/>
          <w:lang w:val="en-US" w:eastAsia="zh-CN"/>
        </w:rPr>
      </w:pPr>
    </w:p>
    <w:p>
      <w:pPr>
        <w:keepNext w:val="0"/>
        <w:keepLines w:val="0"/>
        <w:pageBreakBefore w:val="0"/>
        <w:widowControl w:val="0"/>
        <w:numPr>
          <w:ilvl w:val="0"/>
          <w:numId w:val="0"/>
        </w:numPr>
        <w:wordWrap/>
        <w:overflowPunct/>
        <w:topLinePunct w:val="0"/>
        <w:bidi w:val="0"/>
        <w:spacing w:line="579" w:lineRule="exact"/>
        <w:ind w:firstLine="640" w:firstLineChars="200"/>
        <w:rPr>
          <w:rFonts w:hint="default"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加氢站建设和运营成本高。加氢站建设运营的成本主要包括土地成本、设备成本和能源成本、人力成本等多个方面，固定式加氢站建设类型可分为独立加氢站、合建站以及制氢加氢一体化站等形式，建站设备主要以增压机、加氢机、储氢瓶组等核心部件组成，根据目前市场的招标信息情况，加氢站设备的投入成本都远大于建设加油/加气站，如按照商业用地实施加氢站建设，成本会更高。同时在加氢站的运营管理中，需要加上人力和设备维护成本，国内部分地区加氢站出现亏损状态，陷入“成本高-应用少-运营难”困境，缺乏成熟的商业化运营模式。</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审批建设流程有待探索</w:t>
      </w:r>
      <w:r>
        <w:rPr>
          <w:rFonts w:hint="default" w:ascii="仿宋_GB2312" w:hAnsi="仿宋_GB2312" w:eastAsia="仿宋_GB2312" w:cs="仿宋_GB2312"/>
          <w:spacing w:val="0"/>
          <w:sz w:val="32"/>
          <w:szCs w:val="32"/>
          <w:lang w:val="en-US" w:eastAsia="zh-CN"/>
        </w:rPr>
        <w:t>。</w:t>
      </w:r>
      <w:r>
        <w:rPr>
          <w:rFonts w:hint="eastAsia" w:ascii="仿宋_GB2312" w:hAnsi="仿宋_GB2312" w:eastAsia="仿宋_GB2312" w:cs="仿宋_GB2312"/>
          <w:spacing w:val="0"/>
          <w:sz w:val="32"/>
          <w:szCs w:val="32"/>
          <w:lang w:val="en-US" w:eastAsia="zh-CN"/>
        </w:rPr>
        <w:t>珠海市在加氢站建设中仍处于空白阶段，虽然广东省住房和城乡建设厅等12部门发布了《广东省燃料电池汽车加氢站建设管理暂行办法》，对省内加氢站的规划、建设、运营进行了管理，但珠海市缺乏市级的审批和管理办法，在流程审批以及建设管理中还未开展过实践项目，加氢站建设涉及规划、建设、运输、储存、运营、安全等环节，各职能部门对于新生事物如何审批管理界限尚不明确，亟需建立一套流程规范统一、加氢站相关部门明确的管理体系。</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终端应用车辆购置及运营成本高。当前，受限于燃料电池出货量少、研发成本高、部分组件需要进口等原因，燃料电池汽车的整车成本仍然较高，严重限制了其推广应用。同时珠海市在燃料电池汽车购置和运营方面尚未出台相关的补贴和优惠政策，导致企业参与示范应用的积极性并不高。此外，当前阶段氢气价格居高不下，使得燃料电池汽车的全生命周期成本远高于燃油车，从而削弱了终端客户的使用意愿，应用场景潜力难以挖掘和释放。</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pacing w:val="0"/>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0"/>
        <w:rPr>
          <w:rFonts w:hint="eastAsia" w:ascii="微软雅黑" w:hAnsi="微软雅黑" w:eastAsia="微软雅黑" w:cs="微软雅黑"/>
          <w:snapToGrid w:val="0"/>
          <w:color w:val="000000"/>
          <w:spacing w:val="0"/>
          <w:kern w:val="0"/>
          <w:sz w:val="35"/>
          <w:szCs w:val="35"/>
          <w:lang w:val="en-US" w:eastAsia="zh-CN"/>
        </w:rPr>
      </w:pPr>
      <w:r>
        <w:rPr>
          <w:rFonts w:hint="eastAsia" w:ascii="微软雅黑" w:hAnsi="微软雅黑" w:eastAsia="微软雅黑" w:cs="微软雅黑"/>
          <w:snapToGrid w:val="0"/>
          <w:color w:val="000000"/>
          <w:spacing w:val="0"/>
          <w:kern w:val="0"/>
          <w:sz w:val="35"/>
          <w:szCs w:val="35"/>
          <w:lang w:val="en-US" w:eastAsia="zh-CN"/>
        </w:rPr>
        <w:t>第二章 需求预测</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pacing w:val="0"/>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0"/>
          <w:kern w:val="0"/>
          <w:sz w:val="32"/>
          <w:szCs w:val="32"/>
          <w:lang w:val="en-US" w:eastAsia="zh-CN"/>
        </w:rPr>
      </w:pPr>
      <w:r>
        <w:rPr>
          <w:rFonts w:hint="eastAsia" w:ascii="黑体" w:hAnsi="黑体" w:eastAsia="黑体" w:cs="黑体"/>
          <w:snapToGrid w:val="0"/>
          <w:color w:val="000000"/>
          <w:spacing w:val="0"/>
          <w:kern w:val="0"/>
          <w:sz w:val="32"/>
          <w:szCs w:val="32"/>
          <w:lang w:val="en-US" w:eastAsia="zh-CN"/>
        </w:rPr>
        <w:t>第一节 氢能应用场景分析</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spacing w:val="0"/>
          <w:lang w:val="en-US" w:eastAsia="zh-CN"/>
        </w:rPr>
      </w:pPr>
    </w:p>
    <w:p>
      <w:pPr>
        <w:keepNext w:val="0"/>
        <w:keepLines w:val="0"/>
        <w:pageBreakBefore w:val="0"/>
        <w:widowControl w:val="0"/>
        <w:wordWrap/>
        <w:overflowPunct/>
        <w:topLinePunct w:val="0"/>
        <w:bidi w:val="0"/>
        <w:spacing w:line="579" w:lineRule="exact"/>
        <w:ind w:firstLine="640" w:firstLineChars="200"/>
        <w:rPr>
          <w:rFonts w:hint="eastAsia" w:ascii="楷体" w:hAnsi="楷体" w:eastAsia="楷体" w:cs="楷体"/>
          <w:spacing w:val="0"/>
          <w:sz w:val="32"/>
          <w:szCs w:val="32"/>
          <w:lang w:val="en-US" w:eastAsia="zh-CN"/>
        </w:rPr>
      </w:pPr>
      <w:r>
        <w:rPr>
          <w:rFonts w:hint="eastAsia" w:ascii="楷体" w:hAnsi="楷体" w:eastAsia="楷体" w:cs="楷体"/>
          <w:spacing w:val="0"/>
          <w:sz w:val="32"/>
          <w:szCs w:val="32"/>
          <w:lang w:val="en-US" w:eastAsia="zh-CN"/>
        </w:rPr>
        <w:t>一、车辆应用场景</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相比纯电动汽车，燃料电池汽车具有续航里程长、加氢时间短、零排放零污染等特点，特别适宜低温、重载和远距离运输等应用场景。目前全国五大燃料电池汽车示范城市群纳入推广的车型包括渣土车、物流车、环卫车、公交客车、牵引车等，应用于市政环卫、城市公交、区域配送、货物运输等领域，借鉴该分类，结合珠海市运输车辆类别、服务功能、运行特征，具体划分为货运、环卫、公交、客运4类应用场景。</w:t>
      </w:r>
    </w:p>
    <w:p>
      <w:pPr>
        <w:keepNext w:val="0"/>
        <w:keepLines w:val="0"/>
        <w:pageBreakBefore w:val="0"/>
        <w:widowControl w:val="0"/>
        <w:numPr>
          <w:ilvl w:val="0"/>
          <w:numId w:val="2"/>
        </w:numPr>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货运场景。在交通运输领域，公路运输中货物运输碳排放占比最高，公路货运是交通碳减排的重中之重。珠海市现有货运车辆有普通货运、牵引车、挂车3种类型，大多数为大型重载吨位车辆，汽车动力源以柴油燃料为主，运输场景在港口、物流园、沙石水泥厂等高频作业领域。燃料电池重卡具有零污染、续航长、加注快等优势，综合考虑适宜应用场景、适配产品车型、推广应用潜力及经济性等因素，货运领域中固定线路的牵引车、重型挂车、搅拌车和冷链物流车的运输场景将成为推广应用氢燃料电池汽车的发展重点。</w:t>
      </w:r>
    </w:p>
    <w:p>
      <w:pPr>
        <w:keepNext w:val="0"/>
        <w:keepLines w:val="0"/>
        <w:pageBreakBefore w:val="0"/>
        <w:widowControl w:val="0"/>
        <w:numPr>
          <w:ilvl w:val="0"/>
          <w:numId w:val="2"/>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环卫用车场景。本市按照“轻载用电，重载用氢”的形式，4.5吨以下环卫作业车辆仍采用成熟的纯电动车型替换应用模式，4.5吨及以上环卫作业车辆宜发展氢燃料电池汽车。目前，市场上已具备可成熟应用的8吨、12吨氢燃料电池环卫专用车型产品。</w:t>
      </w:r>
    </w:p>
    <w:p>
      <w:pPr>
        <w:keepNext w:val="0"/>
        <w:keepLines w:val="0"/>
        <w:pageBreakBefore w:val="0"/>
        <w:widowControl w:val="0"/>
        <w:numPr>
          <w:ilvl w:val="0"/>
          <w:numId w:val="2"/>
        </w:numPr>
        <w:kinsoku/>
        <w:wordWrap/>
        <w:overflowPunct/>
        <w:topLinePunct w:val="0"/>
        <w:autoSpaceDE/>
        <w:autoSpaceDN/>
        <w:bidi w:val="0"/>
        <w:adjustRightInd/>
        <w:snapToGrid/>
        <w:spacing w:line="579" w:lineRule="exact"/>
        <w:ind w:left="0" w:leftChars="0"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公交场景。根据本市目前新能源汽车的更新和新增计划，在已达到报废年限的纯电动公交车的更新替换中可按适当比例推广使用氢燃料电池公交车，加快在公交领域开展燃料电池汽车示范应用，对社会公众传播氢能科学技术知识。</w:t>
      </w:r>
    </w:p>
    <w:p>
      <w:pPr>
        <w:keepNext w:val="0"/>
        <w:keepLines w:val="0"/>
        <w:pageBreakBefore w:val="0"/>
        <w:widowControl w:val="0"/>
        <w:numPr>
          <w:ilvl w:val="0"/>
          <w:numId w:val="2"/>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客运场景。本市客运领域车辆分为城市客运、跨市客运、跨境客运3个领域车辆。城市客运主要以小型、中型载客汽车为主，由于载客人数少、油耗较低、价格便宜，多应用于短途旅游和通勤路线，比较适宜发展纯电动汽车；在大型客位车辆中，主要以跨市客运和跨境客运为主，载客人数多、行驶距离远、油耗大，多应用于数百公里的中远途路线，更适宜发展氢燃料电池汽车。</w:t>
      </w:r>
    </w:p>
    <w:p>
      <w:pPr>
        <w:keepNext w:val="0"/>
        <w:keepLines w:val="0"/>
        <w:pageBreakBefore w:val="0"/>
        <w:widowControl w:val="0"/>
        <w:wordWrap/>
        <w:overflowPunct/>
        <w:topLinePunct w:val="0"/>
        <w:bidi w:val="0"/>
        <w:spacing w:line="579" w:lineRule="exact"/>
        <w:ind w:firstLine="640" w:firstLineChars="200"/>
        <w:rPr>
          <w:rFonts w:hint="eastAsia" w:ascii="楷体" w:hAnsi="楷体" w:eastAsia="楷体" w:cs="楷体"/>
          <w:spacing w:val="0"/>
          <w:sz w:val="32"/>
          <w:szCs w:val="32"/>
          <w:lang w:val="en-US" w:eastAsia="zh-CN"/>
        </w:rPr>
      </w:pPr>
      <w:r>
        <w:rPr>
          <w:rFonts w:hint="eastAsia" w:ascii="楷体" w:hAnsi="楷体" w:eastAsia="楷体" w:cs="楷体"/>
          <w:spacing w:val="0"/>
          <w:sz w:val="32"/>
          <w:szCs w:val="32"/>
          <w:lang w:val="en-US" w:eastAsia="zh-CN"/>
        </w:rPr>
        <w:t>二、场景布局分析</w:t>
      </w:r>
    </w:p>
    <w:p>
      <w:pPr>
        <w:keepNext w:val="0"/>
        <w:keepLines w:val="0"/>
        <w:pageBreakBefore w:val="0"/>
        <w:widowControl w:val="0"/>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根据珠海市现有/规划的氢源项目以及货运、环卫、公交、客运4类具有推广潜力车辆的应用场景进行供需匹配，按类别、规模赋予不同权重，结合点位分布、距离等因素进行GIS核密度分析，结果以颜色深浅表示选址优先程度，供应/需求规模越大、越密集、匹配程度越高的区域以更深颜色表示，理论上应优先在深色区域选址布局。基于理论结果，再结合点位周边实际情况进一步确认选址。</w:t>
      </w:r>
    </w:p>
    <w:p>
      <w:pPr>
        <w:keepNext w:val="0"/>
        <w:keepLines w:val="0"/>
        <w:pageBreakBefore w:val="0"/>
        <w:widowControl w:val="0"/>
        <w:wordWrap/>
        <w:overflowPunct/>
        <w:topLinePunct w:val="0"/>
        <w:bidi w:val="0"/>
        <w:spacing w:line="579" w:lineRule="exact"/>
        <w:ind w:firstLine="640" w:firstLineChars="200"/>
        <w:rPr>
          <w:rFonts w:hint="eastAsia" w:ascii="仿宋_GB2312" w:hAnsi="仿宋_GB2312" w:eastAsia="仿宋_GB2312" w:cs="仿宋_GB2312"/>
          <w:spacing w:val="0"/>
          <w:sz w:val="32"/>
          <w:szCs w:val="32"/>
          <w:lang w:val="en-US" w:eastAsia="zh-CN"/>
        </w:rPr>
      </w:pPr>
      <w:r>
        <w:rPr>
          <w:rFonts w:hint="eastAsia" w:ascii="仿宋_GB2312" w:hAnsi="仿宋_GB2312" w:eastAsia="仿宋_GB2312" w:cs="仿宋_GB2312"/>
          <w:spacing w:val="0"/>
          <w:sz w:val="32"/>
          <w:szCs w:val="32"/>
          <w:lang w:val="en-US" w:eastAsia="zh-CN"/>
        </w:rPr>
        <w:t>在氢源场景区域中，</w:t>
      </w:r>
      <w:r>
        <w:rPr>
          <w:rFonts w:hint="eastAsia" w:ascii="仿宋_GB2312" w:hAnsi="仿宋_GB2312" w:eastAsia="仿宋_GB2312" w:cs="仿宋_GB2312"/>
          <w:spacing w:val="0"/>
          <w:sz w:val="32"/>
          <w:szCs w:val="32"/>
          <w:highlight w:val="none"/>
          <w:lang w:val="en-US" w:eastAsia="zh-CN"/>
        </w:rPr>
        <w:t>围绕现有副产氢项目以及规划建设的金湾区海上风电制氢和生物质制氢项目规模和地址进行分析；</w:t>
      </w:r>
      <w:r>
        <w:rPr>
          <w:rFonts w:hint="eastAsia" w:ascii="仿宋_GB2312" w:hAnsi="仿宋_GB2312" w:eastAsia="仿宋_GB2312" w:cs="仿宋_GB2312"/>
          <w:spacing w:val="0"/>
          <w:sz w:val="32"/>
          <w:szCs w:val="32"/>
          <w:lang w:val="en-US" w:eastAsia="zh-CN"/>
        </w:rPr>
        <w:t>在货运车辆场景区域，主要围绕粤港澳国际物流园、高栏港国际物流园等4大物流园区和上冲商贸配送中心、南屏配送中心、斗门配送中心等10大配送中心点以及珠海市重点货物货源地址分布综合考虑货运车辆的应用场景潜力区域；在环卫车辆场景区域，结合香洲区、斗门区、金湾区三大行政区域及各镇、街道的环卫车聚集停车场站以及垃圾终端处理的斗门焚烧发电厂综合考虑环卫车辆的应用场景潜力区域；在公交车辆场景区域，以公交车先行推广示范理念，选择在占地面积大、停靠车辆较多的公交车总站和综合车场场站车辆先行布局推广；在客运车辆场景区域，围绕长途汽车客运站、口岸客运站、机场客运站等载客集聚区进行列点分析，具体情况如下图所示。</w:t>
      </w:r>
    </w:p>
    <w:p>
      <w:pPr>
        <w:bidi w:val="0"/>
        <w:jc w:val="center"/>
        <w:rPr>
          <w:rFonts w:hint="default"/>
          <w:lang w:val="en-US" w:eastAsia="zh-CN"/>
        </w:rPr>
      </w:pPr>
      <w:r>
        <w:rPr>
          <w:rFonts w:hint="default"/>
          <w:lang w:val="en-US" w:eastAsia="zh-CN"/>
        </w:rPr>
        <w:drawing>
          <wp:inline distT="0" distB="0" distL="114300" distR="114300">
            <wp:extent cx="4193540" cy="3804285"/>
            <wp:effectExtent l="0" t="0" r="16510" b="5715"/>
            <wp:docPr id="1" name="图片 1" descr="5c7f28743577055927d3047402d82e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5c7f28743577055927d3047402d82ee"/>
                    <pic:cNvPicPr>
                      <a:picLocks noChangeAspect="true"/>
                    </pic:cNvPicPr>
                  </pic:nvPicPr>
                  <pic:blipFill>
                    <a:blip r:embed="rId6"/>
                    <a:srcRect l="2542" t="4703" r="5189" b="4755"/>
                    <a:stretch>
                      <a:fillRect/>
                    </a:stretch>
                  </pic:blipFill>
                  <pic:spPr>
                    <a:xfrm>
                      <a:off x="0" y="0"/>
                      <a:ext cx="4193540" cy="38042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图2-1  珠海市氢源布局及燃料电池汽车潜力应用场景示意图</w:t>
      </w:r>
    </w:p>
    <w:p>
      <w:pPr>
        <w:bidi w:val="0"/>
        <w:jc w:val="center"/>
        <w:rPr>
          <w:rFonts w:hint="default"/>
          <w:lang w:val="en-US" w:eastAsia="zh-CN"/>
        </w:rPr>
      </w:pPr>
      <w:r>
        <w:rPr>
          <w:rFonts w:hint="default"/>
          <w:lang w:val="en-US" w:eastAsia="zh-CN"/>
        </w:rPr>
        <w:drawing>
          <wp:inline distT="0" distB="0" distL="114300" distR="114300">
            <wp:extent cx="4142105" cy="3472815"/>
            <wp:effectExtent l="0" t="0" r="10795" b="13335"/>
            <wp:docPr id="5" name="图片 5" descr="7211d8d8913bc5ba2557d5c60a39b9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7211d8d8913bc5ba2557d5c60a39b9f"/>
                    <pic:cNvPicPr>
                      <a:picLocks noChangeAspect="true"/>
                    </pic:cNvPicPr>
                  </pic:nvPicPr>
                  <pic:blipFill>
                    <a:blip r:embed="rId7"/>
                    <a:srcRect l="2651" t="4482" r="4927" b="4374"/>
                    <a:stretch>
                      <a:fillRect/>
                    </a:stretch>
                  </pic:blipFill>
                  <pic:spPr>
                    <a:xfrm>
                      <a:off x="0" y="0"/>
                      <a:ext cx="4142105" cy="34728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黑体" w:hAnsi="黑体" w:eastAsia="黑体" w:cs="黑体"/>
          <w:sz w:val="28"/>
          <w:szCs w:val="28"/>
          <w:lang w:val="en-US" w:eastAsia="zh-CN"/>
        </w:rPr>
      </w:pPr>
      <w:r>
        <w:rPr>
          <w:rFonts w:hint="eastAsia" w:ascii="黑体" w:hAnsi="黑体" w:eastAsia="黑体" w:cs="黑体"/>
          <w:sz w:val="28"/>
          <w:szCs w:val="28"/>
          <w:lang w:val="en-US" w:eastAsia="zh-CN"/>
        </w:rPr>
        <w:t>图2-2  珠海市燃料电池汽车潜在应用场景强度分布图</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合以上分析情况得出，近期可围绕需求强度深色区域优先布局建设加氢站，其中包括香洲区南屏镇、前山街道、香湾街道、梅华街道、狮山街道、吉大街道以及拱北街道；金湾区平沙镇、南水镇以及三灶镇；斗门区乾务镇、井岸镇以及斗门镇；中远期围绕以珠海机场、珠海港、珠海口岸为枢纽，广佛江珠高速、珠三角环线高速、西部沿海高速以及粤港澳大桥为主骨架的现代化综合立体交通网络，结合氢源项目和燃料电池汽车潜在应用场景周边辐射区域，进行车站互通，有序规划的布局建设。</w:t>
      </w:r>
    </w:p>
    <w:p>
      <w:pPr>
        <w:keepNext w:val="0"/>
        <w:keepLines w:val="0"/>
        <w:pageBreakBefore w:val="0"/>
        <w:wordWrap/>
        <w:overflowPunct/>
        <w:topLinePunct w:val="0"/>
        <w:bidi w:val="0"/>
        <w:spacing w:line="579" w:lineRule="exact"/>
        <w:rPr>
          <w:rFonts w:hint="default"/>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第二节 燃料电池汽车推广预测</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ordWrap/>
        <w:overflowPunct/>
        <w:topLinePunct w:val="0"/>
        <w:bidi w:val="0"/>
        <w:spacing w:line="579"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一、车辆发展数量</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珠海市氢能产业发展规划（2022-2035年）》提出的燃料电池汽车推广目标，结合广东省燃料电池汽车示范城市群建设任务以及落实广东省加快氢能产业创新发展的意见目标，本市2025年前力争推广氢燃料电池汽车520辆，到2027年实现燃料电池汽车规模化推广应用，氢能基础设施基本完善，争取在2030年前逐步完善氢能产业链，合理优化产业布局，形成与周边城市协同互补、深度融合的区域氢能产业发展共同体。</w:t>
      </w:r>
    </w:p>
    <w:p>
      <w:pPr>
        <w:keepNext w:val="0"/>
        <w:keepLines w:val="0"/>
        <w:pageBreakBefore w:val="0"/>
        <w:wordWrap/>
        <w:overflowPunct/>
        <w:topLinePunct w:val="0"/>
        <w:bidi w:val="0"/>
        <w:spacing w:line="579" w:lineRule="exact"/>
        <w:ind w:firstLine="640" w:firstLineChars="200"/>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二、车辆推广潜力</w:t>
      </w:r>
    </w:p>
    <w:p>
      <w:pPr>
        <w:keepNext w:val="0"/>
        <w:keepLines w:val="0"/>
        <w:pageBreakBefore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车辆应用场景划分，结合货运、环卫、公交、客运等领域车辆更新替换计划数量，综合考虑各应用场景车型产品的购置和使用成本，以及不同车型产品适配性与技术成熟度，按照“宜电则电、宜氢则氢”的车辆推广思路，珠海市氢燃料电池汽车在4类应用场景的可推广潜力规模为3224辆，详见表2-1。</w:t>
      </w:r>
    </w:p>
    <w:p>
      <w:pPr>
        <w:keepNext w:val="0"/>
        <w:keepLines w:val="0"/>
        <w:pageBreakBefore w:val="0"/>
        <w:wordWrap/>
        <w:overflowPunct/>
        <w:topLinePunct w:val="0"/>
        <w:bidi w:val="0"/>
        <w:spacing w:line="579" w:lineRule="exact"/>
        <w:jc w:val="center"/>
        <w:rPr>
          <w:rFonts w:hint="eastAsia" w:ascii="黑体" w:hAnsi="黑体" w:eastAsia="黑体" w:cs="黑体"/>
          <w:sz w:val="28"/>
          <w:szCs w:val="28"/>
          <w:lang w:val="en-US" w:eastAsia="zh-CN"/>
        </w:rPr>
      </w:pPr>
    </w:p>
    <w:p>
      <w:pPr>
        <w:bidi w:val="0"/>
        <w:jc w:val="center"/>
        <w:rPr>
          <w:rFonts w:hint="default" w:ascii="仿宋_GB2312" w:hAnsi="仿宋_GB2312" w:eastAsia="仿宋_GB2312" w:cs="仿宋_GB2312"/>
          <w:sz w:val="28"/>
          <w:szCs w:val="28"/>
          <w:lang w:val="en-US" w:eastAsia="zh-CN"/>
        </w:rPr>
      </w:pPr>
      <w:r>
        <w:rPr>
          <w:rFonts w:hint="eastAsia" w:ascii="黑体" w:hAnsi="黑体" w:eastAsia="黑体" w:cs="黑体"/>
          <w:sz w:val="28"/>
          <w:szCs w:val="28"/>
          <w:lang w:val="en-US" w:eastAsia="zh-CN"/>
        </w:rPr>
        <w:t>表2-1  4类应用场景需替换/新增的车辆潜力分析（到2025年）</w:t>
      </w:r>
      <w:r>
        <w:rPr>
          <w:rStyle w:val="14"/>
          <w:rFonts w:hint="eastAsia" w:ascii="仿宋_GB2312" w:hAnsi="仿宋_GB2312" w:eastAsia="仿宋_GB2312" w:cs="仿宋_GB2312"/>
          <w:sz w:val="28"/>
          <w:szCs w:val="28"/>
          <w:lang w:val="en-US" w:eastAsia="zh-CN"/>
        </w:rPr>
        <w:footnoteReference w:id="0"/>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086"/>
        <w:gridCol w:w="1385"/>
        <w:gridCol w:w="2090"/>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序号</w:t>
            </w:r>
          </w:p>
        </w:tc>
        <w:tc>
          <w:tcPr>
            <w:tcW w:w="108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应用场景</w:t>
            </w:r>
          </w:p>
        </w:tc>
        <w:tc>
          <w:tcPr>
            <w:tcW w:w="138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预测车辆保有量（辆）</w:t>
            </w:r>
          </w:p>
        </w:tc>
        <w:tc>
          <w:tcPr>
            <w:tcW w:w="209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lang w:val="en-US" w:eastAsia="zh-CN"/>
              </w:rPr>
              <w:t>需替换/新增车辆</w:t>
            </w:r>
            <w:r>
              <w:rPr>
                <w:rFonts w:hint="eastAsia" w:ascii="仿宋_GB2312" w:hAnsi="仿宋_GB2312" w:eastAsia="仿宋_GB2312" w:cs="仿宋_GB2312"/>
                <w:sz w:val="28"/>
                <w:szCs w:val="28"/>
                <w:vertAlign w:val="baseline"/>
                <w:lang w:val="en-US" w:eastAsia="zh-CN"/>
              </w:rPr>
              <w:t>潜力规模（辆）</w:t>
            </w:r>
          </w:p>
        </w:tc>
        <w:tc>
          <w:tcPr>
            <w:tcW w:w="30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主要集聚区域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5" w:hRule="atLeast"/>
          <w:jc w:val="center"/>
        </w:trPr>
        <w:tc>
          <w:tcPr>
            <w:tcW w:w="84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08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货运</w:t>
            </w:r>
          </w:p>
        </w:tc>
        <w:tc>
          <w:tcPr>
            <w:tcW w:w="138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12333</w:t>
            </w:r>
          </w:p>
        </w:tc>
        <w:tc>
          <w:tcPr>
            <w:tcW w:w="209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1850</w:t>
            </w:r>
          </w:p>
        </w:tc>
        <w:tc>
          <w:tcPr>
            <w:tcW w:w="30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高栏港国际物流园、粤港澳国际物流园等；上冲商贸配送中心、南屏配送中心等；混凝土搅拌站、砂石厂等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4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08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环卫</w:t>
            </w:r>
          </w:p>
        </w:tc>
        <w:tc>
          <w:tcPr>
            <w:tcW w:w="138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726</w:t>
            </w:r>
          </w:p>
        </w:tc>
        <w:tc>
          <w:tcPr>
            <w:tcW w:w="209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287</w:t>
            </w:r>
          </w:p>
        </w:tc>
        <w:tc>
          <w:tcPr>
            <w:tcW w:w="30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环卫车停车站点、垃圾压缩站、垃圾中转站、斗门垃圾焚烧厂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84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08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公交</w:t>
            </w:r>
          </w:p>
        </w:tc>
        <w:tc>
          <w:tcPr>
            <w:tcW w:w="138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2800</w:t>
            </w:r>
          </w:p>
        </w:tc>
        <w:tc>
          <w:tcPr>
            <w:tcW w:w="209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660</w:t>
            </w:r>
          </w:p>
        </w:tc>
        <w:tc>
          <w:tcPr>
            <w:tcW w:w="30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香洲总站、上冲总站、三灶综合车场、金鼎综合车场等公交总站和综合车场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0" w:hRule="atLeast"/>
          <w:jc w:val="center"/>
        </w:trPr>
        <w:tc>
          <w:tcPr>
            <w:tcW w:w="84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086"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客运</w:t>
            </w:r>
          </w:p>
        </w:tc>
        <w:tc>
          <w:tcPr>
            <w:tcW w:w="138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1580</w:t>
            </w:r>
          </w:p>
        </w:tc>
        <w:tc>
          <w:tcPr>
            <w:tcW w:w="209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427</w:t>
            </w:r>
          </w:p>
        </w:tc>
        <w:tc>
          <w:tcPr>
            <w:tcW w:w="30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香洲长途客运站、拱北汽车客运站、斗门客运站、九洲港客运站等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1932" w:type="dxa"/>
            <w:gridSpan w:val="2"/>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合计</w:t>
            </w:r>
          </w:p>
        </w:tc>
        <w:tc>
          <w:tcPr>
            <w:tcW w:w="1385"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17439</w:t>
            </w:r>
          </w:p>
        </w:tc>
        <w:tc>
          <w:tcPr>
            <w:tcW w:w="209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3224</w:t>
            </w:r>
          </w:p>
        </w:tc>
        <w:tc>
          <w:tcPr>
            <w:tcW w:w="3080" w:type="dxa"/>
            <w:vAlign w:val="center"/>
          </w:tcPr>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sz w:val="28"/>
                <w:szCs w:val="28"/>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三、车辆推广规模预测</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珠海市氢能产业发展规划（2022-2035年）》中2025年前力争推广燃料电池汽车520辆，以及结合广东省燃料电池汽车示范城市群建设任务以及落实广东省加快氢能产业创新发展的意见目标，到2027年实现燃料电池汽车规模化推广应用，加氢基础设施基本满足全市各区应用场景的需求。车辆推广示范方面，前期以公交示范切入，后续在物流、重卡等不同运营场景重点布局，围绕燃料电池汽车能量密度大、自重低等优势重点推广中远程、中重型商用车领域车辆。对珠海市各应用场景的氢燃料电池汽车推广规模进行预测，详见表2-2。</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黑体" w:hAnsi="黑体" w:eastAsia="黑体" w:cs="黑体"/>
          <w:sz w:val="28"/>
          <w:szCs w:val="28"/>
          <w:lang w:val="en-US" w:eastAsia="zh-CN"/>
        </w:rPr>
      </w:pPr>
    </w:p>
    <w:p>
      <w:pPr>
        <w:bidi w:val="0"/>
        <w:jc w:val="center"/>
        <w:rPr>
          <w:rFonts w:hint="eastAsia" w:ascii="仿宋_GB2312" w:hAnsi="仿宋_GB2312" w:eastAsia="仿宋_GB2312" w:cs="仿宋_GB2312"/>
          <w:sz w:val="28"/>
          <w:szCs w:val="28"/>
          <w:lang w:val="en-US" w:eastAsia="zh-CN"/>
        </w:rPr>
      </w:pPr>
      <w:r>
        <w:rPr>
          <w:rFonts w:hint="eastAsia" w:ascii="黑体" w:hAnsi="黑体" w:eastAsia="黑体" w:cs="黑体"/>
          <w:sz w:val="28"/>
          <w:szCs w:val="28"/>
          <w:lang w:val="en-US" w:eastAsia="zh-CN"/>
        </w:rPr>
        <w:t>表2-2  4类应用场景燃料电池汽车推广规模预测（2025年前）</w:t>
      </w:r>
      <w:r>
        <w:rPr>
          <w:rStyle w:val="14"/>
          <w:rFonts w:hint="eastAsia" w:ascii="仿宋_GB2312" w:hAnsi="仿宋_GB2312" w:eastAsia="仿宋_GB2312" w:cs="仿宋_GB2312"/>
          <w:sz w:val="28"/>
          <w:szCs w:val="28"/>
          <w:lang w:val="en-US" w:eastAsia="zh-CN"/>
        </w:rPr>
        <w:footnoteReference w:id="1"/>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7"/>
        <w:gridCol w:w="4144"/>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序号</w:t>
            </w:r>
          </w:p>
        </w:tc>
        <w:tc>
          <w:tcPr>
            <w:tcW w:w="4144"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应用场景</w:t>
            </w:r>
          </w:p>
        </w:tc>
        <w:tc>
          <w:tcPr>
            <w:tcW w:w="2841"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2025年数量（辆）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4144"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货运</w:t>
            </w:r>
          </w:p>
        </w:tc>
        <w:tc>
          <w:tcPr>
            <w:tcW w:w="2841"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4144"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环卫</w:t>
            </w:r>
          </w:p>
        </w:tc>
        <w:tc>
          <w:tcPr>
            <w:tcW w:w="2841"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3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4144"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公交</w:t>
            </w:r>
          </w:p>
        </w:tc>
        <w:tc>
          <w:tcPr>
            <w:tcW w:w="2841"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4144"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客运</w:t>
            </w:r>
          </w:p>
        </w:tc>
        <w:tc>
          <w:tcPr>
            <w:tcW w:w="2841"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1" w:type="dxa"/>
            <w:gridSpan w:val="2"/>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合计</w:t>
            </w:r>
          </w:p>
        </w:tc>
        <w:tc>
          <w:tcPr>
            <w:tcW w:w="2841"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520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第三节 用氢需求预测</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numPr>
          <w:ilvl w:val="0"/>
          <w:numId w:val="0"/>
        </w:numPr>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珠海市拟推广使用的燃料电池汽车数量520辆，通过不同应用场景、不同车型的燃料电池汽车在不同运营强度下的氢能需求进行测算，520辆燃料电池汽车日均氢能需求约为11.685吨/日（合3505.5吨/年），详见表2-3。结合用氢需求预测量推算加氢站规划建设的数量，以本市燃料电池车辆加注为主，外来车辆加注为辅，按照加氢规模1000公斤/天的加氢站，站点负荷60％-80％来计算，珠海市需建成加氢站15座，为市内外燃料电池车辆提供加氢保障。</w:t>
      </w:r>
    </w:p>
    <w:p>
      <w:pPr>
        <w:keepNext w:val="0"/>
        <w:keepLines w:val="0"/>
        <w:pageBreakBefore w:val="0"/>
        <w:wordWrap/>
        <w:overflowPunct/>
        <w:topLinePunct w:val="0"/>
        <w:bidi w:val="0"/>
        <w:spacing w:line="579" w:lineRule="exact"/>
        <w:jc w:val="center"/>
        <w:rPr>
          <w:rFonts w:hint="eastAsia" w:ascii="黑体" w:hAnsi="黑体" w:eastAsia="黑体" w:cs="黑体"/>
          <w:sz w:val="28"/>
          <w:szCs w:val="28"/>
          <w:lang w:val="en-US" w:eastAsia="zh-CN"/>
        </w:rPr>
      </w:pPr>
    </w:p>
    <w:p>
      <w:pPr>
        <w:bidi w:val="0"/>
        <w:jc w:val="center"/>
        <w:rPr>
          <w:rFonts w:hint="eastAsia" w:ascii="仿宋_GB2312" w:hAnsi="仿宋_GB2312" w:eastAsia="仿宋_GB2312" w:cs="仿宋_GB2312"/>
          <w:sz w:val="28"/>
          <w:szCs w:val="28"/>
          <w:lang w:val="en-US" w:eastAsia="zh-CN"/>
        </w:rPr>
      </w:pPr>
      <w:r>
        <w:rPr>
          <w:rFonts w:hint="eastAsia" w:ascii="黑体" w:hAnsi="黑体" w:eastAsia="黑体" w:cs="黑体"/>
          <w:sz w:val="28"/>
          <w:szCs w:val="28"/>
          <w:lang w:val="en-US" w:eastAsia="zh-CN"/>
        </w:rPr>
        <w:t>表2-3  520辆燃料电池汽车氢能需求测算</w:t>
      </w:r>
      <w:r>
        <w:rPr>
          <w:rStyle w:val="14"/>
          <w:rFonts w:hint="eastAsia" w:ascii="仿宋_GB2312" w:hAnsi="仿宋_GB2312" w:eastAsia="仿宋_GB2312" w:cs="仿宋_GB2312"/>
          <w:sz w:val="28"/>
          <w:szCs w:val="28"/>
          <w:lang w:val="en-US" w:eastAsia="zh-CN"/>
        </w:rPr>
        <w:footnoteReference w:id="2"/>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523"/>
        <w:gridCol w:w="1777"/>
        <w:gridCol w:w="1612"/>
        <w:gridCol w:w="1420"/>
        <w:gridCol w:w="1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序号</w:t>
            </w:r>
          </w:p>
        </w:tc>
        <w:tc>
          <w:tcPr>
            <w:tcW w:w="1523"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应用场景</w:t>
            </w:r>
          </w:p>
        </w:tc>
        <w:tc>
          <w:tcPr>
            <w:tcW w:w="177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车辆保有量</w:t>
            </w:r>
          </w:p>
        </w:tc>
        <w:tc>
          <w:tcPr>
            <w:tcW w:w="1612"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单车日均需求（公斤/日/辆）</w:t>
            </w:r>
          </w:p>
        </w:tc>
        <w:tc>
          <w:tcPr>
            <w:tcW w:w="1420"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总日均需求（吨/日）</w:t>
            </w:r>
          </w:p>
        </w:tc>
        <w:tc>
          <w:tcPr>
            <w:tcW w:w="1420"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年氢能需求（吨/年）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523"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货运</w:t>
            </w:r>
          </w:p>
        </w:tc>
        <w:tc>
          <w:tcPr>
            <w:tcW w:w="177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300</w:t>
            </w:r>
          </w:p>
        </w:tc>
        <w:tc>
          <w:tcPr>
            <w:tcW w:w="1612"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30</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9</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523"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环卫</w:t>
            </w:r>
          </w:p>
        </w:tc>
        <w:tc>
          <w:tcPr>
            <w:tcW w:w="177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45</w:t>
            </w:r>
          </w:p>
        </w:tc>
        <w:tc>
          <w:tcPr>
            <w:tcW w:w="1612"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0.27</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8"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523"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公交</w:t>
            </w:r>
          </w:p>
        </w:tc>
        <w:tc>
          <w:tcPr>
            <w:tcW w:w="177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105</w:t>
            </w:r>
          </w:p>
        </w:tc>
        <w:tc>
          <w:tcPr>
            <w:tcW w:w="1612"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14</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1.47</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523"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客运</w:t>
            </w:r>
          </w:p>
        </w:tc>
        <w:tc>
          <w:tcPr>
            <w:tcW w:w="177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70</w:t>
            </w:r>
          </w:p>
        </w:tc>
        <w:tc>
          <w:tcPr>
            <w:tcW w:w="1612"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13.5</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0.945</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1" w:type="dxa"/>
            <w:gridSpan w:val="2"/>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合计</w:t>
            </w:r>
          </w:p>
        </w:tc>
        <w:tc>
          <w:tcPr>
            <w:tcW w:w="1777" w:type="dxa"/>
            <w:vAlign w:val="center"/>
          </w:tcPr>
          <w:p>
            <w:pPr>
              <w:bidi w:val="0"/>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520</w:t>
            </w:r>
          </w:p>
        </w:tc>
        <w:tc>
          <w:tcPr>
            <w:tcW w:w="1612"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63.5</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11.685</w:t>
            </w:r>
          </w:p>
        </w:tc>
        <w:tc>
          <w:tcPr>
            <w:tcW w:w="1420" w:type="dxa"/>
            <w:vAlign w:val="center"/>
          </w:tcPr>
          <w:p>
            <w:pPr>
              <w:bidi w:val="0"/>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3505.5</w:t>
            </w:r>
          </w:p>
        </w:tc>
      </w:tr>
    </w:tbl>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2027年前，围绕副产氢提纯、可再生能源制氢和生物质制氢等项目氢源条件，结合公交车、跨市/跨境客车、冷链物流车、市政工程用车、重卡等车辆应用场景布局，根据氢源和应用场景分布位置，一站服务一区域的模式，需建成投运19座加氢站。</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0"/>
        <w:rPr>
          <w:rFonts w:hint="eastAsia" w:ascii="微软雅黑" w:hAnsi="微软雅黑" w:eastAsia="微软雅黑" w:cs="微软雅黑"/>
          <w:snapToGrid w:val="0"/>
          <w:color w:val="000000"/>
          <w:spacing w:val="21"/>
          <w:kern w:val="0"/>
          <w:sz w:val="35"/>
          <w:szCs w:val="35"/>
          <w:lang w:val="en-US" w:eastAsia="zh-CN"/>
        </w:rPr>
      </w:pPr>
      <w:r>
        <w:rPr>
          <w:rFonts w:hint="eastAsia" w:ascii="微软雅黑" w:hAnsi="微软雅黑" w:eastAsia="微软雅黑" w:cs="微软雅黑"/>
          <w:snapToGrid w:val="0"/>
          <w:color w:val="000000"/>
          <w:spacing w:val="21"/>
          <w:kern w:val="0"/>
          <w:sz w:val="35"/>
          <w:szCs w:val="35"/>
          <w:lang w:val="en-US" w:eastAsia="zh-CN"/>
        </w:rPr>
        <w:t>第三章 发展思路</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第一节 指导思想</w:t>
      </w:r>
    </w:p>
    <w:p>
      <w:pPr>
        <w:keepNext w:val="0"/>
        <w:keepLines w:val="0"/>
        <w:pageBreakBefore w:val="0"/>
        <w:widowControl w:val="0"/>
        <w:wordWrap/>
        <w:overflowPunct/>
        <w:topLinePunct w:val="0"/>
        <w:bidi w:val="0"/>
        <w:spacing w:line="579" w:lineRule="exact"/>
        <w:rPr>
          <w:rFonts w:hint="eastAsia"/>
          <w:lang w:val="en-US" w:eastAsia="zh-CN"/>
        </w:rPr>
      </w:pP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以习近平新时代中国特色社会主义思想为指导，全面贯彻党的二十大和二十届一中、二中全会精神，立足新发展阶段，完整、准确、全面贯彻新发展理念，构建新发展格局，推动高质量发展，深入贯彻习近平生态文明思想和“四个革命、一合作”能源安全新战略，紧扣实现碳达峰、碳中和目标，结合珠海市国民经济和社会发展规划纲要、国土空间总体规划以及交通运输、物流、现代产业体系等相关规划，充分做好燃料电池汽车氢能需求保障，形成布局合理、适度超前、供需匹配、安全有序的加氢站供给网络保障体系。</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第二节 工作原则</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统筹规划、适度超前。</w:t>
      </w:r>
      <w:r>
        <w:rPr>
          <w:rFonts w:hint="eastAsia" w:ascii="仿宋_GB2312" w:hAnsi="仿宋_GB2312" w:eastAsia="仿宋_GB2312" w:cs="仿宋_GB2312"/>
          <w:sz w:val="32"/>
          <w:szCs w:val="32"/>
          <w:lang w:val="en-US" w:eastAsia="zh-CN"/>
        </w:rPr>
        <w:t>加强加氢站布局的顶层设计，加大交通、市政等公共资源协同力度，建立政企紧密合作、社会各方广泛参与的推进机制。以需求为导向，统筹加氢站合理布局、预留空间、满足不同阶段、不同领域、不同层次的需求。建立与人口分布、道路条件、城市规划情况及其他社会经济条件相协调，与城镇化格局相适应的加氢站整体布局。</w:t>
      </w:r>
    </w:p>
    <w:p>
      <w:pPr>
        <w:keepNext w:val="0"/>
        <w:keepLines w:val="0"/>
        <w:pageBreakBefore w:val="0"/>
        <w:widowControl w:val="0"/>
        <w:numPr>
          <w:ilvl w:val="0"/>
          <w:numId w:val="0"/>
        </w:numPr>
        <w:wordWrap/>
        <w:overflowPunct/>
        <w:topLinePunct w:val="0"/>
        <w:bidi w:val="0"/>
        <w:spacing w:line="579" w:lineRule="exact"/>
        <w:ind w:firstLine="642"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鼓励合建，高效集约。</w:t>
      </w:r>
      <w:r>
        <w:rPr>
          <w:rFonts w:hint="eastAsia" w:ascii="仿宋_GB2312" w:hAnsi="仿宋_GB2312" w:eastAsia="仿宋_GB2312" w:cs="仿宋_GB2312"/>
          <w:sz w:val="32"/>
          <w:szCs w:val="32"/>
          <w:lang w:val="en-US" w:eastAsia="zh-CN"/>
        </w:rPr>
        <w:t>提高土地利用效率，在满足安全防护间距基础上，推广加氢站与加油站、充电桩、换电站合并建设，提升土地利用效益。鼓励利用现有加油加气站的场地设施改扩建加氢站，推进改建或合建，盘活存量资源。</w:t>
      </w: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安全环保，规范建设。</w:t>
      </w:r>
      <w:r>
        <w:rPr>
          <w:rFonts w:hint="eastAsia" w:ascii="仿宋_GB2312" w:hAnsi="仿宋_GB2312" w:eastAsia="仿宋_GB2312" w:cs="仿宋_GB2312"/>
          <w:sz w:val="32"/>
          <w:szCs w:val="32"/>
          <w:lang w:val="en-US" w:eastAsia="zh-CN"/>
        </w:rPr>
        <w:t>以安全为根本要求，落实绿色环保和安全发展理念，严格按照国家标准及行业标准建设加氢站。规范加氢站建设运营程序，理顺管理流程，健全管理机制。实现加氢站平台化运营和监管，提高加氢服务的安全性、通用性和开放性，确保加氢站建设规范、安全运营。</w:t>
      </w: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市场主导，创新机制。</w:t>
      </w:r>
      <w:r>
        <w:rPr>
          <w:rFonts w:hint="eastAsia" w:ascii="仿宋_GB2312" w:hAnsi="仿宋_GB2312" w:eastAsia="仿宋_GB2312" w:cs="仿宋_GB2312"/>
          <w:sz w:val="32"/>
          <w:szCs w:val="32"/>
          <w:lang w:val="en-US" w:eastAsia="zh-CN"/>
        </w:rPr>
        <w:t>充分发挥市场主导作用，通过减免购车税收、创新金融模式，推进氢能产业生态体系建设，鼓励企业科技创新、商业与服务模式创新，实现可持续发展。加快完善政策环境，鼓励引导社会资本参与加氢站建设运营，激发市场活力。加强示范推广，为加氢站发展探索新途径，积累新经验。</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第三节 发展目标</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b w:val="0"/>
          <w:bCs w:val="0"/>
          <w:sz w:val="32"/>
          <w:szCs w:val="32"/>
          <w:lang w:val="en-US" w:eastAsia="zh-CN"/>
        </w:rPr>
      </w:pP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到2026年，围绕现有副产氢项目及规划建设的可再生能源制氢和生物质制氢项目等氢源条件，结合市内公交、跨市/跨境客车、冷链物流车、市政工程用车、重卡等车辆应用场景进行加氢站规划布局。优先利用现有已暂停营业及有转型计划的加气站、具备合建站条件的现有及规划新增加油站进行选址，以及应用场景周边未规划出让用地进行加氢站规划建设，结合珠海市内具有建设意向的企业规划建设加氢站15座。</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到2027年实现燃料电池汽车规模化推广示范，基本形成以工业副产氢为主，可再生能源制氢、生物质制氢为补充的氢源保障体系和服务当地、兼顾过境、衔接顺畅、安全有序的加氢网络体系，规划建设加氢站19座。</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line="579" w:lineRule="exact"/>
        <w:jc w:val="center"/>
        <w:textAlignment w:val="baseline"/>
        <w:outlineLvl w:val="0"/>
        <w:rPr>
          <w:rFonts w:hint="eastAsia" w:ascii="微软雅黑" w:hAnsi="微软雅黑" w:eastAsia="微软雅黑" w:cs="微软雅黑"/>
          <w:snapToGrid w:val="0"/>
          <w:color w:val="000000"/>
          <w:spacing w:val="21"/>
          <w:kern w:val="0"/>
          <w:sz w:val="35"/>
          <w:szCs w:val="35"/>
          <w:lang w:val="en-US" w:eastAsia="zh-CN"/>
        </w:rPr>
      </w:pPr>
      <w:r>
        <w:rPr>
          <w:rFonts w:hint="eastAsia" w:ascii="微软雅黑" w:hAnsi="微软雅黑" w:eastAsia="微软雅黑" w:cs="微软雅黑"/>
          <w:snapToGrid w:val="0"/>
          <w:color w:val="000000"/>
          <w:spacing w:val="21"/>
          <w:kern w:val="0"/>
          <w:sz w:val="35"/>
          <w:szCs w:val="35"/>
          <w:lang w:val="en-US" w:eastAsia="zh-CN" w:bidi="ar-SA"/>
        </w:rPr>
        <w:t xml:space="preserve">第四章 </w:t>
      </w:r>
      <w:r>
        <w:rPr>
          <w:rFonts w:hint="eastAsia" w:ascii="微软雅黑" w:hAnsi="微软雅黑" w:eastAsia="微软雅黑" w:cs="微软雅黑"/>
          <w:snapToGrid w:val="0"/>
          <w:color w:val="000000"/>
          <w:spacing w:val="21"/>
          <w:kern w:val="0"/>
          <w:sz w:val="35"/>
          <w:szCs w:val="35"/>
          <w:lang w:val="en-US" w:eastAsia="zh-CN"/>
        </w:rPr>
        <w:t>空间布局</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eastAsia"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第一节 布局原则</w:t>
      </w:r>
    </w:p>
    <w:p>
      <w:pPr>
        <w:keepNext w:val="0"/>
        <w:keepLines w:val="0"/>
        <w:pageBreakBefore w:val="0"/>
        <w:widowControl w:val="0"/>
        <w:wordWrap/>
        <w:overflowPunct/>
        <w:topLinePunct w:val="0"/>
        <w:bidi w:val="0"/>
        <w:spacing w:line="579" w:lineRule="exact"/>
        <w:rPr>
          <w:rFonts w:hint="eastAsia"/>
          <w:lang w:val="en-US" w:eastAsia="zh-CN"/>
        </w:rPr>
      </w:pP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与市级各规划相衔接。</w:t>
      </w:r>
      <w:r>
        <w:rPr>
          <w:rFonts w:hint="eastAsia" w:ascii="仿宋_GB2312" w:hAnsi="仿宋_GB2312" w:eastAsia="仿宋_GB2312" w:cs="仿宋_GB2312"/>
          <w:sz w:val="32"/>
          <w:szCs w:val="32"/>
          <w:lang w:val="en-US" w:eastAsia="zh-CN"/>
        </w:rPr>
        <w:t>加氢站的站址选择应符合市、区自然资源部门国土空间总体规划，市、区城市管理部门相关发展规划等，以及环境保护、消防安全等相关要求。同时，将经规划自然资源部门确认可以用来建设加氢站的土地列入优先考虑范畴。</w:t>
      </w: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合理布局，交通便利。</w:t>
      </w:r>
      <w:r>
        <w:rPr>
          <w:rFonts w:hint="eastAsia" w:ascii="仿宋_GB2312" w:hAnsi="仿宋_GB2312" w:eastAsia="仿宋_GB2312" w:cs="仿宋_GB2312"/>
          <w:sz w:val="32"/>
          <w:szCs w:val="32"/>
          <w:lang w:val="en-US" w:eastAsia="zh-CN"/>
        </w:rPr>
        <w:t>为确保加氢站加氢服务稳定、高效、拟建设加氢站的站内可利用面积宜不低于1000平方米。考虑氢燃料电池汽车加氢便利性，加氢站的站址选择宜靠近国道、省道、主干道、中心城区等交通便利位置。面向社会车辆提供商业化加氢服务的站点，应24小时对外开放。</w:t>
      </w: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优先利用现有加油（气）站以及内部专用场站。</w:t>
      </w:r>
      <w:r>
        <w:rPr>
          <w:rFonts w:hint="eastAsia" w:ascii="仿宋_GB2312" w:hAnsi="仿宋_GB2312" w:eastAsia="仿宋_GB2312" w:cs="仿宋_GB2312"/>
          <w:sz w:val="32"/>
          <w:szCs w:val="32"/>
          <w:lang w:val="en-US" w:eastAsia="zh-CN"/>
        </w:rPr>
        <w:t>考虑节约土地资源及建设投资成本，在条件允许的情况下，优先利用既有/规划新增的加油（气）站进行合建/改建，鼓励建设加氢加油（气）合建站。充分利用专用场站内用地，结合现有公交、环卫、货运等拥有自有场站或专用园区的车辆，在场站或园区建设内部专用加氢站，优先利用企业自有土地或租赁年限超过10年的租赁用地，具体建设位置结合相关专项规划。</w:t>
      </w: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车站相随，供需匹配。</w:t>
      </w:r>
      <w:r>
        <w:rPr>
          <w:rFonts w:hint="eastAsia" w:ascii="仿宋_GB2312" w:hAnsi="仿宋_GB2312" w:eastAsia="仿宋_GB2312" w:cs="仿宋_GB2312"/>
          <w:sz w:val="32"/>
          <w:szCs w:val="32"/>
          <w:lang w:val="en-US" w:eastAsia="zh-CN"/>
        </w:rPr>
        <w:t>紧密结合车辆推广计划、具备固定路线和场景区域、车辆运行特征，统筹考虑氢源供应规模、车辆加氢成本、土地建设条件、技术工艺方式、产业发展潜力、商业模式创新等因素，坚持车站相随，供需匹配。</w:t>
      </w:r>
    </w:p>
    <w:p>
      <w:pPr>
        <w:keepNext w:val="0"/>
        <w:keepLines w:val="0"/>
        <w:pageBreakBefore w:val="0"/>
        <w:widowControl w:val="0"/>
        <w:numPr>
          <w:ilvl w:val="0"/>
          <w:numId w:val="0"/>
        </w:numPr>
        <w:wordWrap/>
        <w:overflowPunct/>
        <w:topLinePunct w:val="0"/>
        <w:bidi w:val="0"/>
        <w:spacing w:line="579" w:lineRule="exact"/>
        <w:ind w:firstLine="642"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安全第一，动态调整。</w:t>
      </w:r>
      <w:r>
        <w:rPr>
          <w:rFonts w:hint="eastAsia" w:ascii="仿宋_GB2312" w:hAnsi="仿宋_GB2312" w:eastAsia="仿宋_GB2312" w:cs="仿宋_GB2312"/>
          <w:sz w:val="32"/>
          <w:szCs w:val="32"/>
          <w:lang w:val="en-US" w:eastAsia="zh-CN"/>
        </w:rPr>
        <w:t>规划要将氢能基础设施建设项目的安全性摆在首位，注重现行法律法规的符合性。对接氢能产业发展规划，持续推进建设氢能基础设施，结合发展实际，进行动态调整。</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p>
    <w:p>
      <w:pPr>
        <w:keepNext w:val="0"/>
        <w:keepLines w:val="0"/>
        <w:pageBreakBefore w:val="0"/>
        <w:widowControl w:val="0"/>
        <w:kinsoku w:val="0"/>
        <w:wordWrap/>
        <w:overflowPunct/>
        <w:topLinePunct w:val="0"/>
        <w:autoSpaceDE w:val="0"/>
        <w:autoSpaceDN w:val="0"/>
        <w:bidi w:val="0"/>
        <w:adjustRightInd w:val="0"/>
        <w:snapToGrid w:val="0"/>
        <w:spacing w:line="579" w:lineRule="exact"/>
        <w:jc w:val="center"/>
        <w:textAlignment w:val="baseline"/>
        <w:outlineLvl w:val="1"/>
        <w:rPr>
          <w:rFonts w:hint="eastAsia"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第二节 布局方案</w:t>
      </w:r>
    </w:p>
    <w:p>
      <w:pPr>
        <w:keepNext w:val="0"/>
        <w:keepLines w:val="0"/>
        <w:pageBreakBefore w:val="0"/>
        <w:widowControl w:val="0"/>
        <w:wordWrap/>
        <w:overflowPunct/>
        <w:topLinePunct w:val="0"/>
        <w:bidi w:val="0"/>
        <w:spacing w:line="579" w:lineRule="exact"/>
        <w:rPr>
          <w:rFonts w:hint="eastAsia"/>
          <w:lang w:val="en-US" w:eastAsia="zh-CN"/>
        </w:rPr>
      </w:pPr>
    </w:p>
    <w:p>
      <w:pPr>
        <w:keepNext w:val="0"/>
        <w:keepLines w:val="0"/>
        <w:pageBreakBefore w:val="0"/>
        <w:widowControl w:val="0"/>
        <w:wordWrap/>
        <w:overflowPunct/>
        <w:topLinePunct w:val="0"/>
        <w:bidi w:val="0"/>
        <w:spacing w:line="579" w:lineRule="exact"/>
        <w:ind w:firstLine="640" w:firstLineChars="200"/>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一、珠海市加氢站规划总体布局</w:t>
      </w:r>
    </w:p>
    <w:p>
      <w:pPr>
        <w:keepNext w:val="0"/>
        <w:keepLines w:val="0"/>
        <w:pageBreakBefore w:val="0"/>
        <w:widowControl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2026年前，借鉴氢能产业先发地区发展经验，紧跟广东省燃料电池汽车示范城市群建设步伐，结合珠海市燃料电池车辆潜在应用场景分析，根据氢源项目、加气/加油站基础设施布局情况，力争建成投运加氢站15座。</w:t>
      </w:r>
    </w:p>
    <w:p>
      <w:pPr>
        <w:keepNext w:val="0"/>
        <w:keepLines w:val="0"/>
        <w:pageBreakBefore w:val="0"/>
        <w:widowControl w:val="0"/>
        <w:numPr>
          <w:ilvl w:val="0"/>
          <w:numId w:val="0"/>
        </w:numPr>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到2027年前，立足区域示范效果，推动燃料电池汽车规模化发展，进一步扩大加氢站服务辐射范围，围绕以珠海机场、珠海港、珠海口岸为枢纽，广佛江珠高速、珠三角环线高速、西部沿海高速以及粤港澳大桥为主骨架的现代化综合立体交通网络，形成规划布局合理、结构灵活多样、安全保障优先、滚动有序调控的燃料电池汽车车用氢能供给保障体系，累计建成并投运加氢站19座。为保障19座加氢站顺利开展建设，具体建设形式和规模可根据实际市场需求和场站条件进行动态调整和变更，但总体加氢站供氢规模不低于20吨/天。</w:t>
      </w:r>
    </w:p>
    <w:p>
      <w:pPr>
        <w:pStyle w:val="8"/>
        <w:jc w:val="center"/>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表4-1 珠海市总体规划加氢站分布</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5"/>
        <w:gridCol w:w="1695"/>
        <w:gridCol w:w="1695"/>
        <w:gridCol w:w="1696"/>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片区编号</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片区名称</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2024-2026年规划加氢站数量</w:t>
            </w:r>
          </w:p>
        </w:tc>
        <w:tc>
          <w:tcPr>
            <w:tcW w:w="1696" w:type="dxa"/>
            <w:vAlign w:val="center"/>
          </w:tcPr>
          <w:p>
            <w:pPr>
              <w:numPr>
                <w:ilvl w:val="0"/>
                <w:numId w:val="0"/>
              </w:numPr>
              <w:jc w:val="center"/>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2027年规划加氢站数量</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合计数量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香洲区</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金湾区</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斗门区</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3390" w:type="dxa"/>
            <w:gridSpan w:val="2"/>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小计</w:t>
            </w:r>
          </w:p>
        </w:tc>
        <w:tc>
          <w:tcPr>
            <w:tcW w:w="1695"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15</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1696" w:type="dxa"/>
            <w:vAlign w:val="center"/>
          </w:tcPr>
          <w:p>
            <w:pPr>
              <w:numPr>
                <w:ilvl w:val="0"/>
                <w:numId w:val="0"/>
              </w:numPr>
              <w:jc w:val="center"/>
              <w:rPr>
                <w:rFonts w:hint="default"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19</w:t>
            </w:r>
          </w:p>
        </w:tc>
      </w:tr>
    </w:tbl>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二、分区布局方案</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（一）香洲区</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珠海市香洲区燃料电池汽车潜在应用场景以及现有/规划的加油/加气站建设情况，结合加氢站布局规范要求，到2027年香洲区需建成投运加氢站8座。空间分布为：唐家湾镇1座、南屏镇2座、横琴镇1座，梅华街道1座、拱北街道1座、前山街道2座；建设类型为：加油加氢合建站3座，改建/新建加氢站5座。</w:t>
      </w:r>
    </w:p>
    <w:p>
      <w:pPr>
        <w:bidi w:val="0"/>
        <w:jc w:val="center"/>
        <w:rPr>
          <w:rFonts w:hint="eastAsia"/>
          <w:lang w:val="en-US" w:eastAsia="zh-CN"/>
        </w:rPr>
      </w:pPr>
      <w:r>
        <w:rPr>
          <w:rFonts w:hint="eastAsia"/>
          <w:lang w:val="en-US" w:eastAsia="zh-CN"/>
        </w:rPr>
        <w:drawing>
          <wp:inline distT="0" distB="0" distL="114300" distR="114300">
            <wp:extent cx="4905375" cy="4664075"/>
            <wp:effectExtent l="0" t="0" r="9525" b="3175"/>
            <wp:docPr id="3" name="图片 3" descr="5b152fbab799f5c14c330ea5e9339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5b152fbab799f5c14c330ea5e933900"/>
                    <pic:cNvPicPr>
                      <a:picLocks noChangeAspect="true"/>
                    </pic:cNvPicPr>
                  </pic:nvPicPr>
                  <pic:blipFill>
                    <a:blip r:embed="rId8"/>
                    <a:srcRect l="2854" t="3973" r="4118" b="4558"/>
                    <a:stretch>
                      <a:fillRect/>
                    </a:stretch>
                  </pic:blipFill>
                  <pic:spPr>
                    <a:xfrm>
                      <a:off x="0" y="0"/>
                      <a:ext cx="4905375" cy="4664075"/>
                    </a:xfrm>
                    <a:prstGeom prst="rect">
                      <a:avLst/>
                    </a:prstGeom>
                  </pic:spPr>
                </pic:pic>
              </a:graphicData>
            </a:graphic>
          </wp:inline>
        </w:drawing>
      </w:r>
    </w:p>
    <w:p>
      <w:pPr>
        <w:bidi w:val="0"/>
        <w:jc w:val="center"/>
        <w:rPr>
          <w:rFonts w:hint="eastAsia" w:ascii="仿宋_GB2312" w:hAnsi="仿宋_GB2312" w:eastAsia="仿宋_GB2312" w:cs="仿宋_GB2312"/>
          <w:sz w:val="32"/>
          <w:szCs w:val="32"/>
          <w:lang w:val="en-US" w:eastAsia="zh-CN"/>
        </w:rPr>
      </w:pPr>
      <w:r>
        <w:rPr>
          <w:rFonts w:hint="eastAsia" w:ascii="黑体" w:hAnsi="黑体" w:eastAsia="黑体" w:cs="黑体"/>
          <w:sz w:val="28"/>
          <w:szCs w:val="28"/>
          <w:lang w:val="en-US" w:eastAsia="zh-CN"/>
        </w:rPr>
        <w:t>图4-1 香洲区规划加氢站具体点位布置图</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（二）金湾区</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珠海市金湾区燃料电池汽车潜在应用场景以及现有/规划的加油/加气站建设情况，结合加氢站布局规范要求，到2027年金湾区需建成投运加氢站7座。空间分布为：南水镇3座、三灶镇2座、平沙镇2座；建设类型为：加油加氢合建站3座，改建/新建加氢站4座。</w:t>
      </w:r>
    </w:p>
    <w:p>
      <w:pPr>
        <w:bidi w:val="0"/>
        <w:rPr>
          <w:rFonts w:hint="eastAsia"/>
          <w:lang w:val="en-US" w:eastAsia="zh-CN"/>
        </w:rPr>
      </w:pPr>
      <w:r>
        <w:rPr>
          <w:rFonts w:hint="eastAsia"/>
          <w:lang w:val="en-US" w:eastAsia="zh-CN"/>
        </w:rPr>
        <w:drawing>
          <wp:inline distT="0" distB="0" distL="114300" distR="114300">
            <wp:extent cx="5191125" cy="4942840"/>
            <wp:effectExtent l="0" t="0" r="9525" b="10160"/>
            <wp:docPr id="6" name="图片 6" descr="2705bf6fea4878203222ac281ed72e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2705bf6fea4878203222ac281ed72ec"/>
                    <pic:cNvPicPr>
                      <a:picLocks noChangeAspect="true"/>
                    </pic:cNvPicPr>
                  </pic:nvPicPr>
                  <pic:blipFill>
                    <a:blip r:embed="rId9"/>
                    <a:srcRect t="3228" r="1542" b="3023"/>
                    <a:stretch>
                      <a:fillRect/>
                    </a:stretch>
                  </pic:blipFill>
                  <pic:spPr>
                    <a:xfrm>
                      <a:off x="0" y="0"/>
                      <a:ext cx="5191125" cy="4942840"/>
                    </a:xfrm>
                    <a:prstGeom prst="rect">
                      <a:avLst/>
                    </a:prstGeom>
                  </pic:spPr>
                </pic:pic>
              </a:graphicData>
            </a:graphic>
          </wp:inline>
        </w:drawing>
      </w:r>
    </w:p>
    <w:p>
      <w:pPr>
        <w:bidi w:val="0"/>
        <w:jc w:val="center"/>
        <w:rPr>
          <w:rFonts w:hint="eastAsia" w:ascii="仿宋_GB2312" w:hAnsi="仿宋_GB2312" w:eastAsia="仿宋_GB2312" w:cs="仿宋_GB2312"/>
          <w:sz w:val="32"/>
          <w:szCs w:val="32"/>
          <w:lang w:val="en-US" w:eastAsia="zh-CN"/>
        </w:rPr>
      </w:pPr>
      <w:r>
        <w:rPr>
          <w:rFonts w:hint="eastAsia" w:ascii="黑体" w:hAnsi="黑体" w:eastAsia="黑体" w:cs="黑体"/>
          <w:sz w:val="28"/>
          <w:szCs w:val="28"/>
          <w:lang w:val="en-US" w:eastAsia="zh-CN"/>
        </w:rPr>
        <w:t>图4-2 金湾区规划加氢站具体点位布置图</w:t>
      </w:r>
    </w:p>
    <w:p>
      <w:pPr>
        <w:keepNext w:val="0"/>
        <w:keepLines w:val="0"/>
        <w:pageBreakBefore w:val="0"/>
        <w:widowControl w:val="0"/>
        <w:numPr>
          <w:ilvl w:val="0"/>
          <w:numId w:val="0"/>
        </w:numPr>
        <w:kinsoku/>
        <w:wordWrap/>
        <w:overflowPunct/>
        <w:topLinePunct w:val="0"/>
        <w:autoSpaceDE/>
        <w:autoSpaceDN/>
        <w:bidi w:val="0"/>
        <w:adjustRightInd/>
        <w:snapToGrid/>
        <w:spacing w:line="579" w:lineRule="atLeast"/>
        <w:ind w:firstLine="640" w:firstLineChars="20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79" w:lineRule="atLeas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（三）斗门区</w:t>
      </w:r>
    </w:p>
    <w:p>
      <w:pPr>
        <w:keepNext w:val="0"/>
        <w:keepLines w:val="0"/>
        <w:pageBreakBefore w:val="0"/>
        <w:widowControl w:val="0"/>
        <w:numPr>
          <w:ilvl w:val="0"/>
          <w:numId w:val="0"/>
        </w:numPr>
        <w:kinsoku/>
        <w:wordWrap/>
        <w:overflowPunct/>
        <w:topLinePunct w:val="0"/>
        <w:autoSpaceDE/>
        <w:autoSpaceDN/>
        <w:bidi w:val="0"/>
        <w:adjustRightInd/>
        <w:snapToGrid/>
        <w:spacing w:line="579" w:lineRule="atLeas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珠海市斗门区燃料电池汽车潜在应用场景以及现有/规划的加油/加气站建设情况，结合加氢站布局规范要求，到2027年斗门区需建成投运加氢站4座。空间分布为：乾务镇1座、井岸镇2座、莲洲镇1座；建设类型为：加油加氢合建站3座，改建/新建加氢站1座。</w:t>
      </w:r>
    </w:p>
    <w:p>
      <w:pPr>
        <w:bidi w:val="0"/>
        <w:rPr>
          <w:rFonts w:hint="eastAsia"/>
          <w:lang w:val="en-US" w:eastAsia="zh-CN"/>
        </w:rPr>
      </w:pPr>
      <w:r>
        <w:rPr>
          <w:rFonts w:hint="eastAsia"/>
          <w:lang w:val="en-US" w:eastAsia="zh-CN"/>
        </w:rPr>
        <w:drawing>
          <wp:inline distT="0" distB="0" distL="114300" distR="114300">
            <wp:extent cx="5015865" cy="4806950"/>
            <wp:effectExtent l="0" t="0" r="13335" b="12700"/>
            <wp:docPr id="8" name="图片 8" descr="4b5e821646e16e611f09b1c4d80c5af"/>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4b5e821646e16e611f09b1c4d80c5af"/>
                    <pic:cNvPicPr>
                      <a:picLocks noChangeAspect="true"/>
                    </pic:cNvPicPr>
                  </pic:nvPicPr>
                  <pic:blipFill>
                    <a:blip r:embed="rId10"/>
                    <a:srcRect t="4239" r="4866" b="4589"/>
                    <a:stretch>
                      <a:fillRect/>
                    </a:stretch>
                  </pic:blipFill>
                  <pic:spPr>
                    <a:xfrm>
                      <a:off x="0" y="0"/>
                      <a:ext cx="5015865" cy="4806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28"/>
          <w:szCs w:val="28"/>
          <w:lang w:val="en-US" w:eastAsia="zh-CN"/>
        </w:rPr>
        <w:t>图4-3 斗门区规划加氢站具体点位布置图</w:t>
      </w:r>
    </w:p>
    <w:p>
      <w:pPr>
        <w:keepNext w:val="0"/>
        <w:keepLines w:val="0"/>
        <w:pageBreakBefore w:val="0"/>
        <w:widowControl w:val="0"/>
        <w:kinsoku/>
        <w:wordWrap/>
        <w:overflowPunct/>
        <w:topLinePunct w:val="0"/>
        <w:autoSpaceDE/>
        <w:autoSpaceDN/>
        <w:bidi w:val="0"/>
        <w:adjustRightInd/>
        <w:snapToGrid/>
        <w:spacing w:line="440" w:lineRule="exact"/>
        <w:ind w:firstLine="640" w:firstLineChars="200"/>
        <w:textAlignment w:val="auto"/>
        <w:rPr>
          <w:rFonts w:hint="eastAsia" w:ascii="楷体" w:hAnsi="楷体" w:eastAsia="楷体" w:cs="楷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textAlignment w:val="auto"/>
        <w:rPr>
          <w:rFonts w:hint="default" w:ascii="楷体" w:hAnsi="楷体" w:eastAsia="楷体" w:cs="楷体"/>
          <w:sz w:val="32"/>
          <w:szCs w:val="32"/>
          <w:lang w:val="en-US" w:eastAsia="zh-CN"/>
        </w:rPr>
      </w:pPr>
      <w:r>
        <w:rPr>
          <w:rFonts w:hint="eastAsia" w:ascii="楷体" w:hAnsi="楷体" w:eastAsia="楷体" w:cs="楷体"/>
          <w:sz w:val="32"/>
          <w:szCs w:val="32"/>
          <w:lang w:val="en-US" w:eastAsia="zh-CN"/>
        </w:rPr>
        <w:t>三、建设推进计划</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根据前文规划在2023-2027年建设加氢站19座，结合珠海市燃料电池汽车推广计划及应用场景分析情况，对规划建设的加氢站进行时序安排，具体遵循以下原则：</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（1）将目前已注销营业的加气站列入近期计划，改建为加氢站；将目前在运营但存在销量逐步降低，面临转型计划的加气站列入中远期计划；</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（2）将《珠海市成品油零售体系十四五发展规划》中拟建设年度在2025年之前规划建设的加油站列入近期计划，建设为加油加氢站建设；将2025年之后规划建设的加油站列入中远期计划；</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（3）将氢源项目周边以及港口、物流园等应用场景集聚并且具有未出让用地的区域地块列入近期建设计划；</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针对19座规划建设的加氢站，规划作出近期（2024-2026年）、中远期（-2027年）建议性安排。其中近期推进建设加氢站15座，中远期推进建设加氢站4座，具体推进加氢站如下表所示：</w:t>
      </w:r>
    </w:p>
    <w:p>
      <w:pPr>
        <w:numPr>
          <w:ilvl w:val="0"/>
          <w:numId w:val="0"/>
        </w:numPr>
        <w:jc w:val="center"/>
        <w:rPr>
          <w:rFonts w:hint="default" w:ascii="仿宋_GB2312" w:hAnsi="仿宋_GB2312" w:eastAsia="仿宋_GB2312" w:cs="仿宋_GB2312"/>
          <w:sz w:val="28"/>
          <w:szCs w:val="28"/>
          <w:lang w:val="en-US" w:eastAsia="zh-CN"/>
        </w:rPr>
      </w:pPr>
      <w:r>
        <w:rPr>
          <w:rFonts w:hint="eastAsia" w:ascii="黑体" w:hAnsi="黑体" w:eastAsia="黑体" w:cs="黑体"/>
          <w:sz w:val="28"/>
          <w:szCs w:val="28"/>
          <w:lang w:val="en-US" w:eastAsia="zh-CN"/>
        </w:rPr>
        <w:t>表4-2珠海市加氢站建设时间表</w:t>
      </w:r>
    </w:p>
    <w:tbl>
      <w:tblPr>
        <w:tblStyle w:val="11"/>
        <w:tblW w:w="0" w:type="auto"/>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828"/>
        <w:gridCol w:w="1139"/>
        <w:gridCol w:w="1626"/>
        <w:gridCol w:w="1991"/>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序号</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站点名称</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所在区域</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地址</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建设方式</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建设时间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725"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H1</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上冲加氢站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香洲区</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珠海市香洲区翠屏路上冲公交总站内</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改建，在目前已暂停营业的加气站基础上改建成加氢站</w:t>
            </w:r>
          </w:p>
        </w:tc>
        <w:tc>
          <w:tcPr>
            <w:tcW w:w="1297"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H2</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粤海西路加氢站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香洲区</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珠海市香洲区港三路与白石路交叉口</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改建，在目前已暂停营业的加气站基础上改建成加氢站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H3</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南屏大湾底加氢站</w:t>
            </w:r>
          </w:p>
        </w:tc>
        <w:tc>
          <w:tcPr>
            <w:tcW w:w="1139"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香洲区</w:t>
            </w:r>
          </w:p>
        </w:tc>
        <w:tc>
          <w:tcPr>
            <w:tcW w:w="1626"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default" w:ascii="仿宋_GB2312" w:hAnsi="仿宋_GB2312" w:eastAsia="仿宋_GB2312" w:cs="仿宋_GB2312"/>
                <w:sz w:val="24"/>
                <w:szCs w:val="24"/>
                <w:vertAlign w:val="baseline"/>
                <w:lang w:val="en-US" w:eastAsia="zh-CN"/>
              </w:rPr>
              <w:t>珠海市香洲区南屏镇大湾底村</w:t>
            </w:r>
          </w:p>
        </w:tc>
        <w:tc>
          <w:tcPr>
            <w:tcW w:w="1991"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改建，在目前珠海港LNG-CNG汽车加气站上改建成加氢站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H4</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洪湾加油加氢站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香洲区</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南湾城区港平五路与港纵四路交叉口</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合建，在珠海市成品油零售体系“十四五”发展规划中新增规划的洪湾加油站上合建加油加氢站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H5</w:t>
            </w:r>
          </w:p>
        </w:tc>
        <w:tc>
          <w:tcPr>
            <w:tcW w:w="1828"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横琴大道加油加氢站</w:t>
            </w:r>
          </w:p>
        </w:tc>
        <w:tc>
          <w:tcPr>
            <w:tcW w:w="1139"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香洲区</w:t>
            </w:r>
          </w:p>
        </w:tc>
        <w:tc>
          <w:tcPr>
            <w:tcW w:w="1626"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横琴大道-艺文三道西北侧</w:t>
            </w:r>
          </w:p>
        </w:tc>
        <w:tc>
          <w:tcPr>
            <w:tcW w:w="1991"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合建，在珠海市成品油零售体系“十四五”发展规划中新增规划的横琴大道加油站上合建加油加氢站</w:t>
            </w:r>
          </w:p>
        </w:tc>
        <w:tc>
          <w:tcPr>
            <w:tcW w:w="1297"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H6</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北围加油加氢站</w:t>
            </w:r>
          </w:p>
        </w:tc>
        <w:tc>
          <w:tcPr>
            <w:tcW w:w="1139"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香洲区</w:t>
            </w:r>
          </w:p>
        </w:tc>
        <w:tc>
          <w:tcPr>
            <w:tcW w:w="1626"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岐关路-京</w:t>
            </w:r>
          </w:p>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珠高速东侧</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合建，在珠海市成品油零售体系“十四五”发展规划中新增规划的北围加油站上合建加油加氢站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H7</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东方加氢站</w:t>
            </w:r>
          </w:p>
        </w:tc>
        <w:tc>
          <w:tcPr>
            <w:tcW w:w="1139"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香洲区</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珠海市香洲区粤海中路2083号</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改建，在目前的加气站上改建成加氢站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H8</w:t>
            </w:r>
          </w:p>
        </w:tc>
        <w:tc>
          <w:tcPr>
            <w:tcW w:w="1828"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南沙湾加氢站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香洲区</w:t>
            </w:r>
          </w:p>
        </w:tc>
        <w:tc>
          <w:tcPr>
            <w:tcW w:w="1626"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珠海市香洲区前山南沙湾珠海港CNG加气站</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改建，在目前的加气站上改建成加氢站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H9</w:t>
            </w:r>
          </w:p>
        </w:tc>
        <w:tc>
          <w:tcPr>
            <w:tcW w:w="1828"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平沙加氢站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金湾区</w:t>
            </w:r>
          </w:p>
        </w:tc>
        <w:tc>
          <w:tcPr>
            <w:tcW w:w="1626"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珠海市金湾区平沙四路</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改建，在目前的加气站上改建成加氢站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H10</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高栏港加氢站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金湾区</w:t>
            </w:r>
          </w:p>
        </w:tc>
        <w:tc>
          <w:tcPr>
            <w:tcW w:w="1626"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珠海市金湾区石化七路与平湾二路区域</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新建，金湾区石化七路周边</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H11</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三灶加氢站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金湾区</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珠海市金湾区三灶镇南通路公交停车场内</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改建，在目前已暂停营业的加气站基础上改建成加氢站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H12</w:t>
            </w:r>
          </w:p>
        </w:tc>
        <w:tc>
          <w:tcPr>
            <w:tcW w:w="1828"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白龙河加油加氢站</w:t>
            </w:r>
          </w:p>
        </w:tc>
        <w:tc>
          <w:tcPr>
            <w:tcW w:w="1139" w:type="dxa"/>
            <w:vAlign w:val="center"/>
          </w:tcPr>
          <w:p>
            <w:pPr>
              <w:bidi w:val="0"/>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金湾区</w:t>
            </w:r>
          </w:p>
        </w:tc>
        <w:tc>
          <w:tcPr>
            <w:tcW w:w="1626"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广东省珠海市金湾区机场东路-鱼跃五路东侧</w:t>
            </w:r>
          </w:p>
        </w:tc>
        <w:tc>
          <w:tcPr>
            <w:tcW w:w="1991"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合建，在珠海市成品油零售体系“十四五”发展规划中新增规划的白龙河加油站上合建加油加氢站</w:t>
            </w:r>
          </w:p>
        </w:tc>
        <w:tc>
          <w:tcPr>
            <w:tcW w:w="1297"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H13</w:t>
            </w:r>
          </w:p>
        </w:tc>
        <w:tc>
          <w:tcPr>
            <w:tcW w:w="1828"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南化加氢站</w:t>
            </w:r>
          </w:p>
        </w:tc>
        <w:tc>
          <w:tcPr>
            <w:tcW w:w="1139" w:type="dxa"/>
            <w:vAlign w:val="center"/>
          </w:tcPr>
          <w:p>
            <w:pPr>
              <w:bidi w:val="0"/>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金湾区</w:t>
            </w:r>
          </w:p>
        </w:tc>
        <w:tc>
          <w:tcPr>
            <w:tcW w:w="1626"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珠海市金湾区化联四路</w:t>
            </w:r>
          </w:p>
        </w:tc>
        <w:tc>
          <w:tcPr>
            <w:tcW w:w="1991"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改建，在目前已暂停营业的加气站基础上改建成加氢站</w:t>
            </w:r>
          </w:p>
        </w:tc>
        <w:tc>
          <w:tcPr>
            <w:tcW w:w="1297"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H14</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国码加油加氢站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金湾区</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珠海市金湾区高栏港集装箱码头作业区</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合建，在珠海市成品油零售体系“十四五”发展规划中新增规划的国码加油站上合建加油加氢站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H15</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平沙北加油加氢站</w:t>
            </w:r>
          </w:p>
        </w:tc>
        <w:tc>
          <w:tcPr>
            <w:tcW w:w="1139"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金湾区</w:t>
            </w:r>
          </w:p>
        </w:tc>
        <w:tc>
          <w:tcPr>
            <w:tcW w:w="1626" w:type="dxa"/>
            <w:vAlign w:val="center"/>
          </w:tcPr>
          <w:p>
            <w:pPr>
              <w:bidi w:val="0"/>
              <w:jc w:val="center"/>
              <w:rPr>
                <w:rFonts w:hint="default"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highlight w:val="none"/>
              </w:rPr>
              <w:t>珠海市平沙镇</w:t>
            </w:r>
            <w:r>
              <w:rPr>
                <w:rFonts w:hint="eastAsia" w:ascii="仿宋_GB2312" w:hAnsi="仿宋_GB2312" w:eastAsia="仿宋_GB2312" w:cs="仿宋_GB2312"/>
                <w:sz w:val="24"/>
                <w:szCs w:val="24"/>
                <w:highlight w:val="none"/>
                <w:lang w:val="en-US" w:eastAsia="zh-CN"/>
              </w:rPr>
              <w:t>升平大道中以南</w:t>
            </w:r>
          </w:p>
        </w:tc>
        <w:tc>
          <w:tcPr>
            <w:tcW w:w="1991" w:type="dxa"/>
            <w:vAlign w:val="center"/>
          </w:tcPr>
          <w:p>
            <w:pPr>
              <w:bidi w:val="0"/>
              <w:jc w:val="center"/>
              <w:rPr>
                <w:rFonts w:hint="eastAsia" w:ascii="仿宋_GB2312" w:hAnsi="仿宋_GB2312" w:eastAsia="仿宋_GB2312" w:cs="仿宋_GB2312"/>
                <w:kern w:val="2"/>
                <w:sz w:val="24"/>
                <w:szCs w:val="24"/>
                <w:vertAlign w:val="baseline"/>
                <w:lang w:val="en-US" w:eastAsia="zh-CN" w:bidi="ar-SA"/>
              </w:rPr>
            </w:pPr>
            <w:r>
              <w:rPr>
                <w:rFonts w:hint="eastAsia" w:ascii="仿宋_GB2312" w:hAnsi="仿宋_GB2312" w:eastAsia="仿宋_GB2312" w:cs="仿宋_GB2312"/>
                <w:sz w:val="24"/>
                <w:szCs w:val="24"/>
                <w:vertAlign w:val="baseline"/>
                <w:lang w:val="en-US" w:eastAsia="zh-CN"/>
              </w:rPr>
              <w:t>合建，在珠海市成品油零售体系“十四五”发展规划中新增规划的平沙北加油站上合建加油加氢站</w:t>
            </w:r>
          </w:p>
        </w:tc>
        <w:tc>
          <w:tcPr>
            <w:tcW w:w="1297"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vertAlign w:val="baseline"/>
                <w:lang w:val="en-US" w:eastAsia="zh-CN"/>
              </w:rPr>
              <w:t>-2027年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highlight w:val="yellow"/>
                <w:vertAlign w:val="baseline"/>
                <w:lang w:val="en-US" w:eastAsia="zh-CN"/>
              </w:rPr>
            </w:pPr>
            <w:r>
              <w:rPr>
                <w:rFonts w:hint="eastAsia" w:ascii="仿宋_GB2312" w:hAnsi="仿宋_GB2312" w:eastAsia="仿宋_GB2312" w:cs="仿宋_GB2312"/>
                <w:sz w:val="24"/>
                <w:szCs w:val="24"/>
                <w:vertAlign w:val="baseline"/>
                <w:lang w:val="en-US" w:eastAsia="zh-CN"/>
              </w:rPr>
              <w:t>H16</w:t>
            </w:r>
          </w:p>
        </w:tc>
        <w:tc>
          <w:tcPr>
            <w:tcW w:w="1828" w:type="dxa"/>
            <w:vAlign w:val="center"/>
          </w:tcPr>
          <w:p>
            <w:pPr>
              <w:bidi w:val="0"/>
              <w:jc w:val="center"/>
              <w:rPr>
                <w:rFonts w:hint="eastAsia" w:ascii="仿宋_GB2312" w:hAnsi="仿宋_GB2312" w:eastAsia="仿宋_GB2312" w:cs="仿宋_GB2312"/>
                <w:sz w:val="24"/>
                <w:szCs w:val="24"/>
                <w:highlight w:val="yellow"/>
                <w:vertAlign w:val="baseline"/>
                <w:lang w:val="en-US" w:eastAsia="zh-CN"/>
              </w:rPr>
            </w:pPr>
            <w:r>
              <w:rPr>
                <w:rFonts w:hint="eastAsia" w:ascii="仿宋_GB2312" w:hAnsi="仿宋_GB2312" w:eastAsia="仿宋_GB2312" w:cs="仿宋_GB2312"/>
                <w:sz w:val="24"/>
                <w:szCs w:val="24"/>
                <w:vertAlign w:val="baseline"/>
                <w:lang w:val="en-US" w:eastAsia="zh-CN"/>
              </w:rPr>
              <w:t>斗门加氢站</w:t>
            </w:r>
          </w:p>
        </w:tc>
        <w:tc>
          <w:tcPr>
            <w:tcW w:w="1139" w:type="dxa"/>
            <w:vAlign w:val="center"/>
          </w:tcPr>
          <w:p>
            <w:pPr>
              <w:bidi w:val="0"/>
              <w:jc w:val="center"/>
              <w:rPr>
                <w:rFonts w:hint="eastAsia" w:ascii="仿宋_GB2312" w:hAnsi="仿宋_GB2312" w:eastAsia="仿宋_GB2312" w:cs="仿宋_GB2312"/>
                <w:sz w:val="24"/>
                <w:szCs w:val="24"/>
                <w:highlight w:val="yellow"/>
                <w:vertAlign w:val="baseline"/>
                <w:lang w:val="en-US" w:eastAsia="zh-CN"/>
              </w:rPr>
            </w:pPr>
            <w:r>
              <w:rPr>
                <w:rFonts w:hint="eastAsia" w:ascii="仿宋_GB2312" w:hAnsi="仿宋_GB2312" w:eastAsia="仿宋_GB2312" w:cs="仿宋_GB2312"/>
                <w:sz w:val="24"/>
                <w:szCs w:val="24"/>
                <w:vertAlign w:val="baseline"/>
                <w:lang w:val="en-US" w:eastAsia="zh-CN"/>
              </w:rPr>
              <w:t>斗门区</w:t>
            </w:r>
          </w:p>
        </w:tc>
        <w:tc>
          <w:tcPr>
            <w:tcW w:w="1626" w:type="dxa"/>
            <w:vAlign w:val="center"/>
          </w:tcPr>
          <w:p>
            <w:pPr>
              <w:bidi w:val="0"/>
              <w:jc w:val="center"/>
              <w:rPr>
                <w:rFonts w:hint="eastAsia" w:ascii="仿宋_GB2312" w:hAnsi="仿宋_GB2312" w:eastAsia="仿宋_GB2312" w:cs="仿宋_GB2312"/>
                <w:sz w:val="24"/>
                <w:szCs w:val="24"/>
                <w:highlight w:val="yellow"/>
                <w:vertAlign w:val="baseline"/>
                <w:lang w:val="en-US" w:eastAsia="zh-CN"/>
              </w:rPr>
            </w:pPr>
            <w:r>
              <w:rPr>
                <w:rFonts w:hint="eastAsia" w:ascii="仿宋_GB2312" w:hAnsi="仿宋_GB2312" w:eastAsia="仿宋_GB2312" w:cs="仿宋_GB2312"/>
                <w:sz w:val="24"/>
                <w:szCs w:val="24"/>
                <w:vertAlign w:val="baseline"/>
                <w:lang w:val="en-US" w:eastAsia="zh-CN"/>
              </w:rPr>
              <w:t>珠海市斗门区井岸镇工业大道421号</w:t>
            </w:r>
          </w:p>
        </w:tc>
        <w:tc>
          <w:tcPr>
            <w:tcW w:w="1991" w:type="dxa"/>
            <w:vAlign w:val="center"/>
          </w:tcPr>
          <w:p>
            <w:pPr>
              <w:bidi w:val="0"/>
              <w:jc w:val="center"/>
              <w:rPr>
                <w:rFonts w:hint="eastAsia" w:ascii="仿宋_GB2312" w:hAnsi="仿宋_GB2312" w:eastAsia="仿宋_GB2312" w:cs="仿宋_GB2312"/>
                <w:sz w:val="24"/>
                <w:szCs w:val="24"/>
                <w:highlight w:val="yellow"/>
                <w:vertAlign w:val="baseline"/>
                <w:lang w:val="en-US" w:eastAsia="zh-CN"/>
              </w:rPr>
            </w:pPr>
            <w:r>
              <w:rPr>
                <w:rFonts w:hint="eastAsia" w:ascii="仿宋_GB2312" w:hAnsi="仿宋_GB2312" w:eastAsia="仿宋_GB2312" w:cs="仿宋_GB2312"/>
                <w:sz w:val="24"/>
                <w:szCs w:val="24"/>
                <w:vertAlign w:val="baseline"/>
                <w:lang w:val="en-US" w:eastAsia="zh-CN"/>
              </w:rPr>
              <w:t>改建，在目前已暂停营业的加气站基础上改建成加氢站</w:t>
            </w:r>
          </w:p>
        </w:tc>
        <w:tc>
          <w:tcPr>
            <w:tcW w:w="1297" w:type="dxa"/>
            <w:vAlign w:val="center"/>
          </w:tcPr>
          <w:p>
            <w:pPr>
              <w:bidi w:val="0"/>
              <w:jc w:val="center"/>
              <w:rPr>
                <w:rFonts w:hint="eastAsia" w:ascii="仿宋_GB2312" w:hAnsi="仿宋_GB2312" w:eastAsia="仿宋_GB2312" w:cs="仿宋_GB2312"/>
                <w:sz w:val="24"/>
                <w:szCs w:val="24"/>
                <w:highlight w:val="yellow"/>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H17</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富山工业园加油加氢站</w:t>
            </w:r>
          </w:p>
        </w:tc>
        <w:tc>
          <w:tcPr>
            <w:tcW w:w="1139"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斗门区</w:t>
            </w:r>
          </w:p>
        </w:tc>
        <w:tc>
          <w:tcPr>
            <w:tcW w:w="1626"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珠海市斗门区富山工业园雷蛛大道西侧、规划欣港路以南</w:t>
            </w:r>
          </w:p>
        </w:tc>
        <w:tc>
          <w:tcPr>
            <w:tcW w:w="1991"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合建，新建加油加氢合建站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H18</w:t>
            </w:r>
          </w:p>
        </w:tc>
        <w:tc>
          <w:tcPr>
            <w:tcW w:w="1828"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双湖加油加氢站</w:t>
            </w:r>
          </w:p>
        </w:tc>
        <w:tc>
          <w:tcPr>
            <w:tcW w:w="1139"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斗门区</w:t>
            </w:r>
          </w:p>
        </w:tc>
        <w:tc>
          <w:tcPr>
            <w:tcW w:w="1626" w:type="dxa"/>
            <w:vAlign w:val="center"/>
          </w:tcPr>
          <w:p>
            <w:pPr>
              <w:bidi w:val="0"/>
              <w:jc w:val="center"/>
              <w:rPr>
                <w:rFonts w:hint="default"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珠海市斗门区若泽路-渊水路东北侧</w:t>
            </w:r>
          </w:p>
        </w:tc>
        <w:tc>
          <w:tcPr>
            <w:tcW w:w="1991"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合建，新建加油加氢合建站</w:t>
            </w:r>
          </w:p>
        </w:tc>
        <w:tc>
          <w:tcPr>
            <w:tcW w:w="1297" w:type="dxa"/>
            <w:vAlign w:val="center"/>
          </w:tcPr>
          <w:p>
            <w:pPr>
              <w:bidi w:val="0"/>
              <w:jc w:val="center"/>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sz w:val="24"/>
                <w:szCs w:val="24"/>
                <w:vertAlign w:val="baseline"/>
                <w:lang w:val="en-US" w:eastAsia="zh-CN"/>
              </w:rPr>
              <w:t>2024-2026年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dxa"/>
            <w:vAlign w:val="center"/>
          </w:tcPr>
          <w:p>
            <w:pPr>
              <w:bidi w:val="0"/>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H19</w:t>
            </w:r>
          </w:p>
        </w:tc>
        <w:tc>
          <w:tcPr>
            <w:tcW w:w="1828"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大沙加油加氢站</w:t>
            </w:r>
          </w:p>
        </w:tc>
        <w:tc>
          <w:tcPr>
            <w:tcW w:w="1139" w:type="dxa"/>
            <w:vAlign w:val="center"/>
          </w:tcPr>
          <w:p>
            <w:pPr>
              <w:bidi w:val="0"/>
              <w:jc w:val="center"/>
              <w:rPr>
                <w:rFonts w:hint="default"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斗门区</w:t>
            </w:r>
          </w:p>
        </w:tc>
        <w:tc>
          <w:tcPr>
            <w:tcW w:w="1626"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珠海市</w:t>
            </w:r>
            <w:r>
              <w:rPr>
                <w:rFonts w:hint="eastAsia"/>
                <w:highlight w:val="none"/>
                <w:vertAlign w:val="baseline"/>
                <w:lang w:val="en-US" w:eastAsia="zh-CN"/>
              </w:rPr>
              <w:t>斗门区景观大道</w:t>
            </w:r>
          </w:p>
        </w:tc>
        <w:tc>
          <w:tcPr>
            <w:tcW w:w="1991"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合建，在珠海市成品油零售体系“十四五”发展规划中新增规划的大沙加油站上合建加油加氢站</w:t>
            </w:r>
          </w:p>
        </w:tc>
        <w:tc>
          <w:tcPr>
            <w:tcW w:w="1297" w:type="dxa"/>
            <w:vAlign w:val="center"/>
          </w:tcPr>
          <w:p>
            <w:pPr>
              <w:bidi w:val="0"/>
              <w:jc w:val="center"/>
              <w:rPr>
                <w:rFonts w:hint="eastAsia" w:ascii="仿宋_GB2312" w:hAnsi="仿宋_GB2312" w:eastAsia="仿宋_GB2312" w:cs="仿宋_GB2312"/>
                <w:sz w:val="24"/>
                <w:szCs w:val="24"/>
                <w:highlight w:val="none"/>
                <w:vertAlign w:val="baseline"/>
                <w:lang w:val="en-US" w:eastAsia="zh-CN"/>
              </w:rPr>
            </w:pPr>
            <w:r>
              <w:rPr>
                <w:rFonts w:hint="eastAsia" w:ascii="仿宋_GB2312" w:hAnsi="仿宋_GB2312" w:eastAsia="仿宋_GB2312" w:cs="仿宋_GB2312"/>
                <w:sz w:val="24"/>
                <w:szCs w:val="24"/>
                <w:highlight w:val="none"/>
                <w:vertAlign w:val="baseline"/>
                <w:lang w:val="en-US" w:eastAsia="zh-CN"/>
              </w:rPr>
              <w:t>-2027年</w:t>
            </w:r>
          </w:p>
        </w:tc>
      </w:tr>
    </w:tbl>
    <w:p>
      <w:pPr>
        <w:pStyle w:val="8"/>
        <w:rPr>
          <w:rFonts w:hint="default"/>
          <w:lang w:val="en-US" w:eastAsia="zh-CN"/>
        </w:rPr>
      </w:pPr>
    </w:p>
    <w:p>
      <w:pPr>
        <w:bidi w:val="0"/>
        <w:jc w:val="center"/>
        <w:rPr>
          <w:rFonts w:hint="default"/>
          <w:lang w:val="en-US" w:eastAsia="zh-CN"/>
        </w:rPr>
      </w:pPr>
      <w:r>
        <w:rPr>
          <w:rFonts w:hint="default"/>
          <w:lang w:val="en-US" w:eastAsia="zh-CN"/>
        </w:rPr>
        <w:drawing>
          <wp:inline distT="0" distB="0" distL="114300" distR="114300">
            <wp:extent cx="5055870" cy="4912360"/>
            <wp:effectExtent l="0" t="0" r="11430" b="2540"/>
            <wp:docPr id="10" name="图片 10" descr="42b48ff45a848b0814c6f906b1a4df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42b48ff45a848b0814c6f906b1a4df5"/>
                    <pic:cNvPicPr>
                      <a:picLocks noChangeAspect="true"/>
                    </pic:cNvPicPr>
                  </pic:nvPicPr>
                  <pic:blipFill>
                    <a:blip r:embed="rId11"/>
                    <a:srcRect t="3264" r="4107" b="3565"/>
                    <a:stretch>
                      <a:fillRect/>
                    </a:stretch>
                  </pic:blipFill>
                  <pic:spPr>
                    <a:xfrm>
                      <a:off x="0" y="0"/>
                      <a:ext cx="5055870" cy="4912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28"/>
          <w:szCs w:val="28"/>
          <w:lang w:val="en-US" w:eastAsia="zh-CN"/>
        </w:rPr>
        <w:t>图4-4  珠海市总体规划加氢站分布图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640" w:firstLineChars="200"/>
        <w:textAlignment w:val="auto"/>
        <w:rPr>
          <w:rFonts w:hint="default" w:ascii="仿宋_GB2312" w:hAnsi="仿宋_GB2312" w:eastAsia="仿宋_GB2312" w:cs="仿宋_GB2312"/>
          <w:sz w:val="32"/>
          <w:szCs w:val="32"/>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9" w:lineRule="exact"/>
        <w:jc w:val="center"/>
        <w:textAlignment w:val="baseline"/>
        <w:outlineLvl w:val="0"/>
        <w:rPr>
          <w:rFonts w:hint="default" w:ascii="微软雅黑" w:hAnsi="微软雅黑" w:eastAsia="微软雅黑" w:cs="微软雅黑"/>
          <w:snapToGrid w:val="0"/>
          <w:color w:val="000000"/>
          <w:spacing w:val="21"/>
          <w:kern w:val="0"/>
          <w:sz w:val="35"/>
          <w:szCs w:val="35"/>
          <w:lang w:val="en-US" w:eastAsia="zh-CN"/>
        </w:rPr>
      </w:pPr>
      <w:r>
        <w:rPr>
          <w:rFonts w:hint="eastAsia" w:ascii="微软雅黑" w:hAnsi="微软雅黑" w:eastAsia="微软雅黑" w:cs="微软雅黑"/>
          <w:snapToGrid w:val="0"/>
          <w:color w:val="000000"/>
          <w:spacing w:val="21"/>
          <w:kern w:val="0"/>
          <w:sz w:val="35"/>
          <w:szCs w:val="35"/>
          <w:lang w:val="en-US" w:eastAsia="zh-CN" w:bidi="ar-SA"/>
        </w:rPr>
        <w:t>第五章环境影响评价</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bookmarkStart w:id="0" w:name="_Toc15484"/>
      <w:bookmarkStart w:id="1" w:name="_Toc22262"/>
      <w:bookmarkStart w:id="2" w:name="_Toc23529"/>
      <w:bookmarkStart w:id="3" w:name="_Toc7670"/>
      <w:bookmarkStart w:id="4" w:name="_Toc4976"/>
      <w:bookmarkStart w:id="5" w:name="_Toc23332"/>
      <w:bookmarkStart w:id="6" w:name="_Toc13017"/>
      <w:bookmarkStart w:id="7" w:name="_Toc9640"/>
      <w:bookmarkStart w:id="8" w:name="_Toc9212"/>
      <w:bookmarkStart w:id="9" w:name="_Toc13235"/>
      <w:bookmarkStart w:id="10" w:name="_Toc28449"/>
      <w:bookmarkStart w:id="11" w:name="_Toc23316"/>
      <w:r>
        <w:rPr>
          <w:rFonts w:hint="eastAsia" w:ascii="黑体" w:hAnsi="黑体" w:eastAsia="黑体" w:cs="黑体"/>
          <w:snapToGrid w:val="0"/>
          <w:color w:val="000000"/>
          <w:spacing w:val="13"/>
          <w:kern w:val="0"/>
          <w:sz w:val="32"/>
          <w:szCs w:val="32"/>
          <w:lang w:val="en-US" w:eastAsia="zh-CN"/>
        </w:rPr>
        <w:t>第一节 环境影响分析</w:t>
      </w:r>
    </w:p>
    <w:p>
      <w:pPr>
        <w:keepNext w:val="0"/>
        <w:keepLines w:val="0"/>
        <w:pageBreakBefore w:val="0"/>
        <w:wordWrap/>
        <w:overflowPunct/>
        <w:topLinePunct w:val="0"/>
        <w:bidi w:val="0"/>
        <w:spacing w:line="579" w:lineRule="exact"/>
        <w:rPr>
          <w:rFonts w:hint="eastAsia"/>
          <w:lang w:val="en-US" w:eastAsia="zh-CN"/>
        </w:rPr>
      </w:pP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布点规划符合国家及省级环保相关法律，包括《中华人民共和国环境保护法》《中华人民共和国节约能源法》《中华人民共和国大气污染防治法》《广东省环境保护条例》《广东省大气污染防治条例》等;符合省市级相关政策，如《广东省生态环境保护“十四五”规划》《广东省加快氢能产业创新发展的意见》《广东省燃料电池汽车加氢站建设管理暂行办法》《珠海市氢能产业发展规划（2022-2035年）》《珠海市能源发展“十四五”规划》等。</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氢站项目在建设和运营过程中对环境的影响包括废气、废水、固体废物和噪声四个方面，一是加氢站在施工期间大气污染源主要来自土地平整、建筑垃圾搬运及露天堆场的风力扬尘、土石方和建筑材料运输所产生的道路扬尘（包括施工区内工地道路和施工区外道路）、排放的机械设备尾气以及装修过程中产生的废气。二是加氢站在建设和运营期间场地平整、地基开挖和混凝土的养护等，将不可避免产生浑浊的施工废水，另外冲洗施工车辆和设备产生的含泥沙、悬浮颗粒物和矿物油等废水，以及施工场地雨污水和产地积水等。三是</w:t>
      </w:r>
      <w:r>
        <w:rPr>
          <w:rFonts w:hint="default" w:ascii="仿宋_GB2312" w:hAnsi="仿宋_GB2312" w:eastAsia="仿宋_GB2312" w:cs="仿宋_GB2312"/>
          <w:sz w:val="32"/>
          <w:szCs w:val="32"/>
          <w:lang w:val="en-US" w:eastAsia="zh-CN"/>
        </w:rPr>
        <w:t>加氢站</w:t>
      </w:r>
      <w:r>
        <w:rPr>
          <w:rFonts w:hint="eastAsia" w:ascii="仿宋_GB2312" w:hAnsi="仿宋_GB2312" w:eastAsia="仿宋_GB2312" w:cs="仿宋_GB2312"/>
          <w:sz w:val="32"/>
          <w:szCs w:val="32"/>
          <w:lang w:val="en-US" w:eastAsia="zh-CN"/>
        </w:rPr>
        <w:t>在建设和运营期间</w:t>
      </w:r>
      <w:r>
        <w:rPr>
          <w:rFonts w:hint="default" w:ascii="仿宋_GB2312" w:hAnsi="仿宋_GB2312" w:eastAsia="仿宋_GB2312" w:cs="仿宋_GB2312"/>
          <w:sz w:val="32"/>
          <w:szCs w:val="32"/>
          <w:lang w:val="en-US" w:eastAsia="zh-CN"/>
        </w:rPr>
        <w:t>产生</w:t>
      </w:r>
      <w:r>
        <w:rPr>
          <w:rFonts w:hint="eastAsia" w:ascii="仿宋_GB2312" w:hAnsi="仿宋_GB2312" w:eastAsia="仿宋_GB2312" w:cs="仿宋_GB2312"/>
          <w:sz w:val="32"/>
          <w:szCs w:val="32"/>
          <w:lang w:val="en-US" w:eastAsia="zh-CN"/>
        </w:rPr>
        <w:t>的固体废弃物，</w:t>
      </w:r>
      <w:r>
        <w:rPr>
          <w:rFonts w:hint="default" w:ascii="仿宋_GB2312" w:hAnsi="仿宋_GB2312" w:eastAsia="仿宋_GB2312" w:cs="仿宋_GB2312"/>
          <w:sz w:val="32"/>
          <w:szCs w:val="32"/>
          <w:lang w:val="en-US" w:eastAsia="zh-CN"/>
        </w:rPr>
        <w:t>如生活垃圾或施工期间产生建筑垃圾。可回收的固废进行回收再利用，生活垃圾</w:t>
      </w:r>
      <w:r>
        <w:rPr>
          <w:rFonts w:hint="eastAsia" w:ascii="仿宋_GB2312" w:hAnsi="仿宋_GB2312" w:eastAsia="仿宋_GB2312" w:cs="仿宋_GB2312"/>
          <w:sz w:val="32"/>
          <w:szCs w:val="32"/>
          <w:lang w:val="en-US" w:eastAsia="zh-CN"/>
        </w:rPr>
        <w:t>可</w:t>
      </w:r>
      <w:r>
        <w:rPr>
          <w:rFonts w:hint="default" w:ascii="仿宋_GB2312" w:hAnsi="仿宋_GB2312" w:eastAsia="仿宋_GB2312" w:cs="仿宋_GB2312"/>
          <w:sz w:val="32"/>
          <w:szCs w:val="32"/>
          <w:lang w:val="en-US" w:eastAsia="zh-CN"/>
        </w:rPr>
        <w:t>通过市政部门进行处理。</w:t>
      </w:r>
      <w:r>
        <w:rPr>
          <w:rFonts w:hint="eastAsia" w:ascii="仿宋_GB2312" w:hAnsi="仿宋_GB2312" w:eastAsia="仿宋_GB2312" w:cs="仿宋_GB2312"/>
          <w:sz w:val="32"/>
          <w:szCs w:val="32"/>
          <w:lang w:val="en-US" w:eastAsia="zh-CN"/>
        </w:rPr>
        <w:t>四是在建筑施工期产生的噪声声源，主要为施工机和车辆，其特点是间歇性或阵发性的，并具备流动性、噪声较高的特征，同时加氢站正常运行过程中氢气压缩机、风机、搅拌器、放散管口等设备产生的噪声。通过实施各类环保措施，将有效降低加氢站项目建设对环境的影响。</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氢能源具有环境好、安全性强、能量密度大、转化效率高和使用范围广等优势，对降低大气污染、改善城市环境和降低能源消耗等有着重要意义。加氢站为燃料电池汽车补充燃料提供专门场所，是燃料电池车发展应用的基石，也是氢能发展利用的关键环节。有数据显示，氢的单位燃烧热值大约是汽油的3倍。氢燃料电池工作原理是氢气通过燃料电池的正极当中的催化剂分解成电子和氢离子（质子），质子通过质子交换膜到达负极和氧气反应变成水和热量，对应的电子则从正极通过外电路流向负极产生电能，工作过程中只产生水，不产生任何温室气体，几乎不构成对自然环境的污染。</w:t>
      </w:r>
    </w:p>
    <w:p>
      <w:pPr>
        <w:keepNext w:val="0"/>
        <w:keepLines w:val="0"/>
        <w:pageBreakBefore w:val="0"/>
        <w:widowControl/>
        <w:kinsoku/>
        <w:wordWrap/>
        <w:overflowPunct/>
        <w:topLinePunct w:val="0"/>
        <w:autoSpaceDE/>
        <w:autoSpaceDN/>
        <w:bidi w:val="0"/>
        <w:adjustRightInd/>
        <w:snapToGrid/>
        <w:spacing w:line="579" w:lineRule="exact"/>
        <w:jc w:val="left"/>
        <w:textAlignment w:val="auto"/>
        <w:outlineLvl w:val="9"/>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第二节 环境影响防治措施</w:t>
      </w:r>
    </w:p>
    <w:p>
      <w:pPr>
        <w:keepNext w:val="0"/>
        <w:keepLines w:val="0"/>
        <w:pageBreakBefore w:val="0"/>
        <w:wordWrap/>
        <w:overflowPunct/>
        <w:topLinePunct w:val="0"/>
        <w:bidi w:val="0"/>
        <w:spacing w:line="579" w:lineRule="exact"/>
        <w:rPr>
          <w:rFonts w:hint="eastAsia"/>
          <w:lang w:val="en-US" w:eastAsia="zh-CN"/>
        </w:rPr>
      </w:pP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氢气泄露防治。加氢站运营期间，要做好设备选型和维护，采用高质量的氢气储存和输送设备，并定期进行检查和维护，确保阀门、管道和接头处于安全状态，减少泄漏风险。安装实时监测系统，如氢气传感器网络，一旦检测到氢气泄漏立即启动报警并采取紧急措施。制定详细的泄漏应急响应计划，包括疏散路线、消防设施使用方法等，确保在发生泄漏时能够迅速有效地处理。</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水污染防治。在建设加氢站期间，土石方堆放坡面应平整，施工完成区域应及早植树种草，以减少施工期水土流失。做好运营期间的生活污水预处理，禁止生活污水随意外排，优化工艺流程，减少清洗和其他过程中产生的废水量，考虑建立废水回收系统，将处理后的水用于非饮用目的，如冲洗和绿化浇灌，以减少水资源消耗。</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噪声污染防治。建设单位在施工期间应使用低噪声机械设备，例如选液压机械取代燃油机械。在不影响施工情况下将噪声设备尽量不集中安排，并将其移至距离厂界远处，同时对固定的机械设备尽量入棚操作。加氢站运营中应正确进行设备选型，采用隔声罩、基座减振和软管隔振等降低设备噪声。大型动力设备基础，如：压缩机基础，采用桩基等基础型式来减少振动影响；采用隔振沟等措施来减少振动的传播。同时，压缩机设置在压缩机厂房内，尽量减少噪声对其他作业场所的影响。</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固废污染防治。加氢站运营期间，采用可重复使用的包装材料，减少一次性包装的使用，推广电子文件，减少纸张消耗。对于可回收利用的固体废物，如金属零件、塑料包装等，进行回收再利用，对不可回收的固体废物，应按照《中华人民共和国固体废物污染环境防治法》的规定，委托具备资质的处理单位进行无害化处理。施工期间设专人负责管理、监督施工过程中挖方临时堆放、回填、弃土处理等问题，做到尽量减少泥沙排放量。对于危险废物的转移和运输应按《危险废物转移联单管理办法》的规定报批危险废物转移计划，并必须交由有资质的单位承运。运输车辆不得超装、超载，严格按照规定的行车时间和行车路线行驶，不得进入危险品运输车辆禁止通行的区域。</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第三节 安全管理</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sz w:val="32"/>
          <w:szCs w:val="32"/>
          <w:lang w:val="en-US" w:eastAsia="zh-CN"/>
        </w:rPr>
      </w:pP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氢气为无色无味气体，相对空气比重为0.07，沸点-252.8℃，引燃温度500至571℃，爆炸下限为4.1%，爆炸上限为75%，危险性类别为第2.1类易燃气体，具有易燃易爆性、热膨胀性、氢脆性。与空气混合能形成爆炸性混合物，遇热或明火即爆炸。气体比空气轻，在室内使用或储存时，漏气上升滞留屋顶不易排出，遇火星会引起爆炸。泄漏在空气中较高浓度时还会有令人缺氧甚至窒息的风险。因此，加氢基础设施在建设运营过程中,安全是第一要素，这也是氢能产业能否健康发展的重中之重，需要引起高度重视。</w:t>
      </w:r>
    </w:p>
    <w:bookmarkEnd w:id="0"/>
    <w:bookmarkEnd w:id="1"/>
    <w:bookmarkEnd w:id="2"/>
    <w:bookmarkEnd w:id="3"/>
    <w:bookmarkEnd w:id="4"/>
    <w:bookmarkEnd w:id="5"/>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一、加强加氢站工艺系统及建筑物安全防护</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氢气长管拖车、氢气管束式集装箱作为加氢站内固定式储氢压力容器使用时，应按照《移动式压力容器安全技术监察规程TSG R0005-2011》的相关规定进行执行，同时需要按照《加氢站技术规范GB50516-2010》第6.3.5条的规定设置安全保护措施。</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储氢容器或瓶式氢气储存压力容器组与加氢枪之间，应设置切断阀、氢气主管切断阀、吹扫放空装置、紧急切断阀、加氢软管和加氢切断阀。储氢容器或瓶式氢气储存压力容器组应设置与加氢机相匹配的加氢过程自动控制的测试点、控制阀门、附件等装置。</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加氢站的氢气工艺设施与站外建筑物、构筑物的防火距离，不应小于《加氢站技术规范GB50516-2010》表4.0.4的规定，加氢站内设施之间的防火距离，不应小于《加氢站技术规范GB50516-2010》表5.0.1的规定。</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加氢站内的建筑物耐火等级不应低于二级。当罩棚顶棚的承重构件为钢结构时，其耐火极限可为0.25h。</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楷体" w:hAnsi="楷体" w:eastAsia="楷体" w:cs="楷体"/>
          <w:sz w:val="32"/>
          <w:szCs w:val="32"/>
          <w:lang w:val="en-US" w:eastAsia="zh-CN"/>
        </w:rPr>
        <w:t>二、健全加氢站安全管理机制</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加氢站经营主体必须建立健全安全管理制度、消防安全责任制度、风险管理体系、事故应急预案，并定期组织应急演练。加快</w:t>
      </w:r>
      <w:bookmarkEnd w:id="6"/>
      <w:bookmarkEnd w:id="7"/>
      <w:bookmarkEnd w:id="8"/>
      <w:bookmarkEnd w:id="9"/>
      <w:bookmarkEnd w:id="10"/>
      <w:bookmarkEnd w:id="11"/>
      <w:r>
        <w:rPr>
          <w:rFonts w:hint="eastAsia" w:ascii="仿宋_GB2312" w:hAnsi="仿宋_GB2312" w:eastAsia="仿宋_GB2312" w:cs="仿宋_GB2312"/>
          <w:sz w:val="32"/>
          <w:szCs w:val="32"/>
          <w:lang w:val="en-US" w:eastAsia="zh-CN"/>
        </w:rPr>
        <w:t>建立统一有效的氢气压缩、储存、运输、加注等安全管理方法。推动建立加氢系统设备产品质量认证运营商采信制度，严格全过程安全质量把关，坚持加氢站消防安全设施与主体工程“三同时”。完善经营企业安全管理制度和安全操作规程，落实企业安全生产主体责任。加氢站只能通过加氢机向汽车储氢瓶加氢，禁止向其他容器加氢，禁止在站外加氢。</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bookmarkStart w:id="12" w:name="_Toc5882"/>
      <w:bookmarkStart w:id="13" w:name="_Toc21025"/>
      <w:bookmarkStart w:id="14" w:name="_Toc2739"/>
      <w:bookmarkStart w:id="15" w:name="_Toc20211"/>
      <w:bookmarkStart w:id="16" w:name="_Toc13193"/>
      <w:bookmarkStart w:id="17" w:name="_Toc19887"/>
      <w:r>
        <w:rPr>
          <w:rFonts w:hint="eastAsia" w:ascii="楷体" w:hAnsi="楷体" w:eastAsia="楷体" w:cs="楷体"/>
          <w:sz w:val="32"/>
          <w:szCs w:val="32"/>
          <w:lang w:val="en-US" w:eastAsia="zh-CN"/>
        </w:rPr>
        <w:t>三、强化加氢站安全保障</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增强操作人员培训。针对氢气制备、储运、充装、加注各环节，强化安全生产和运营操作规范学习，加强对操作人员的日常管理、专业技能、企业安全培训和不定期检查。运维人员经过专业培训，取得相关操作证书上岗。如：加氢操作人员需取得气瓶充装证书，管理人员取得特种设备安全、质量管理证书等。</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设备安全检查。对加氢站设备定期开展全面安全检查，分析各种极端情况下的各种潜在危险风险和故障。加强消防设施器材维护及保养，需委托具备相关资质的机构进行维护保养。对氢气压缩机、储氢罐、加氢机等关键设备设置安全泄压装置、切断阀、温度、压力、流量超限报警、停机装置等安全保护装置，并设置置换吹扫口。储氢罐需进行耐压及气密性实验，并进行周期性设备检查、安全部件校正。</w:t>
      </w:r>
    </w:p>
    <w:p>
      <w:pPr>
        <w:keepNext w:val="0"/>
        <w:keepLines w:val="0"/>
        <w:pageBreakBefore w:val="0"/>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强化加氢行业监督</w:t>
      </w:r>
      <w:bookmarkEnd w:id="12"/>
      <w:bookmarkEnd w:id="13"/>
      <w:bookmarkEnd w:id="14"/>
      <w:bookmarkEnd w:id="15"/>
      <w:bookmarkEnd w:id="16"/>
      <w:bookmarkEnd w:id="17"/>
      <w:r>
        <w:rPr>
          <w:rFonts w:hint="eastAsia" w:ascii="仿宋_GB2312" w:hAnsi="仿宋_GB2312" w:eastAsia="仿宋_GB2312" w:cs="仿宋_GB2312"/>
          <w:sz w:val="32"/>
          <w:szCs w:val="32"/>
          <w:lang w:val="en-US" w:eastAsia="zh-CN"/>
        </w:rPr>
        <w:t>。强化加氢设施运营安全监督管理，建立健全加氢站氢气安全评估和风险管理体系，加强氢气泄漏监测报警及其设置场所消防安全智能化、信息化管理，建立加氢站经营单位运行、维护、检验、监控、故障等事项档案。加强对生产许可证获证企业事中事后监管，定期组织加氢站安全评估，落实部门安全监管责任。</w:t>
      </w:r>
    </w:p>
    <w:p>
      <w:pPr>
        <w:keepNext w:val="0"/>
        <w:keepLines w:val="0"/>
        <w:pageBreakBefore w:val="0"/>
        <w:wordWrap/>
        <w:overflowPunct/>
        <w:topLinePunct w:val="0"/>
        <w:bidi w:val="0"/>
        <w:spacing w:line="579"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加强应急能力建设。建立应急预案制度，研究制定加氢站经营单位突发事件应急预案和部门应急预案，强化加氢站消防安全，加强经营人员安全素质培养。</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579" w:lineRule="exact"/>
        <w:jc w:val="center"/>
        <w:textAlignment w:val="baseline"/>
        <w:outlineLvl w:val="0"/>
        <w:rPr>
          <w:rFonts w:hint="eastAsia" w:ascii="微软雅黑" w:hAnsi="微软雅黑" w:eastAsia="微软雅黑" w:cs="微软雅黑"/>
          <w:snapToGrid w:val="0"/>
          <w:color w:val="000000"/>
          <w:spacing w:val="21"/>
          <w:kern w:val="0"/>
          <w:sz w:val="35"/>
          <w:szCs w:val="35"/>
          <w:lang w:val="en-US" w:eastAsia="zh-CN" w:bidi="ar-SA"/>
        </w:rPr>
      </w:pPr>
      <w:r>
        <w:rPr>
          <w:rFonts w:hint="eastAsia" w:ascii="微软雅黑" w:hAnsi="微软雅黑" w:eastAsia="微软雅黑" w:cs="微软雅黑"/>
          <w:snapToGrid w:val="0"/>
          <w:color w:val="000000"/>
          <w:spacing w:val="21"/>
          <w:kern w:val="0"/>
          <w:sz w:val="35"/>
          <w:szCs w:val="35"/>
          <w:lang w:val="en-US" w:eastAsia="zh-CN" w:bidi="ar-SA"/>
        </w:rPr>
        <w:t>第六章 保障措施</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第一节 加强规划统筹协调</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立统筹协调机制，充分发挥本规划作为统筹指导全市加氢站布局规划的纲领性作用，将本规划的目标与国土空间、燃气、交通等专项规划衔接，预控和落实加氢站项目用地需求，配套制定相关专项规划、政策和管理办法。强化规划实施，各地区要将加氢站纳入本区基础设施规划，建立信息报送制度，确保加氢站及配套设施按期完成。加强重点项目协调，与珠海市总体规划、物流、交通、加油站等专项规划协调一致，将加氢站规划项目的有关内容纳入相关规划。建立完善规划中期评估与终期评估的动态评估机制，综合考虑安全性、便捷性等情况，推进规划站点落地。</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第二节 完善审批监管服务</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广东省加氢站暂行管理办法要求，完善加氢站审批建设管理规范，明确加氢站审批流程，落实加氢站设计与施工规范，制定完善建设管理规范、作业安全规范等。加强政府监管职能，制定监管制度，通过建站管理辐射联动产业链上中下游的监管，建立全市氢能产业链监管平台，推动产业有序发展。简化加氢站审批流程，对于利用现有加油站、加气站、充电站场地合建或改建的加氢站，在符合相关规范、安全条件和区域控规的前提下，优化用地审批与规划选址、社会稳定风险评估等前期手续；对于新增独立建设加氢站，鼓励各区实施提前预审、一事一议等创新措施，做好加氢设施的用地服务保障。</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第三节 加大政策金融支持</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结合《广东省加快氢能产业创新发展意见的通知》和《珠海市氢能产业发展规划（2022-2035年）》以及本规划内容，研究加氢站相关支持政策，充分利用上级补助资金，盘活车-站-气联动机制，形成“适度超前、以站带车”的产业良好发展局面。在加氢站的初期建设中探索以油养氢、以电养氢的形式支持建设合建站，鼓励加氢站建设和运营。强化要素保障，探索研究加氢站相关用地政策。鼓励利用社会资本成立氢能基础设施创新联合体，使用好专项债等政策工具，强化金融服务支撑，拓宽加氢站建设运营的融资渠道。</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第四节 加快车辆示范推广</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鼓励市内各区因地制宜开展氢能应用示范，优先在市政环卫、城市公交、机场快线、城际（跨境）快线等固定线路运营的公共服务领域开展燃料电池车辆存量替代及增量推广。支持珠海港、粤港澳物流园、九州港口岸等具有固定应用场景的区域进行重卡、物流车、叉车等特种车辆领域优先选择燃料电池车辆替代。推动车辆行业主管部门尽快制定车辆更新替换方案，结合行业需求，明确实施步骤和具体工作措施。</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第五节 强化安全监督管理</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wordWrap/>
        <w:overflowPunct/>
        <w:topLinePunct w:val="0"/>
        <w:bidi w:val="0"/>
        <w:spacing w:line="579"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建立健全加氢站建设运营的安全标准规范，加强对加氢站氢气泄露检测报警及其设置场所的日常消防安全检查及管理，有效提升事故预防能力。引导加氢站经营单位建立健全安全管理制度和操作规程，加强操作人员培训，强化安全生产和运营操作规范学习，加强对操作人员的日常管理、专业技能、企业安全培训和不定期检查，运维人员必须经过专业培训，取得相关操作证书上岗。加强氢气充装、加注等环节应急处理能力建设，研究制定切实可行、处置高效的突发事件应急处理预案。对氢气压缩机、储氢罐、加氢机等关键设备设置定期开展全面安全检查，分析潜在危险风险和故障。定期开展应急演练，确保氢能生产、储运、加注和使用中突发事件的有效应对，确保生产运营安全。</w:t>
      </w:r>
    </w:p>
    <w:p>
      <w:pPr>
        <w:keepNext w:val="0"/>
        <w:keepLines w:val="0"/>
        <w:pageBreakBefore w:val="0"/>
        <w:widowControl w:val="0"/>
        <w:kinsoku/>
        <w:wordWrap/>
        <w:overflowPunct/>
        <w:topLinePunct w:val="0"/>
        <w:autoSpaceDE/>
        <w:autoSpaceDN/>
        <w:bidi w:val="0"/>
        <w:adjustRightInd/>
        <w:snapToGrid/>
        <w:spacing w:line="579" w:lineRule="exact"/>
        <w:textAlignment w:val="auto"/>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79" w:lineRule="exact"/>
        <w:jc w:val="center"/>
        <w:textAlignment w:val="baseline"/>
        <w:outlineLvl w:val="1"/>
        <w:rPr>
          <w:rFonts w:hint="default" w:ascii="黑体" w:hAnsi="黑体" w:eastAsia="黑体" w:cs="黑体"/>
          <w:snapToGrid w:val="0"/>
          <w:color w:val="000000"/>
          <w:spacing w:val="13"/>
          <w:kern w:val="0"/>
          <w:sz w:val="32"/>
          <w:szCs w:val="32"/>
          <w:lang w:val="en-US" w:eastAsia="zh-CN"/>
        </w:rPr>
      </w:pPr>
      <w:r>
        <w:rPr>
          <w:rFonts w:hint="eastAsia" w:ascii="黑体" w:hAnsi="黑体" w:eastAsia="黑体" w:cs="黑体"/>
          <w:snapToGrid w:val="0"/>
          <w:color w:val="000000"/>
          <w:spacing w:val="13"/>
          <w:kern w:val="0"/>
          <w:sz w:val="32"/>
          <w:szCs w:val="32"/>
          <w:lang w:val="en-US" w:eastAsia="zh-CN"/>
        </w:rPr>
        <w:t>第六节 加强宣传舆论引导</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textAlignment w:val="auto"/>
        <w:rPr>
          <w:rFonts w:hint="eastAsia" w:ascii="仿宋_GB2312" w:hAnsi="仿宋_GB2312" w:eastAsia="仿宋_GB2312" w:cs="仿宋_GB2312"/>
          <w:sz w:val="32"/>
          <w:szCs w:val="32"/>
          <w:lang w:val="en-US" w:eastAsia="zh-CN"/>
        </w:rPr>
      </w:pPr>
    </w:p>
    <w:p>
      <w:pPr>
        <w:keepNext w:val="0"/>
        <w:keepLines w:val="0"/>
        <w:pageBreakBefore w:val="0"/>
        <w:numPr>
          <w:ilvl w:val="0"/>
          <w:numId w:val="0"/>
        </w:numPr>
        <w:wordWrap/>
        <w:overflowPunct/>
        <w:topLinePunct w:val="0"/>
        <w:bidi w:val="0"/>
        <w:spacing w:line="579" w:lineRule="exact"/>
        <w:ind w:firstLine="640" w:firstLineChars="200"/>
        <w:rPr>
          <w:rFonts w:hint="default"/>
          <w:lang w:val="en-US" w:eastAsia="zh-CN"/>
        </w:rPr>
      </w:pPr>
      <w:r>
        <w:rPr>
          <w:rFonts w:hint="eastAsia" w:ascii="仿宋_GB2312" w:hAnsi="仿宋_GB2312" w:eastAsia="仿宋_GB2312" w:cs="仿宋_GB2312"/>
          <w:sz w:val="32"/>
          <w:szCs w:val="32"/>
          <w:lang w:val="en-US" w:eastAsia="zh-CN"/>
        </w:rPr>
        <w:t>建立健全的信息公开制度，及时发布加氢站运营情况、安全管理和环境影响等信息，增强公众对加氢站信息了解。开展安全法规和安全标准宣贯工作，增强民众和企业的安全意识，筑牢氢能安全知识普及。加大氢能推广宣传力度，充分利用媒体、网络、会议、讲座等多种形式，定期开展氢能科普推广宣传，组织民众参观加氢站、试驾燃料电池汽车、播放氢能科普视频等系列活动，提高民众对燃料电池汽车和加氢站的认识和体验程度，消除氢能安全性认识误区，加强舆论监督，逐渐形成有利于氢能产业发展的良好氛围。</w:t>
      </w:r>
    </w:p>
    <w:sectPr>
      <w:footerReference r:id="rId4" w:type="default"/>
      <w:pgSz w:w="11906" w:h="16838"/>
      <w:pgMar w:top="2041" w:right="1531" w:bottom="2041" w:left="1531" w:header="851" w:footer="1531"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CESI仿宋-GB2312">
    <w:panose1 w:val="02000500000000000000"/>
    <w:charset w:val="86"/>
    <w:family w:val="auto"/>
    <w:pitch w:val="default"/>
    <w:sig w:usb0="800002AF" w:usb1="084F6CF8" w:usb2="00000010" w:usb3="00000000" w:csb0="0004000F" w:csb1="00000000"/>
  </w:font>
  <w:font w:name="微软雅黑">
    <w:altName w:val="方正黑体_GBK"/>
    <w:panose1 w:val="020B0503020204020204"/>
    <w:charset w:val="86"/>
    <w:family w:val="auto"/>
    <w:pitch w:val="default"/>
    <w:sig w:usb0="00000000" w:usb1="00000000" w:usb2="00000016" w:usb3="00000000" w:csb0="0004001F" w:csb1="00000000"/>
  </w:font>
  <w:font w:name="楷体">
    <w:panose1 w:val="02010609060101010101"/>
    <w:charset w:val="86"/>
    <w:family w:val="auto"/>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8FiLy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RTSgzTGNHp65fTtx+n75/J&#10;NMHTujCH15ODX+xe266k0e/FYAp4T4130ut0oyUCF2B9vOArukg4Hiez6Ww2honDNihIUVy/Ox/i&#10;G2E1SUJJPQaYcWWHTYhn18ElZTN23SiVh6gMaUt68/LVOH+4WBBcGeRIfZyLTVLstl3f3NZWR/Tm&#10;7ZkcwfF1g+QbFuIj82ADCgbD4wMOqSyS2F6ipLb+09/ekz+GBCslLdhVUgP6U6LeGgwvEXEQ/CBs&#10;B8Hs9Z0FXSfYHMeziA8+qkGU3uqPoP0q5ZBMBQRmhiMbRjOIdxFab8T6cLFaXfS9882uvn4GFR2L&#10;G/PkeD/chG1wq30Evhn2hNkZqB5K8DEPrt+dRPhf9ex13fD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A8FiLyGwIAACkEAAAOAAAAAAAAAAEAIAAAADUBAABkcnMvZTJvRG9jLnhtbFBLBQYA&#10;AAAABgAGAFkBAADCBQAAAAA=&#10;">
              <v:fill on="f" focussize="0,0"/>
              <v:stroke on="f" weight="0.5pt"/>
              <v:imagedata o:title=""/>
              <o:lock v:ext="edit" aspectratio="f"/>
              <v:textbox inset="0mm,0mm,0mm,0mm" style="mso-fit-shape-to-text:t;">
                <w:txbxContent>
                  <w:p>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9"/>
        <w:snapToGrid w:val="0"/>
        <w:rPr>
          <w:rFonts w:hint="default"/>
          <w:lang w:val="en-US"/>
        </w:rPr>
      </w:pPr>
      <w:r>
        <w:rPr>
          <w:rStyle w:val="14"/>
        </w:rPr>
        <w:footnoteRef/>
      </w:r>
      <w:r>
        <w:t xml:space="preserve"> </w:t>
      </w:r>
      <w:r>
        <w:rPr>
          <w:rFonts w:hint="eastAsia"/>
          <w:lang w:val="en-US" w:eastAsia="zh-CN"/>
        </w:rPr>
        <w:t>货运车辆预测计算：根据2020年、2021年、2022年珠海市公路货物营运车辆数量平均增长率系数推测2025年货运车辆的保有量，货车潜力规模数量计算为保有量数量×货车车辆的更新替换率15%（根据每年注销和新增的车辆得出更新替换率）；环卫车辆预测计算：根据2020年、2021年、2022年珠海市环卫车辆数量增长率系数推测2025年环卫车辆的保有量，环卫车潜力规模数量计算为各区车辆主体单位提交的近两年需要更新替换的车辆数；公交车辆预测计算：根据市交通局提交的近5年珠海市公交车辆更新计划数量；客运车辆预测计算：根据2020年、2021年、2022年珠海市旅客营运车辆的平均增长率系数推测2025年客运车辆的保有量，客运车辆潜力规模计算：根据珠海市调研情况了解客运车更新替换周期为5.5年左右，利用2019年、2020年、2021年、2022年珠海市旅客营运车辆中使用柴油大型客车的减少替换数量比例推测2023年到2025年需要替换的数量。</w:t>
      </w:r>
    </w:p>
  </w:footnote>
  <w:footnote w:id="1">
    <w:p>
      <w:pPr>
        <w:pStyle w:val="9"/>
        <w:snapToGrid w:val="0"/>
        <w:rPr>
          <w:rFonts w:hint="default" w:eastAsiaTheme="minorEastAsia"/>
          <w:lang w:val="en-US" w:eastAsia="zh-CN"/>
        </w:rPr>
      </w:pPr>
      <w:r>
        <w:rPr>
          <w:rStyle w:val="14"/>
        </w:rPr>
        <w:footnoteRef/>
      </w:r>
      <w:r>
        <w:t xml:space="preserve"> </w:t>
      </w:r>
      <w:r>
        <w:rPr>
          <w:rFonts w:hint="eastAsia"/>
          <w:lang w:val="en-US" w:eastAsia="zh-CN"/>
        </w:rPr>
        <w:t>根据上面表2-1的4类车辆类型的数量占比情况，根据2025年推广总数量520辆燃料电池汽车总量进行按比例计算得出。</w:t>
      </w:r>
    </w:p>
  </w:footnote>
  <w:footnote w:id="2">
    <w:p>
      <w:pPr>
        <w:pStyle w:val="9"/>
        <w:snapToGrid w:val="0"/>
        <w:rPr>
          <w:rFonts w:hint="default" w:eastAsiaTheme="minorEastAsia"/>
          <w:lang w:val="en-US" w:eastAsia="zh-CN"/>
        </w:rPr>
      </w:pPr>
      <w:r>
        <w:rPr>
          <w:rStyle w:val="14"/>
        </w:rPr>
        <w:footnoteRef/>
      </w:r>
      <w:r>
        <w:t xml:space="preserve"> </w:t>
      </w:r>
      <w:r>
        <w:rPr>
          <w:rFonts w:hint="eastAsia"/>
          <w:lang w:val="en-US" w:eastAsia="zh-CN"/>
        </w:rPr>
        <w:t>货运车辆方面，珠海市有普通货车、牵引车和挂车三种类型，牵引车和挂车数量占比接近50％，并且属于耗能量大的车辆，所以在燃料电池货车的氢气需求量测算中以全部代替为牵引车来测算最大值，国内常规的49t燃料电池重卡百公里耗氢量为10kg，日均行驶里程按300公里，每年营运300天来计算；环卫车辆方面，目前国内燃料电池清洗车、洒水车、压缩式垃圾车、扫路车等类型环卫车辆的百公里耗氢量都为6kg，日均行驶里程按200公里，每年营运300天来计算；公交车辆方面，按目前国内10米燃料电池公交车测算，百公里耗氢量为7kg，日均行驶里程按200公里，每年营运300天来计算；客运车辆方面，按目前国内10.5米燃料电池客车测算，百公里耗氢量为4.5kg，日均300公里，每年营运300天来计算。</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8EAA1"/>
    <w:multiLevelType w:val="multilevel"/>
    <w:tmpl w:val="A318EAA1"/>
    <w:lvl w:ilvl="0" w:tentative="0">
      <w:start w:val="1"/>
      <w:numFmt w:val="decimal"/>
      <w:pStyle w:val="2"/>
      <w:lvlText w:val="%1"/>
      <w:lvlJc w:val="left"/>
      <w:pPr>
        <w:ind w:left="431" w:hanging="431"/>
      </w:pPr>
      <w:rPr>
        <w:rFonts w:hint="eastAsia"/>
      </w:rPr>
    </w:lvl>
    <w:lvl w:ilvl="1" w:tentative="0">
      <w:start w:val="1"/>
      <w:numFmt w:val="decimal"/>
      <w:lvlText w:val="%1.%2"/>
      <w:lvlJc w:val="left"/>
      <w:pPr>
        <w:ind w:left="578" w:hanging="17"/>
      </w:pPr>
      <w:rPr>
        <w:rFonts w:hint="eastAsia"/>
      </w:rPr>
    </w:lvl>
    <w:lvl w:ilvl="2" w:tentative="0">
      <w:start w:val="1"/>
      <w:numFmt w:val="decimal"/>
      <w:lvlText w:val="%1.%2.%3"/>
      <w:lvlJc w:val="left"/>
      <w:pPr>
        <w:ind w:left="29" w:hanging="29"/>
      </w:pPr>
      <w:rPr>
        <w:rFonts w:hint="eastAsia"/>
      </w:rPr>
    </w:lvl>
    <w:lvl w:ilvl="3" w:tentative="0">
      <w:start w:val="1"/>
      <w:numFmt w:val="decimal"/>
      <w:lvlText w:val="%1.%2.%3.%4"/>
      <w:lvlJc w:val="left"/>
      <w:pPr>
        <w:ind w:left="390" w:hanging="390"/>
      </w:pPr>
      <w:rPr>
        <w:rFonts w:hint="eastAsia"/>
        <w:lang w:val="en-US"/>
      </w:rPr>
    </w:lvl>
    <w:lvl w:ilvl="4" w:tentative="0">
      <w:start w:val="1"/>
      <w:numFmt w:val="decimal"/>
      <w:lvlText w:val="%1.%2.%3.%4.%5"/>
      <w:lvlJc w:val="left"/>
      <w:pPr>
        <w:ind w:left="520" w:hanging="520"/>
      </w:pPr>
      <w:rPr>
        <w:rFonts w:hint="eastAsia"/>
        <w:b/>
        <w:sz w:val="28"/>
      </w:rPr>
    </w:lvl>
    <w:lvl w:ilvl="5" w:tentative="0">
      <w:start w:val="1"/>
      <w:numFmt w:val="decimal"/>
      <w:lvlText w:val="%1.%2.%3.%4.%5.%6"/>
      <w:lvlJc w:val="left"/>
      <w:pPr>
        <w:ind w:left="650" w:firstLine="431"/>
      </w:pPr>
      <w:rPr>
        <w:rFonts w:hint="eastAsia"/>
      </w:rPr>
    </w:lvl>
    <w:lvl w:ilvl="6" w:tentative="0">
      <w:start w:val="1"/>
      <w:numFmt w:val="decimal"/>
      <w:lvlText w:val="%1.%2.%3.%4.%5.%6.%7"/>
      <w:lvlJc w:val="left"/>
      <w:pPr>
        <w:ind w:left="780" w:firstLine="431"/>
      </w:pPr>
      <w:rPr>
        <w:rFonts w:hint="eastAsia"/>
      </w:rPr>
    </w:lvl>
    <w:lvl w:ilvl="7" w:tentative="0">
      <w:start w:val="1"/>
      <w:numFmt w:val="decimal"/>
      <w:lvlText w:val="%1.%2.%3.%4.%5.%6.%7.%8"/>
      <w:lvlJc w:val="left"/>
      <w:pPr>
        <w:ind w:left="910" w:firstLine="431"/>
      </w:pPr>
      <w:rPr>
        <w:rFonts w:hint="eastAsia"/>
      </w:rPr>
    </w:lvl>
    <w:lvl w:ilvl="8" w:tentative="0">
      <w:start w:val="1"/>
      <w:numFmt w:val="decimal"/>
      <w:lvlText w:val="%1.%2.%3.%4.%5.%6.%7.%8.%9"/>
      <w:lvlJc w:val="left"/>
      <w:pPr>
        <w:ind w:left="1040" w:firstLine="431"/>
      </w:pPr>
      <w:rPr>
        <w:rFonts w:hint="eastAsia"/>
      </w:rPr>
    </w:lvl>
  </w:abstractNum>
  <w:abstractNum w:abstractNumId="1">
    <w:nsid w:val="7EEB1818"/>
    <w:multiLevelType w:val="singleLevel"/>
    <w:tmpl w:val="7EEB1818"/>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true"/>
  <w:embedSystemFonts/>
  <w:bordersDoNotSurroundHeader w:val="false"/>
  <w:bordersDoNotSurroundFooter w:val="false"/>
  <w:revisionView w:markup="0"/>
  <w:documentProtection w:enforcement="0"/>
  <w:defaultTabStop w:val="420"/>
  <w:drawingGridVerticalSpacing w:val="156"/>
  <w:displayHorizontalDrawingGridEvery w:val="1"/>
  <w:displayVerticalDrawingGridEvery w:val="1"/>
  <w:noPunctuationKerning w:val="true"/>
  <w:characterSpacingControl w:val="compressPunctuation"/>
  <w:footnotePr>
    <w:footnote w:id="6"/>
    <w:footnote w:id="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kYjFhOTZlZGE0MjlmNmZiOWI4NjMzY2JjMTU0ZmEifQ=="/>
  </w:docVars>
  <w:rsids>
    <w:rsidRoot w:val="00000000"/>
    <w:rsid w:val="010D03E0"/>
    <w:rsid w:val="01BF0028"/>
    <w:rsid w:val="01F22664"/>
    <w:rsid w:val="022E3CA7"/>
    <w:rsid w:val="02424A4E"/>
    <w:rsid w:val="024800DE"/>
    <w:rsid w:val="04447FB3"/>
    <w:rsid w:val="04476DAC"/>
    <w:rsid w:val="055F333A"/>
    <w:rsid w:val="08BF1B87"/>
    <w:rsid w:val="0A611896"/>
    <w:rsid w:val="0B552508"/>
    <w:rsid w:val="0B776047"/>
    <w:rsid w:val="0BBC0E60"/>
    <w:rsid w:val="0E3D4C47"/>
    <w:rsid w:val="0ECC4866"/>
    <w:rsid w:val="0FAC5669"/>
    <w:rsid w:val="1030613F"/>
    <w:rsid w:val="105A112C"/>
    <w:rsid w:val="109B78FD"/>
    <w:rsid w:val="10F62635"/>
    <w:rsid w:val="12BF1158"/>
    <w:rsid w:val="13296AD7"/>
    <w:rsid w:val="13885495"/>
    <w:rsid w:val="14171861"/>
    <w:rsid w:val="14264388"/>
    <w:rsid w:val="15C26AA8"/>
    <w:rsid w:val="16B03EF9"/>
    <w:rsid w:val="16B50F53"/>
    <w:rsid w:val="171B2DF6"/>
    <w:rsid w:val="17D71C18"/>
    <w:rsid w:val="1C3B1844"/>
    <w:rsid w:val="1D747D6B"/>
    <w:rsid w:val="1E144F66"/>
    <w:rsid w:val="1E7808FF"/>
    <w:rsid w:val="1F2E4CE2"/>
    <w:rsid w:val="213D19A8"/>
    <w:rsid w:val="219D3536"/>
    <w:rsid w:val="24EA3554"/>
    <w:rsid w:val="25BA7C7E"/>
    <w:rsid w:val="267520EA"/>
    <w:rsid w:val="26C329A6"/>
    <w:rsid w:val="28620EA8"/>
    <w:rsid w:val="29E15474"/>
    <w:rsid w:val="2E082C92"/>
    <w:rsid w:val="2FF06513"/>
    <w:rsid w:val="30104C9D"/>
    <w:rsid w:val="30586CDB"/>
    <w:rsid w:val="30867478"/>
    <w:rsid w:val="313E5094"/>
    <w:rsid w:val="31BB5DB1"/>
    <w:rsid w:val="32BB63C9"/>
    <w:rsid w:val="344537E0"/>
    <w:rsid w:val="35AE11D8"/>
    <w:rsid w:val="368B7BD9"/>
    <w:rsid w:val="368F7394"/>
    <w:rsid w:val="37AB7270"/>
    <w:rsid w:val="3A804B9A"/>
    <w:rsid w:val="3AAF547F"/>
    <w:rsid w:val="3ACD1730"/>
    <w:rsid w:val="3BA2752D"/>
    <w:rsid w:val="3C430575"/>
    <w:rsid w:val="3E863CE3"/>
    <w:rsid w:val="3F157C32"/>
    <w:rsid w:val="410712B8"/>
    <w:rsid w:val="41B0562E"/>
    <w:rsid w:val="43543B0D"/>
    <w:rsid w:val="43A4243B"/>
    <w:rsid w:val="43AA43DA"/>
    <w:rsid w:val="440B7C8C"/>
    <w:rsid w:val="45EA63EE"/>
    <w:rsid w:val="465C7DFF"/>
    <w:rsid w:val="47E50732"/>
    <w:rsid w:val="482F269B"/>
    <w:rsid w:val="48F716A1"/>
    <w:rsid w:val="492D3E89"/>
    <w:rsid w:val="49D15A0D"/>
    <w:rsid w:val="4A7D2EA4"/>
    <w:rsid w:val="4A835FE1"/>
    <w:rsid w:val="4AB27DCC"/>
    <w:rsid w:val="4BD51101"/>
    <w:rsid w:val="4D5E26CE"/>
    <w:rsid w:val="4F086B05"/>
    <w:rsid w:val="50406E4E"/>
    <w:rsid w:val="506C1ED9"/>
    <w:rsid w:val="536F17F8"/>
    <w:rsid w:val="53A737D1"/>
    <w:rsid w:val="53D14E22"/>
    <w:rsid w:val="53FF3275"/>
    <w:rsid w:val="5411465D"/>
    <w:rsid w:val="552A1D12"/>
    <w:rsid w:val="55306D65"/>
    <w:rsid w:val="55706187"/>
    <w:rsid w:val="55C474FB"/>
    <w:rsid w:val="562C5B57"/>
    <w:rsid w:val="581A1772"/>
    <w:rsid w:val="591744C4"/>
    <w:rsid w:val="5AEE56F8"/>
    <w:rsid w:val="5B673C31"/>
    <w:rsid w:val="5CCF055D"/>
    <w:rsid w:val="5D9B6ADE"/>
    <w:rsid w:val="5DA61F57"/>
    <w:rsid w:val="5E650C22"/>
    <w:rsid w:val="5EC51548"/>
    <w:rsid w:val="5F774986"/>
    <w:rsid w:val="5FA11513"/>
    <w:rsid w:val="5FFA781B"/>
    <w:rsid w:val="61025A59"/>
    <w:rsid w:val="62D454A7"/>
    <w:rsid w:val="63000308"/>
    <w:rsid w:val="638621C5"/>
    <w:rsid w:val="64682077"/>
    <w:rsid w:val="65056A59"/>
    <w:rsid w:val="65716BF4"/>
    <w:rsid w:val="657575D6"/>
    <w:rsid w:val="65BC2046"/>
    <w:rsid w:val="66603FE9"/>
    <w:rsid w:val="686C0583"/>
    <w:rsid w:val="6B693426"/>
    <w:rsid w:val="6BA3608B"/>
    <w:rsid w:val="6CCB3AEB"/>
    <w:rsid w:val="6D387A16"/>
    <w:rsid w:val="6F3C7FE7"/>
    <w:rsid w:val="6F443FD3"/>
    <w:rsid w:val="6F7BB1F8"/>
    <w:rsid w:val="6FD869D8"/>
    <w:rsid w:val="6FFD4DFD"/>
    <w:rsid w:val="70253512"/>
    <w:rsid w:val="710F6C77"/>
    <w:rsid w:val="724D0AFE"/>
    <w:rsid w:val="72CE1C3F"/>
    <w:rsid w:val="740960CF"/>
    <w:rsid w:val="745A4A8A"/>
    <w:rsid w:val="75363E9D"/>
    <w:rsid w:val="775364CC"/>
    <w:rsid w:val="78605D0B"/>
    <w:rsid w:val="78882817"/>
    <w:rsid w:val="78886D34"/>
    <w:rsid w:val="7BC30D78"/>
    <w:rsid w:val="7BE768EC"/>
    <w:rsid w:val="7BF83C66"/>
    <w:rsid w:val="7CA348D4"/>
    <w:rsid w:val="7CD11B39"/>
    <w:rsid w:val="7CD27C69"/>
    <w:rsid w:val="7E567A14"/>
    <w:rsid w:val="7E7318ED"/>
    <w:rsid w:val="7EA5419C"/>
    <w:rsid w:val="AEFFEC7F"/>
    <w:rsid w:val="D9F0F6CB"/>
    <w:rsid w:val="DD939AA6"/>
    <w:rsid w:val="FDD417FE"/>
    <w:rsid w:val="FE3F8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1" w:hanging="431"/>
      <w:outlineLvl w:val="0"/>
    </w:pPr>
    <w:rPr>
      <w:rFonts w:ascii="Calibri" w:hAnsi="Calibri" w:eastAsia="宋体" w:cs="Times New Roman"/>
      <w:b/>
      <w:spacing w:val="0"/>
      <w:kern w:val="44"/>
      <w:sz w:val="44"/>
      <w:szCs w:val="24"/>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ind w:firstLine="420" w:firstLineChars="200"/>
    </w:pPr>
  </w:style>
  <w:style w:type="paragraph" w:styleId="4">
    <w:name w:val="caption"/>
    <w:basedOn w:val="1"/>
    <w:next w:val="1"/>
    <w:semiHidden/>
    <w:unhideWhenUsed/>
    <w:qFormat/>
    <w:uiPriority w:val="0"/>
    <w:rPr>
      <w:rFonts w:ascii="Arial" w:hAnsi="Arial" w:eastAsia="黑体"/>
      <w:sz w:val="20"/>
    </w:r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unhideWhenUsed/>
    <w:qFormat/>
    <w:uiPriority w:val="39"/>
    <w:pPr>
      <w:tabs>
        <w:tab w:val="right" w:leader="dot" w:pos="8296"/>
      </w:tabs>
    </w:pPr>
    <w:rPr>
      <w:rFonts w:ascii="Times New Roman" w:hAnsi="Times New Roman"/>
      <w:b/>
      <w:sz w:val="30"/>
      <w:szCs w:val="24"/>
    </w:rPr>
  </w:style>
  <w:style w:type="paragraph" w:styleId="9">
    <w:name w:val="footnote text"/>
    <w:basedOn w:val="1"/>
    <w:qFormat/>
    <w:uiPriority w:val="0"/>
    <w:pPr>
      <w:snapToGrid w:val="0"/>
      <w:jc w:val="left"/>
    </w:pPr>
    <w:rPr>
      <w:sz w:val="18"/>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footnote reference"/>
    <w:basedOn w:val="12"/>
    <w:qFormat/>
    <w:uiPriority w:val="0"/>
    <w:rPr>
      <w:vertAlign w:val="superscript"/>
    </w:rPr>
  </w:style>
  <w:style w:type="paragraph" w:styleId="15">
    <w:name w:val="List Paragraph"/>
    <w:basedOn w:val="1"/>
    <w:qFormat/>
    <w:uiPriority w:val="34"/>
    <w:pPr>
      <w:ind w:firstLine="420" w:firstLineChars="200"/>
    </w:pPr>
    <w:rPr>
      <w:rFonts w:ascii="Times New Roman" w:hAnsi="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false"/>
        </a:gradFill>
        <a:gradFill>
          <a:gsLst>
            <a:gs pos="0">
              <a:schemeClr val="phClr">
                <a:hueOff val="-2520000"/>
              </a:schemeClr>
            </a:gs>
            <a:gs pos="100000">
              <a:schemeClr val="phClr"/>
            </a:gs>
          </a:gsLst>
          <a:lin ang="2700000" scaled="false"/>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true"/>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42</Pages>
  <Words>9728</Words>
  <Characters>10256</Characters>
  <Lines>0</Lines>
  <Paragraphs>0</Paragraphs>
  <TotalTime>5</TotalTime>
  <ScaleCrop>false</ScaleCrop>
  <LinksUpToDate>false</LinksUpToDate>
  <CharactersWithSpaces>10407</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2023-10-24T09:56:00Z</dcterms:created>
  <dc:creator>52977</dc:creator>
  <cp:lastModifiedBy>KF</cp:lastModifiedBy>
  <cp:lastPrinted>2024-07-23T22:37:00Z</cp:lastPrinted>
  <dcterms:modified xsi:type="dcterms:W3CDTF">2025-08-21T15:29:45Z</dcterms:modified>
  <dc:title>珠海市加氢站布局专项规划</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F342BFA224DB42769AD96D92DFDFFBDC_13</vt:lpwstr>
  </property>
  <property fmtid="{D5CDD505-2E9C-101B-9397-08002B2CF9AE}" pid="4" name="KSOTemplateDocerSaveRecord">
    <vt:lpwstr>eyJoZGlkIjoiMWVkYjFhOTZlZGE0MjlmNmZiOWI4NjMzY2JjMTU0ZmEiLCJ1c2VySWQiOiI1NTMxMTYzMjYifQ==</vt:lpwstr>
  </property>
</Properties>
</file>