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简体" w:hAnsi="仿宋" w:eastAsia="方正小标宋简体" w:cs="方正仿宋简体"/>
          <w:color w:val="000000"/>
          <w:szCs w:val="32"/>
        </w:rPr>
      </w:pPr>
      <w:r>
        <w:rPr>
          <w:rFonts w:hint="eastAsia" w:ascii="方正小标宋简体" w:hAnsi="仿宋" w:eastAsia="方正小标宋简体" w:cs="方正仿宋简体"/>
          <w:color w:val="000000"/>
          <w:sz w:val="36"/>
          <w:szCs w:val="36"/>
        </w:rPr>
        <w:t>锂离子电池产品质量监督抽查实施细则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lang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每款产品抽取2组样本，第1组用于检验，第2组用于备样。</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每组样本需抽取样品数量如下表所示：</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0"/>
        <w:gridCol w:w="1050"/>
        <w:gridCol w:w="2681"/>
        <w:gridCol w:w="2313"/>
        <w:gridCol w:w="138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59" w:type="pct"/>
            <w:vAlign w:val="center"/>
          </w:tcPr>
          <w:p>
            <w:pPr>
              <w:spacing w:line="340" w:lineRule="exact"/>
              <w:jc w:val="center"/>
              <w:rPr>
                <w:rFonts w:eastAsia="黑体"/>
                <w:color w:val="000000"/>
                <w:sz w:val="21"/>
                <w:szCs w:val="21"/>
              </w:rPr>
            </w:pPr>
            <w:r>
              <w:rPr>
                <w:rFonts w:eastAsia="黑体"/>
                <w:color w:val="000000"/>
                <w:sz w:val="21"/>
                <w:szCs w:val="21"/>
              </w:rPr>
              <w:t>序</w:t>
            </w:r>
          </w:p>
          <w:p>
            <w:pPr>
              <w:spacing w:line="340" w:lineRule="exact"/>
              <w:jc w:val="center"/>
              <w:rPr>
                <w:rFonts w:eastAsia="黑体"/>
                <w:color w:val="000000"/>
                <w:sz w:val="21"/>
                <w:szCs w:val="21"/>
              </w:rPr>
            </w:pPr>
            <w:r>
              <w:rPr>
                <w:rFonts w:eastAsia="黑体"/>
                <w:color w:val="000000"/>
                <w:sz w:val="21"/>
                <w:szCs w:val="21"/>
              </w:rPr>
              <w:t>号</w:t>
            </w:r>
          </w:p>
        </w:tc>
        <w:tc>
          <w:tcPr>
            <w:tcW w:w="3253" w:type="pct"/>
            <w:gridSpan w:val="3"/>
            <w:vAlign w:val="center"/>
          </w:tcPr>
          <w:p>
            <w:pPr>
              <w:spacing w:line="340" w:lineRule="exact"/>
              <w:jc w:val="center"/>
              <w:rPr>
                <w:rFonts w:eastAsia="黑体"/>
                <w:color w:val="000000"/>
                <w:sz w:val="21"/>
                <w:szCs w:val="21"/>
              </w:rPr>
            </w:pPr>
            <w:r>
              <w:rPr>
                <w:rFonts w:eastAsia="黑体"/>
                <w:color w:val="000000"/>
                <w:sz w:val="21"/>
                <w:szCs w:val="21"/>
              </w:rPr>
              <w:t>产品名称</w:t>
            </w:r>
          </w:p>
        </w:tc>
        <w:tc>
          <w:tcPr>
            <w:tcW w:w="743" w:type="pct"/>
            <w:vAlign w:val="center"/>
          </w:tcPr>
          <w:p>
            <w:pPr>
              <w:spacing w:line="340" w:lineRule="exact"/>
              <w:jc w:val="center"/>
              <w:rPr>
                <w:rFonts w:eastAsia="黑体"/>
                <w:color w:val="000000"/>
                <w:sz w:val="21"/>
                <w:szCs w:val="21"/>
              </w:rPr>
            </w:pPr>
            <w:r>
              <w:rPr>
                <w:rFonts w:eastAsia="黑体"/>
                <w:color w:val="000000"/>
                <w:sz w:val="21"/>
                <w:szCs w:val="21"/>
              </w:rPr>
              <w:t>第1组数量（款）</w:t>
            </w:r>
          </w:p>
        </w:tc>
        <w:tc>
          <w:tcPr>
            <w:tcW w:w="743" w:type="pct"/>
            <w:vAlign w:val="center"/>
          </w:tcPr>
          <w:p>
            <w:pPr>
              <w:spacing w:line="340" w:lineRule="exact"/>
              <w:jc w:val="center"/>
              <w:rPr>
                <w:rFonts w:eastAsia="黑体"/>
                <w:color w:val="000000"/>
                <w:sz w:val="21"/>
                <w:szCs w:val="21"/>
              </w:rPr>
            </w:pPr>
            <w:r>
              <w:rPr>
                <w:rFonts w:eastAsia="黑体"/>
                <w:color w:val="000000"/>
                <w:sz w:val="21"/>
                <w:szCs w:val="21"/>
              </w:rPr>
              <w:t>第2组数量（款）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259" w:type="pct"/>
            <w:vMerge w:val="restart"/>
            <w:vAlign w:val="center"/>
          </w:tcPr>
          <w:p>
            <w:pPr>
              <w:spacing w:line="340" w:lineRule="exact"/>
              <w:jc w:val="center"/>
              <w:rPr>
                <w:rFonts w:eastAsia="宋体"/>
                <w:color w:val="000000"/>
                <w:sz w:val="21"/>
                <w:szCs w:val="21"/>
              </w:rPr>
            </w:pPr>
            <w:bookmarkStart w:id="0" w:name="OLE_LINK30" w:colFirst="2" w:colLast="2"/>
            <w:r>
              <w:rPr>
                <w:rFonts w:hint="eastAsia" w:eastAsia="宋体"/>
                <w:color w:val="000000"/>
                <w:sz w:val="21"/>
                <w:szCs w:val="21"/>
              </w:rPr>
              <w:t>1</w:t>
            </w:r>
          </w:p>
        </w:tc>
        <w:tc>
          <w:tcPr>
            <w:tcW w:w="565" w:type="pct"/>
            <w:vMerge w:val="restart"/>
            <w:vAlign w:val="center"/>
          </w:tcPr>
          <w:p>
            <w:pPr>
              <w:spacing w:line="340" w:lineRule="exact"/>
              <w:jc w:val="center"/>
              <w:rPr>
                <w:rFonts w:eastAsia="宋体"/>
                <w:color w:val="000000"/>
                <w:sz w:val="21"/>
                <w:szCs w:val="21"/>
              </w:rPr>
            </w:pPr>
            <w:r>
              <w:rPr>
                <w:rFonts w:hint="eastAsia" w:eastAsia="宋体"/>
                <w:color w:val="000000"/>
                <w:sz w:val="21"/>
                <w:szCs w:val="21"/>
              </w:rPr>
              <w:t>锂离子电池</w:t>
            </w:r>
          </w:p>
        </w:tc>
        <w:tc>
          <w:tcPr>
            <w:tcW w:w="1443" w:type="pct"/>
            <w:vMerge w:val="restart"/>
            <w:vAlign w:val="center"/>
          </w:tcPr>
          <w:p>
            <w:pPr>
              <w:spacing w:line="340" w:lineRule="exact"/>
              <w:jc w:val="center"/>
              <w:rPr>
                <w:rFonts w:eastAsia="宋体"/>
                <w:color w:val="000000"/>
                <w:sz w:val="21"/>
                <w:szCs w:val="21"/>
              </w:rPr>
            </w:pPr>
            <w:bookmarkStart w:id="1" w:name="OLE_LINK31"/>
            <w:r>
              <w:rPr>
                <w:rFonts w:hint="eastAsia" w:eastAsia="宋体"/>
                <w:color w:val="000000"/>
                <w:sz w:val="21"/>
                <w:szCs w:val="21"/>
              </w:rPr>
              <w:t>便携式电子产品用锂离子电池</w:t>
            </w:r>
            <w:bookmarkEnd w:id="1"/>
            <w:r>
              <w:rPr>
                <w:rFonts w:hint="eastAsia" w:eastAsia="宋体"/>
                <w:color w:val="000000"/>
                <w:sz w:val="21"/>
                <w:szCs w:val="21"/>
              </w:rPr>
              <w:t>和电池组</w:t>
            </w:r>
          </w:p>
        </w:tc>
        <w:tc>
          <w:tcPr>
            <w:tcW w:w="1243" w:type="pct"/>
            <w:vAlign w:val="center"/>
          </w:tcPr>
          <w:p>
            <w:pPr>
              <w:spacing w:line="340" w:lineRule="exact"/>
              <w:jc w:val="center"/>
              <w:rPr>
                <w:rFonts w:eastAsia="宋体"/>
                <w:color w:val="000000"/>
                <w:sz w:val="21"/>
                <w:szCs w:val="21"/>
              </w:rPr>
            </w:pPr>
            <w:r>
              <w:rPr>
                <w:rFonts w:hint="eastAsia" w:eastAsia="宋体"/>
                <w:color w:val="000000"/>
                <w:sz w:val="21"/>
                <w:szCs w:val="21"/>
              </w:rPr>
              <w:t>电池</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15</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259" w:type="pct"/>
            <w:vMerge w:val="continue"/>
            <w:vAlign w:val="center"/>
          </w:tcPr>
          <w:p>
            <w:pPr>
              <w:spacing w:line="340" w:lineRule="exact"/>
              <w:jc w:val="center"/>
              <w:rPr>
                <w:rFonts w:eastAsia="宋体"/>
                <w:color w:val="000000"/>
                <w:sz w:val="21"/>
                <w:szCs w:val="21"/>
              </w:rPr>
            </w:pPr>
          </w:p>
        </w:tc>
        <w:tc>
          <w:tcPr>
            <w:tcW w:w="565" w:type="pct"/>
            <w:vMerge w:val="continue"/>
            <w:vAlign w:val="center"/>
          </w:tcPr>
          <w:p>
            <w:pPr>
              <w:spacing w:line="340" w:lineRule="exact"/>
              <w:jc w:val="center"/>
              <w:rPr>
                <w:rFonts w:eastAsia="宋体"/>
                <w:color w:val="000000"/>
                <w:sz w:val="21"/>
                <w:szCs w:val="21"/>
              </w:rPr>
            </w:pPr>
          </w:p>
        </w:tc>
        <w:tc>
          <w:tcPr>
            <w:tcW w:w="1443" w:type="pct"/>
            <w:vMerge w:val="continue"/>
            <w:vAlign w:val="center"/>
          </w:tcPr>
          <w:p>
            <w:pPr>
              <w:spacing w:line="340" w:lineRule="exact"/>
              <w:jc w:val="center"/>
              <w:rPr>
                <w:rFonts w:eastAsia="宋体"/>
                <w:color w:val="000000"/>
                <w:sz w:val="21"/>
                <w:szCs w:val="21"/>
              </w:rPr>
            </w:pPr>
          </w:p>
        </w:tc>
        <w:tc>
          <w:tcPr>
            <w:tcW w:w="1243" w:type="pct"/>
            <w:vAlign w:val="center"/>
          </w:tcPr>
          <w:p>
            <w:pPr>
              <w:spacing w:line="340" w:lineRule="exact"/>
              <w:jc w:val="center"/>
              <w:rPr>
                <w:rFonts w:eastAsia="宋体"/>
                <w:color w:val="000000"/>
                <w:sz w:val="21"/>
                <w:szCs w:val="21"/>
              </w:rPr>
            </w:pPr>
            <w:r>
              <w:rPr>
                <w:rFonts w:hint="eastAsia" w:eastAsia="宋体"/>
                <w:color w:val="000000"/>
                <w:sz w:val="21"/>
                <w:szCs w:val="21"/>
              </w:rPr>
              <w:t>电池组</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15</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7</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259" w:type="pct"/>
            <w:vMerge w:val="restart"/>
            <w:vAlign w:val="center"/>
          </w:tcPr>
          <w:p>
            <w:pPr>
              <w:spacing w:line="340" w:lineRule="exact"/>
              <w:jc w:val="center"/>
              <w:rPr>
                <w:rFonts w:eastAsia="宋体"/>
                <w:color w:val="000000"/>
                <w:sz w:val="21"/>
                <w:szCs w:val="21"/>
              </w:rPr>
            </w:pPr>
            <w:r>
              <w:rPr>
                <w:rFonts w:hint="eastAsia" w:eastAsia="宋体"/>
                <w:color w:val="000000"/>
                <w:sz w:val="21"/>
                <w:szCs w:val="21"/>
              </w:rPr>
              <w:t>2</w:t>
            </w:r>
          </w:p>
        </w:tc>
        <w:tc>
          <w:tcPr>
            <w:tcW w:w="565" w:type="pct"/>
            <w:vMerge w:val="continue"/>
            <w:vAlign w:val="center"/>
          </w:tcPr>
          <w:p>
            <w:pPr>
              <w:spacing w:line="340" w:lineRule="exact"/>
              <w:jc w:val="center"/>
              <w:rPr>
                <w:rFonts w:eastAsia="宋体"/>
                <w:color w:val="000000"/>
                <w:sz w:val="21"/>
                <w:szCs w:val="21"/>
              </w:rPr>
            </w:pPr>
          </w:p>
        </w:tc>
        <w:tc>
          <w:tcPr>
            <w:tcW w:w="1443" w:type="pct"/>
            <w:vMerge w:val="restart"/>
            <w:vAlign w:val="center"/>
          </w:tcPr>
          <w:p>
            <w:pPr>
              <w:spacing w:line="340" w:lineRule="exact"/>
              <w:jc w:val="center"/>
              <w:rPr>
                <w:rFonts w:eastAsia="宋体"/>
                <w:color w:val="000000"/>
                <w:sz w:val="21"/>
                <w:szCs w:val="21"/>
              </w:rPr>
            </w:pPr>
            <w:r>
              <w:rPr>
                <w:rFonts w:hint="eastAsia" w:eastAsia="宋体"/>
                <w:color w:val="000000"/>
                <w:sz w:val="21"/>
                <w:szCs w:val="21"/>
              </w:rPr>
              <w:t>固定式电子设备用</w:t>
            </w:r>
          </w:p>
          <w:p>
            <w:pPr>
              <w:spacing w:line="340" w:lineRule="exact"/>
              <w:jc w:val="center"/>
              <w:rPr>
                <w:rFonts w:eastAsia="宋体"/>
                <w:color w:val="000000"/>
                <w:sz w:val="21"/>
                <w:szCs w:val="21"/>
              </w:rPr>
            </w:pPr>
            <w:r>
              <w:rPr>
                <w:rFonts w:hint="eastAsia" w:eastAsia="宋体"/>
                <w:color w:val="000000"/>
                <w:sz w:val="21"/>
                <w:szCs w:val="21"/>
              </w:rPr>
              <w:t>锂离子电池和电池组</w:t>
            </w:r>
          </w:p>
        </w:tc>
        <w:tc>
          <w:tcPr>
            <w:tcW w:w="1243" w:type="pct"/>
            <w:vAlign w:val="center"/>
          </w:tcPr>
          <w:p>
            <w:pPr>
              <w:spacing w:line="340" w:lineRule="exact"/>
              <w:jc w:val="center"/>
              <w:rPr>
                <w:rFonts w:eastAsia="宋体"/>
                <w:color w:val="000000"/>
                <w:sz w:val="21"/>
                <w:szCs w:val="21"/>
              </w:rPr>
            </w:pPr>
            <w:r>
              <w:rPr>
                <w:rFonts w:hint="eastAsia" w:eastAsia="宋体"/>
                <w:color w:val="000000"/>
                <w:sz w:val="21"/>
                <w:szCs w:val="21"/>
              </w:rPr>
              <w:t>电池组（n≥15）</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4</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259" w:type="pct"/>
            <w:vMerge w:val="continue"/>
            <w:vAlign w:val="center"/>
          </w:tcPr>
          <w:p>
            <w:pPr>
              <w:spacing w:line="340" w:lineRule="exact"/>
              <w:jc w:val="center"/>
              <w:rPr>
                <w:rFonts w:eastAsia="宋体"/>
                <w:color w:val="000000"/>
                <w:sz w:val="21"/>
                <w:szCs w:val="21"/>
              </w:rPr>
            </w:pPr>
          </w:p>
        </w:tc>
        <w:tc>
          <w:tcPr>
            <w:tcW w:w="565" w:type="pct"/>
            <w:vMerge w:val="continue"/>
            <w:vAlign w:val="center"/>
          </w:tcPr>
          <w:p>
            <w:pPr>
              <w:spacing w:line="340" w:lineRule="exact"/>
              <w:jc w:val="center"/>
              <w:rPr>
                <w:rFonts w:eastAsia="宋体"/>
                <w:color w:val="000000"/>
                <w:sz w:val="21"/>
                <w:szCs w:val="21"/>
              </w:rPr>
            </w:pPr>
          </w:p>
        </w:tc>
        <w:tc>
          <w:tcPr>
            <w:tcW w:w="1443" w:type="pct"/>
            <w:vMerge w:val="continue"/>
            <w:vAlign w:val="center"/>
          </w:tcPr>
          <w:p>
            <w:pPr>
              <w:spacing w:line="340" w:lineRule="exact"/>
              <w:jc w:val="center"/>
              <w:rPr>
                <w:rFonts w:eastAsia="宋体"/>
                <w:color w:val="000000"/>
                <w:sz w:val="21"/>
                <w:szCs w:val="21"/>
              </w:rPr>
            </w:pPr>
          </w:p>
        </w:tc>
        <w:tc>
          <w:tcPr>
            <w:tcW w:w="1243" w:type="pct"/>
            <w:vAlign w:val="center"/>
          </w:tcPr>
          <w:p>
            <w:pPr>
              <w:spacing w:line="340" w:lineRule="exact"/>
              <w:jc w:val="center"/>
              <w:rPr>
                <w:rFonts w:eastAsia="宋体"/>
                <w:color w:val="000000"/>
                <w:sz w:val="21"/>
                <w:szCs w:val="21"/>
              </w:rPr>
            </w:pPr>
            <w:r>
              <w:rPr>
                <w:rFonts w:hint="eastAsia" w:eastAsia="宋体"/>
                <w:color w:val="000000"/>
                <w:sz w:val="21"/>
                <w:szCs w:val="21"/>
              </w:rPr>
              <w:t>电池组（n＜15）</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[15/n]+4</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259" w:type="pct"/>
            <w:vAlign w:val="center"/>
          </w:tcPr>
          <w:p>
            <w:pPr>
              <w:spacing w:line="340" w:lineRule="exact"/>
              <w:jc w:val="center"/>
              <w:rPr>
                <w:rFonts w:eastAsia="宋体"/>
                <w:color w:val="000000"/>
                <w:sz w:val="21"/>
                <w:szCs w:val="21"/>
              </w:rPr>
            </w:pPr>
            <w:r>
              <w:rPr>
                <w:rFonts w:hint="eastAsia" w:eastAsia="宋体"/>
                <w:color w:val="000000"/>
                <w:sz w:val="21"/>
                <w:szCs w:val="21"/>
              </w:rPr>
              <w:t>3</w:t>
            </w:r>
          </w:p>
        </w:tc>
        <w:tc>
          <w:tcPr>
            <w:tcW w:w="565" w:type="pct"/>
            <w:vMerge w:val="continue"/>
            <w:vAlign w:val="center"/>
          </w:tcPr>
          <w:p>
            <w:pPr>
              <w:spacing w:line="340" w:lineRule="exact"/>
              <w:jc w:val="center"/>
              <w:rPr>
                <w:rFonts w:eastAsia="宋体"/>
                <w:color w:val="000000"/>
                <w:sz w:val="21"/>
                <w:szCs w:val="21"/>
              </w:rPr>
            </w:pPr>
          </w:p>
        </w:tc>
        <w:tc>
          <w:tcPr>
            <w:tcW w:w="2687"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电动摩托车和电动轻便摩托车用锂离子电池</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2</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59" w:type="pct"/>
            <w:vAlign w:val="center"/>
          </w:tcPr>
          <w:p>
            <w:pPr>
              <w:spacing w:line="340" w:lineRule="exact"/>
              <w:jc w:val="center"/>
              <w:rPr>
                <w:rFonts w:eastAsia="宋体"/>
                <w:color w:val="000000"/>
                <w:sz w:val="21"/>
                <w:szCs w:val="21"/>
              </w:rPr>
            </w:pPr>
            <w:r>
              <w:rPr>
                <w:rFonts w:hint="eastAsia" w:eastAsia="宋体"/>
                <w:color w:val="000000"/>
                <w:sz w:val="21"/>
                <w:szCs w:val="21"/>
              </w:rPr>
              <w:t>4</w:t>
            </w:r>
          </w:p>
        </w:tc>
        <w:tc>
          <w:tcPr>
            <w:tcW w:w="565" w:type="pct"/>
            <w:vMerge w:val="continue"/>
            <w:vAlign w:val="center"/>
          </w:tcPr>
          <w:p>
            <w:pPr>
              <w:spacing w:line="340" w:lineRule="exact"/>
              <w:jc w:val="center"/>
              <w:rPr>
                <w:rFonts w:eastAsia="宋体"/>
                <w:color w:val="000000"/>
                <w:sz w:val="21"/>
                <w:szCs w:val="21"/>
              </w:rPr>
            </w:pPr>
          </w:p>
        </w:tc>
        <w:tc>
          <w:tcPr>
            <w:tcW w:w="2687"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电力储能用锂离子电池</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2</w:t>
            </w:r>
          </w:p>
        </w:tc>
        <w:tc>
          <w:tcPr>
            <w:tcW w:w="743" w:type="pct"/>
            <w:vAlign w:val="center"/>
          </w:tcPr>
          <w:p>
            <w:pPr>
              <w:spacing w:line="340" w:lineRule="exact"/>
              <w:jc w:val="center"/>
              <w:rPr>
                <w:rFonts w:eastAsia="宋体"/>
                <w:color w:val="000000"/>
                <w:sz w:val="21"/>
                <w:szCs w:val="21"/>
              </w:rPr>
            </w:pPr>
            <w:r>
              <w:rPr>
                <w:rFonts w:hint="eastAsia" w:eastAsia="宋体"/>
                <w:color w:val="000000"/>
                <w:sz w:val="21"/>
                <w:szCs w:val="21"/>
              </w:rPr>
              <w:t>1</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注：1.n为电池组内部电芯数量；当n无法确定时，n取1；</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2.[15/n]为取整函数，表</w:t>
      </w:r>
      <w:bookmarkStart w:id="15" w:name="_GoBack"/>
      <w:bookmarkEnd w:id="15"/>
      <w:r>
        <w:rPr>
          <w:rFonts w:hint="eastAsia" w:ascii="仿宋" w:hAnsi="仿宋" w:eastAsia="仿宋" w:cs="仿宋"/>
          <w:color w:val="000000"/>
          <w:sz w:val="28"/>
          <w:szCs w:val="28"/>
        </w:rPr>
        <w:t xml:space="preserve">示取15/n的整数部分，例如当15/n =3.14时，[15/n]=3；15/n =4时，[15/n]=4。 </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锂离子电池（</w:t>
      </w:r>
      <w:bookmarkStart w:id="2" w:name="OLE_LINK22"/>
      <w:r>
        <w:rPr>
          <w:rFonts w:hint="eastAsia" w:ascii="仿宋" w:hAnsi="仿宋" w:eastAsia="仿宋" w:cs="仿宋"/>
          <w:color w:val="000000"/>
          <w:sz w:val="28"/>
          <w:szCs w:val="28"/>
        </w:rPr>
        <w:t>便携式电子产品用锂离子电池</w:t>
      </w:r>
      <w:bookmarkEnd w:id="2"/>
      <w:r>
        <w:rPr>
          <w:rFonts w:hint="eastAsia" w:ascii="仿宋" w:hAnsi="仿宋" w:eastAsia="仿宋" w:cs="仿宋"/>
          <w:color w:val="000000"/>
          <w:sz w:val="28"/>
          <w:szCs w:val="28"/>
        </w:rPr>
        <w:t>和电池组）</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124"/>
        <w:gridCol w:w="4460"/>
        <w:gridCol w:w="119"/>
        <w:gridCol w:w="3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5000" w:type="pct"/>
            <w:gridSpan w:val="5"/>
            <w:vAlign w:val="center"/>
          </w:tcPr>
          <w:p>
            <w:pPr>
              <w:spacing w:line="340" w:lineRule="exact"/>
              <w:jc w:val="center"/>
              <w:rPr>
                <w:rFonts w:ascii="黑体" w:hAnsi="黑体" w:eastAsia="黑体" w:cs="黑体"/>
                <w:color w:val="000000"/>
                <w:sz w:val="21"/>
                <w:szCs w:val="21"/>
              </w:rPr>
            </w:pPr>
            <w:bookmarkStart w:id="3" w:name="OLE_LINK21" w:colFirst="0" w:colLast="2"/>
            <w:r>
              <w:rPr>
                <w:rFonts w:hint="eastAsia" w:ascii="黑体" w:hAnsi="黑体" w:eastAsia="黑体" w:cs="黑体"/>
                <w:color w:val="000000"/>
                <w:sz w:val="21"/>
                <w:szCs w:val="21"/>
              </w:rPr>
              <w:t>便携式电子产品用锂离子电池</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ascii="黑体" w:hAnsi="黑体" w:eastAsia="黑体" w:cs="黑体"/>
                <w:color w:val="000000"/>
                <w:sz w:val="21"/>
                <w:szCs w:val="21"/>
              </w:rPr>
            </w:pPr>
            <w:bookmarkStart w:id="4" w:name="OLE_LINK33" w:colFirst="0" w:colLast="2"/>
            <w:r>
              <w:rPr>
                <w:rFonts w:hint="eastAsia" w:ascii="黑体" w:hAnsi="黑体" w:eastAsia="黑体" w:cs="黑体"/>
                <w:color w:val="000000"/>
                <w:sz w:val="21"/>
                <w:szCs w:val="21"/>
              </w:rPr>
              <w:t>序号</w:t>
            </w:r>
          </w:p>
        </w:tc>
        <w:tc>
          <w:tcPr>
            <w:tcW w:w="2465" w:type="pct"/>
            <w:gridSpan w:val="2"/>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检验项目</w:t>
            </w:r>
          </w:p>
        </w:tc>
        <w:tc>
          <w:tcPr>
            <w:tcW w:w="1620"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检验方法</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1</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bookmarkStart w:id="5" w:name="OLE_LINK29"/>
            <w:r>
              <w:rPr>
                <w:rFonts w:hint="eastAsia" w:eastAsia="宋体"/>
                <w:color w:val="000000"/>
                <w:sz w:val="21"/>
                <w:szCs w:val="21"/>
              </w:rPr>
              <w:t>样品容量测试</w:t>
            </w:r>
            <w:bookmarkEnd w:id="5"/>
          </w:p>
        </w:tc>
        <w:tc>
          <w:tcPr>
            <w:tcW w:w="162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bookmarkStart w:id="6" w:name="OLE_LINK9"/>
            <w:r>
              <w:rPr>
                <w:rFonts w:hint="eastAsia" w:eastAsia="宋体"/>
                <w:color w:val="000000"/>
                <w:sz w:val="21"/>
                <w:szCs w:val="21"/>
              </w:rPr>
              <w:t>GB 31241-2022</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2</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高温外部短路</w:t>
            </w:r>
          </w:p>
        </w:tc>
        <w:tc>
          <w:tcPr>
            <w:tcW w:w="162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3</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过充电</w:t>
            </w:r>
          </w:p>
        </w:tc>
        <w:tc>
          <w:tcPr>
            <w:tcW w:w="162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4</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重物冲击a</w:t>
            </w:r>
          </w:p>
        </w:tc>
        <w:tc>
          <w:tcPr>
            <w:tcW w:w="162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5</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热滥用</w:t>
            </w:r>
          </w:p>
        </w:tc>
        <w:tc>
          <w:tcPr>
            <w:tcW w:w="162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bookmarkStart w:id="7" w:name="OLE_LINK34"/>
            <w:r>
              <w:rPr>
                <w:rFonts w:hint="eastAsia" w:eastAsia="宋体"/>
                <w:color w:val="000000"/>
                <w:sz w:val="21"/>
                <w:szCs w:val="21"/>
              </w:rPr>
              <w:t>GB 31241-2022</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6</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燃烧喷射</w:t>
            </w:r>
          </w:p>
        </w:tc>
        <w:tc>
          <w:tcPr>
            <w:tcW w:w="162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5000" w:type="pct"/>
            <w:gridSpan w:val="5"/>
            <w:tcBorders>
              <w:right w:val="single" w:color="auto" w:sz="4" w:space="0"/>
            </w:tcBorders>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便携式电子产品用锂离子电池组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序号</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检验项目</w:t>
            </w:r>
          </w:p>
        </w:tc>
        <w:tc>
          <w:tcPr>
            <w:tcW w:w="1683"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bookmarkStart w:id="8" w:name="OLE_LINK35" w:colFirst="2" w:colLast="2"/>
            <w:r>
              <w:rPr>
                <w:rFonts w:hint="eastAsia" w:eastAsia="宋体"/>
                <w:color w:val="000000"/>
                <w:sz w:val="21"/>
                <w:szCs w:val="21"/>
              </w:rPr>
              <w:t>1</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样品容量测试</w:t>
            </w:r>
          </w:p>
        </w:tc>
        <w:tc>
          <w:tcPr>
            <w:tcW w:w="1683"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2</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高温使用</w:t>
            </w:r>
          </w:p>
        </w:tc>
        <w:tc>
          <w:tcPr>
            <w:tcW w:w="1683"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3</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过压充电保护</w:t>
            </w:r>
          </w:p>
        </w:tc>
        <w:tc>
          <w:tcPr>
            <w:tcW w:w="1683"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4</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过流充电保护</w:t>
            </w:r>
          </w:p>
        </w:tc>
        <w:tc>
          <w:tcPr>
            <w:tcW w:w="1683"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5</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短路保护</w:t>
            </w:r>
          </w:p>
        </w:tc>
        <w:tc>
          <w:tcPr>
            <w:tcW w:w="1683"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6</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过压充电</w:t>
            </w:r>
          </w:p>
        </w:tc>
        <w:tc>
          <w:tcPr>
            <w:tcW w:w="1683"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7</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过流充电</w:t>
            </w:r>
          </w:p>
        </w:tc>
        <w:tc>
          <w:tcPr>
            <w:tcW w:w="1683"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8</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外部短路</w:t>
            </w:r>
          </w:p>
        </w:tc>
        <w:tc>
          <w:tcPr>
            <w:tcW w:w="1683"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31241-2022</w:t>
            </w:r>
          </w:p>
        </w:tc>
      </w:tr>
    </w:tbl>
    <w:p>
      <w:pPr>
        <w:snapToGrid w:val="0"/>
        <w:spacing w:line="560" w:lineRule="exact"/>
        <w:ind w:firstLine="560" w:firstLineChars="200"/>
        <w:rPr>
          <w:sz w:val="28"/>
          <w:szCs w:val="28"/>
        </w:rPr>
      </w:pPr>
      <w:r>
        <w:rPr>
          <w:sz w:val="28"/>
          <w:szCs w:val="28"/>
        </w:rPr>
        <w:t>注：</w:t>
      </w:r>
      <w:bookmarkStart w:id="9" w:name="OLE_LINK11"/>
      <w:r>
        <w:rPr>
          <w:sz w:val="28"/>
          <w:szCs w:val="28"/>
        </w:rPr>
        <w:t>1.所有项目的检测需要提供制造商参数</w:t>
      </w:r>
      <w:bookmarkStart w:id="10" w:name="OLE_LINK18"/>
      <w:r>
        <w:rPr>
          <w:sz w:val="28"/>
          <w:szCs w:val="28"/>
        </w:rPr>
        <w:t>（见附件197-1）</w:t>
      </w:r>
      <w:bookmarkEnd w:id="9"/>
      <w:bookmarkEnd w:id="10"/>
      <w:r>
        <w:rPr>
          <w:sz w:val="28"/>
          <w:szCs w:val="28"/>
        </w:rPr>
        <w:t>，若受检企业未提供充放电方法，则采用标准方法进行充放电：电池或电池组充电前先在23℃±2℃的环境温度下以0.2It A进行放电至截止电压，然后电池在相同的环境温度条件下，以0.2It A电流进行充电，当电池或电池组端电压达到充电限制电压时，改为恒压充电，直到充电电流小于或等于0.02It A，最长充电时间不大于8h，停止充电；</w:t>
      </w:r>
    </w:p>
    <w:p>
      <w:pPr>
        <w:snapToGrid w:val="0"/>
        <w:spacing w:line="560" w:lineRule="exact"/>
        <w:ind w:firstLine="560" w:firstLineChars="200"/>
        <w:rPr>
          <w:sz w:val="28"/>
          <w:szCs w:val="28"/>
        </w:rPr>
      </w:pPr>
      <w:r>
        <w:rPr>
          <w:sz w:val="28"/>
          <w:szCs w:val="28"/>
        </w:rPr>
        <w:t>2.a“重物冲击”项目软包电池不适用。</w:t>
      </w:r>
    </w:p>
    <w:p>
      <w:pPr>
        <w:snapToGrid w:val="0"/>
        <w:spacing w:line="560" w:lineRule="exact"/>
        <w:jc w:val="center"/>
        <w:rPr>
          <w:sz w:val="28"/>
          <w:szCs w:val="28"/>
        </w:rPr>
      </w:pPr>
      <w:r>
        <w:rPr>
          <w:sz w:val="28"/>
          <w:szCs w:val="28"/>
        </w:rPr>
        <w:t>锂离子电池（固定式电子设备用锂离子电池和电池组）</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4584"/>
        <w:gridCol w:w="3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blHeader/>
          <w:jc w:val="center"/>
        </w:trPr>
        <w:tc>
          <w:tcPr>
            <w:tcW w:w="857"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序号</w:t>
            </w:r>
          </w:p>
        </w:tc>
        <w:tc>
          <w:tcPr>
            <w:tcW w:w="2467"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检验项目</w:t>
            </w:r>
          </w:p>
        </w:tc>
        <w:tc>
          <w:tcPr>
            <w:tcW w:w="1674"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7" w:type="pct"/>
            <w:vAlign w:val="center"/>
          </w:tcPr>
          <w:p>
            <w:pPr>
              <w:spacing w:line="340" w:lineRule="exact"/>
              <w:jc w:val="center"/>
              <w:rPr>
                <w:rFonts w:eastAsia="宋体"/>
                <w:color w:val="000000"/>
                <w:sz w:val="21"/>
                <w:szCs w:val="21"/>
              </w:rPr>
            </w:pPr>
            <w:r>
              <w:rPr>
                <w:rFonts w:hint="eastAsia" w:eastAsia="宋体"/>
                <w:color w:val="000000"/>
                <w:sz w:val="21"/>
                <w:szCs w:val="21"/>
              </w:rPr>
              <w:t>1</w:t>
            </w:r>
          </w:p>
        </w:tc>
        <w:tc>
          <w:tcPr>
            <w:tcW w:w="2467"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电池样品容量测试a</w:t>
            </w:r>
          </w:p>
        </w:tc>
        <w:tc>
          <w:tcPr>
            <w:tcW w:w="167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bookmarkStart w:id="11" w:name="OLE_LINK13"/>
            <w:r>
              <w:rPr>
                <w:rFonts w:hint="eastAsia" w:eastAsia="宋体"/>
                <w:color w:val="000000"/>
                <w:sz w:val="21"/>
                <w:szCs w:val="21"/>
              </w:rPr>
              <w:t>GB 40165-2021</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7" w:type="pct"/>
            <w:vAlign w:val="center"/>
          </w:tcPr>
          <w:p>
            <w:pPr>
              <w:spacing w:line="340" w:lineRule="exact"/>
              <w:jc w:val="center"/>
              <w:rPr>
                <w:rFonts w:eastAsia="宋体"/>
                <w:color w:val="000000"/>
                <w:sz w:val="21"/>
                <w:szCs w:val="21"/>
              </w:rPr>
            </w:pPr>
            <w:r>
              <w:rPr>
                <w:rFonts w:hint="eastAsia" w:eastAsia="宋体"/>
                <w:color w:val="000000"/>
                <w:sz w:val="21"/>
                <w:szCs w:val="21"/>
              </w:rPr>
              <w:t>2</w:t>
            </w:r>
          </w:p>
        </w:tc>
        <w:tc>
          <w:tcPr>
            <w:tcW w:w="2467"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高温外部短路</w:t>
            </w:r>
          </w:p>
        </w:tc>
        <w:tc>
          <w:tcPr>
            <w:tcW w:w="167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7" w:type="pct"/>
            <w:vAlign w:val="center"/>
          </w:tcPr>
          <w:p>
            <w:pPr>
              <w:spacing w:line="340" w:lineRule="exact"/>
              <w:jc w:val="center"/>
              <w:rPr>
                <w:rFonts w:eastAsia="宋体"/>
                <w:color w:val="000000"/>
                <w:sz w:val="21"/>
                <w:szCs w:val="21"/>
              </w:rPr>
            </w:pPr>
            <w:r>
              <w:rPr>
                <w:rFonts w:hint="eastAsia" w:eastAsia="宋体"/>
                <w:color w:val="000000"/>
                <w:sz w:val="21"/>
                <w:szCs w:val="21"/>
              </w:rPr>
              <w:t>3</w:t>
            </w:r>
          </w:p>
        </w:tc>
        <w:tc>
          <w:tcPr>
            <w:tcW w:w="2467"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过充电</w:t>
            </w:r>
          </w:p>
        </w:tc>
        <w:tc>
          <w:tcPr>
            <w:tcW w:w="167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7" w:type="pct"/>
            <w:vAlign w:val="center"/>
          </w:tcPr>
          <w:p>
            <w:pPr>
              <w:spacing w:line="340" w:lineRule="exact"/>
              <w:jc w:val="center"/>
              <w:rPr>
                <w:rFonts w:eastAsia="宋体"/>
                <w:color w:val="000000"/>
                <w:sz w:val="21"/>
                <w:szCs w:val="21"/>
              </w:rPr>
            </w:pPr>
            <w:r>
              <w:rPr>
                <w:rFonts w:hint="eastAsia" w:eastAsia="宋体"/>
                <w:color w:val="000000"/>
                <w:sz w:val="21"/>
                <w:szCs w:val="21"/>
              </w:rPr>
              <w:t>4</w:t>
            </w:r>
          </w:p>
        </w:tc>
        <w:tc>
          <w:tcPr>
            <w:tcW w:w="2467"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强制放电</w:t>
            </w:r>
          </w:p>
        </w:tc>
        <w:tc>
          <w:tcPr>
            <w:tcW w:w="167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7" w:type="pct"/>
            <w:vAlign w:val="center"/>
          </w:tcPr>
          <w:p>
            <w:pPr>
              <w:spacing w:line="340" w:lineRule="exact"/>
              <w:jc w:val="center"/>
              <w:rPr>
                <w:rFonts w:eastAsia="宋体"/>
                <w:color w:val="000000"/>
                <w:sz w:val="21"/>
                <w:szCs w:val="21"/>
              </w:rPr>
            </w:pPr>
            <w:r>
              <w:rPr>
                <w:rFonts w:hint="eastAsia" w:eastAsia="宋体"/>
                <w:color w:val="000000"/>
                <w:sz w:val="21"/>
                <w:szCs w:val="21"/>
              </w:rPr>
              <w:t>5</w:t>
            </w:r>
          </w:p>
        </w:tc>
        <w:tc>
          <w:tcPr>
            <w:tcW w:w="2467"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重物冲击/挤压</w:t>
            </w:r>
          </w:p>
        </w:tc>
        <w:tc>
          <w:tcPr>
            <w:tcW w:w="167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7" w:type="pct"/>
            <w:vAlign w:val="center"/>
          </w:tcPr>
          <w:p>
            <w:pPr>
              <w:spacing w:line="340" w:lineRule="exact"/>
              <w:jc w:val="center"/>
              <w:rPr>
                <w:rFonts w:eastAsia="宋体"/>
                <w:color w:val="000000"/>
                <w:sz w:val="21"/>
                <w:szCs w:val="21"/>
              </w:rPr>
            </w:pPr>
            <w:r>
              <w:rPr>
                <w:rFonts w:hint="eastAsia" w:eastAsia="宋体"/>
                <w:color w:val="000000"/>
                <w:sz w:val="21"/>
                <w:szCs w:val="21"/>
              </w:rPr>
              <w:t>6</w:t>
            </w:r>
          </w:p>
        </w:tc>
        <w:tc>
          <w:tcPr>
            <w:tcW w:w="2467"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热滥用</w:t>
            </w:r>
          </w:p>
        </w:tc>
        <w:tc>
          <w:tcPr>
            <w:tcW w:w="167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7" w:type="pct"/>
            <w:vAlign w:val="center"/>
          </w:tcPr>
          <w:p>
            <w:pPr>
              <w:spacing w:line="340" w:lineRule="exact"/>
              <w:jc w:val="center"/>
              <w:rPr>
                <w:rFonts w:eastAsia="宋体"/>
                <w:color w:val="000000"/>
                <w:sz w:val="21"/>
                <w:szCs w:val="21"/>
              </w:rPr>
            </w:pPr>
            <w:r>
              <w:rPr>
                <w:rFonts w:hint="eastAsia" w:eastAsia="宋体"/>
                <w:color w:val="000000"/>
                <w:sz w:val="21"/>
                <w:szCs w:val="21"/>
              </w:rPr>
              <w:t>7</w:t>
            </w:r>
          </w:p>
        </w:tc>
        <w:tc>
          <w:tcPr>
            <w:tcW w:w="2467"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过压充电b</w:t>
            </w:r>
          </w:p>
        </w:tc>
        <w:tc>
          <w:tcPr>
            <w:tcW w:w="167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7" w:type="pct"/>
            <w:vAlign w:val="center"/>
          </w:tcPr>
          <w:p>
            <w:pPr>
              <w:spacing w:line="340" w:lineRule="exact"/>
              <w:jc w:val="center"/>
              <w:rPr>
                <w:rFonts w:eastAsia="宋体"/>
                <w:color w:val="000000"/>
                <w:sz w:val="21"/>
                <w:szCs w:val="21"/>
              </w:rPr>
            </w:pPr>
            <w:r>
              <w:rPr>
                <w:rFonts w:hint="eastAsia" w:eastAsia="宋体"/>
                <w:color w:val="000000"/>
                <w:sz w:val="21"/>
                <w:szCs w:val="21"/>
              </w:rPr>
              <w:t>8</w:t>
            </w:r>
          </w:p>
        </w:tc>
        <w:tc>
          <w:tcPr>
            <w:tcW w:w="2467"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短路b</w:t>
            </w:r>
          </w:p>
        </w:tc>
        <w:tc>
          <w:tcPr>
            <w:tcW w:w="167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7" w:type="pct"/>
            <w:vAlign w:val="center"/>
          </w:tcPr>
          <w:p>
            <w:pPr>
              <w:spacing w:line="340" w:lineRule="exact"/>
              <w:jc w:val="center"/>
              <w:rPr>
                <w:rFonts w:eastAsia="宋体"/>
                <w:color w:val="000000"/>
                <w:sz w:val="21"/>
                <w:szCs w:val="21"/>
              </w:rPr>
            </w:pPr>
            <w:r>
              <w:rPr>
                <w:rFonts w:hint="eastAsia" w:eastAsia="宋体"/>
                <w:color w:val="000000"/>
                <w:sz w:val="21"/>
                <w:szCs w:val="21"/>
              </w:rPr>
              <w:t>9</w:t>
            </w:r>
          </w:p>
        </w:tc>
        <w:tc>
          <w:tcPr>
            <w:tcW w:w="2467"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过热b</w:t>
            </w:r>
          </w:p>
        </w:tc>
        <w:tc>
          <w:tcPr>
            <w:tcW w:w="167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 40165-2021</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注：1.所有项目的检测需要提供制造商参数（见附件197-3），若受检企业未提供充放电方法，则采用标准方法进行充放电：电池或电池组充电前先在23℃±2℃的环境温度下以0.2It A进行放电至截止电压，然后电池在相同的环境温度条件下，以0.2It A电流进行充电，当电池或电池组端电压达到充电限制电压时，改为恒压充电，直到充电电流小于或等于0.02It A，最长充电时间不大于8h，停止充电。</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w:t>
      </w:r>
      <w:bookmarkStart w:id="12" w:name="OLE_LINK53"/>
      <w:r>
        <w:rPr>
          <w:rFonts w:hint="eastAsia" w:ascii="仿宋" w:hAnsi="仿宋" w:eastAsia="仿宋" w:cs="仿宋"/>
          <w:color w:val="000000"/>
          <w:sz w:val="28"/>
          <w:szCs w:val="28"/>
        </w:rPr>
        <w:t>.a抽查样品为电池组，对电池组的电芯进行容量测试，检测方法参照GB 40165-2021中第4.6.3条，结果按照电芯明示的额定容量/能量进行判定。电池组仅测试a、b项目，b不适用于电池单体</w:t>
      </w:r>
      <w:bookmarkEnd w:id="12"/>
      <w:r>
        <w:rPr>
          <w:rFonts w:hint="eastAsia" w:ascii="仿宋" w:hAnsi="仿宋" w:eastAsia="仿宋" w:cs="仿宋"/>
          <w:color w:val="000000"/>
          <w:sz w:val="28"/>
          <w:szCs w:val="28"/>
        </w:rPr>
        <w:t>。</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锂离子电池（电动摩托车和电动轻便摩托车用锂离子电池）</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4572"/>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67"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序号</w:t>
            </w:r>
          </w:p>
        </w:tc>
        <w:tc>
          <w:tcPr>
            <w:tcW w:w="2461"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检验项目</w:t>
            </w:r>
          </w:p>
        </w:tc>
        <w:tc>
          <w:tcPr>
            <w:tcW w:w="1670"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67" w:type="pct"/>
            <w:vAlign w:val="center"/>
          </w:tcPr>
          <w:p>
            <w:pPr>
              <w:spacing w:line="340" w:lineRule="exact"/>
              <w:jc w:val="center"/>
              <w:rPr>
                <w:rFonts w:eastAsia="宋体"/>
                <w:color w:val="000000"/>
                <w:sz w:val="21"/>
                <w:szCs w:val="21"/>
              </w:rPr>
            </w:pPr>
            <w:r>
              <w:rPr>
                <w:rFonts w:hint="eastAsia" w:eastAsia="宋体"/>
                <w:color w:val="000000"/>
                <w:sz w:val="21"/>
                <w:szCs w:val="21"/>
              </w:rPr>
              <w:t>1</w:t>
            </w:r>
          </w:p>
        </w:tc>
        <w:tc>
          <w:tcPr>
            <w:tcW w:w="246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室温放电容量</w:t>
            </w:r>
          </w:p>
        </w:tc>
        <w:tc>
          <w:tcPr>
            <w:tcW w:w="167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bookmarkStart w:id="13" w:name="OLE_LINK16"/>
            <w:r>
              <w:rPr>
                <w:rFonts w:hint="eastAsia" w:eastAsia="宋体"/>
                <w:color w:val="000000"/>
                <w:sz w:val="21"/>
                <w:szCs w:val="21"/>
              </w:rPr>
              <w:t>GB/T 36672-2018</w:t>
            </w:r>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67" w:type="pct"/>
            <w:vAlign w:val="center"/>
          </w:tcPr>
          <w:p>
            <w:pPr>
              <w:spacing w:line="340" w:lineRule="exact"/>
              <w:jc w:val="center"/>
              <w:rPr>
                <w:rFonts w:eastAsia="宋体"/>
                <w:color w:val="000000"/>
                <w:sz w:val="21"/>
                <w:szCs w:val="21"/>
              </w:rPr>
            </w:pPr>
            <w:r>
              <w:rPr>
                <w:rFonts w:hint="eastAsia" w:eastAsia="宋体"/>
                <w:color w:val="000000"/>
                <w:sz w:val="21"/>
                <w:szCs w:val="21"/>
              </w:rPr>
              <w:t>2</w:t>
            </w:r>
          </w:p>
        </w:tc>
        <w:tc>
          <w:tcPr>
            <w:tcW w:w="246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过充电保护</w:t>
            </w:r>
          </w:p>
        </w:tc>
        <w:tc>
          <w:tcPr>
            <w:tcW w:w="167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36672-2018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67" w:type="pct"/>
            <w:vAlign w:val="center"/>
          </w:tcPr>
          <w:p>
            <w:pPr>
              <w:spacing w:line="340" w:lineRule="exact"/>
              <w:jc w:val="center"/>
              <w:rPr>
                <w:rFonts w:eastAsia="宋体"/>
                <w:color w:val="000000"/>
                <w:sz w:val="21"/>
                <w:szCs w:val="21"/>
              </w:rPr>
            </w:pPr>
            <w:r>
              <w:rPr>
                <w:rFonts w:hint="eastAsia" w:eastAsia="宋体"/>
                <w:color w:val="000000"/>
                <w:sz w:val="21"/>
                <w:szCs w:val="21"/>
              </w:rPr>
              <w:t>3</w:t>
            </w:r>
          </w:p>
        </w:tc>
        <w:tc>
          <w:tcPr>
            <w:tcW w:w="246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过放电保护</w:t>
            </w:r>
          </w:p>
        </w:tc>
        <w:tc>
          <w:tcPr>
            <w:tcW w:w="167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36672-2018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67" w:type="pct"/>
            <w:vAlign w:val="center"/>
          </w:tcPr>
          <w:p>
            <w:pPr>
              <w:spacing w:line="340" w:lineRule="exact"/>
              <w:jc w:val="center"/>
              <w:rPr>
                <w:rFonts w:eastAsia="宋体"/>
                <w:color w:val="000000"/>
                <w:sz w:val="21"/>
                <w:szCs w:val="21"/>
              </w:rPr>
            </w:pPr>
            <w:r>
              <w:rPr>
                <w:rFonts w:hint="eastAsia" w:eastAsia="宋体"/>
                <w:color w:val="000000"/>
                <w:sz w:val="21"/>
                <w:szCs w:val="21"/>
              </w:rPr>
              <w:t>4</w:t>
            </w:r>
          </w:p>
        </w:tc>
        <w:tc>
          <w:tcPr>
            <w:tcW w:w="246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过温保护</w:t>
            </w:r>
          </w:p>
        </w:tc>
        <w:tc>
          <w:tcPr>
            <w:tcW w:w="167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36672-2018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67" w:type="pct"/>
            <w:vAlign w:val="center"/>
          </w:tcPr>
          <w:p>
            <w:pPr>
              <w:spacing w:line="340" w:lineRule="exact"/>
              <w:jc w:val="center"/>
              <w:rPr>
                <w:rFonts w:eastAsia="宋体"/>
                <w:color w:val="000000"/>
                <w:sz w:val="21"/>
                <w:szCs w:val="21"/>
              </w:rPr>
            </w:pPr>
            <w:r>
              <w:rPr>
                <w:rFonts w:hint="eastAsia" w:eastAsia="宋体"/>
                <w:color w:val="000000"/>
                <w:sz w:val="21"/>
                <w:szCs w:val="21"/>
              </w:rPr>
              <w:t>5</w:t>
            </w:r>
          </w:p>
        </w:tc>
        <w:tc>
          <w:tcPr>
            <w:tcW w:w="246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短路保护</w:t>
            </w:r>
          </w:p>
        </w:tc>
        <w:tc>
          <w:tcPr>
            <w:tcW w:w="167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36672-2018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67" w:type="pct"/>
            <w:vAlign w:val="center"/>
          </w:tcPr>
          <w:p>
            <w:pPr>
              <w:spacing w:line="340" w:lineRule="exact"/>
              <w:jc w:val="center"/>
              <w:rPr>
                <w:rFonts w:eastAsia="宋体"/>
                <w:color w:val="000000"/>
                <w:sz w:val="21"/>
                <w:szCs w:val="21"/>
              </w:rPr>
            </w:pPr>
            <w:r>
              <w:rPr>
                <w:rFonts w:hint="eastAsia" w:eastAsia="宋体"/>
                <w:color w:val="000000"/>
                <w:sz w:val="21"/>
                <w:szCs w:val="21"/>
              </w:rPr>
              <w:t>6</w:t>
            </w:r>
          </w:p>
        </w:tc>
        <w:tc>
          <w:tcPr>
            <w:tcW w:w="246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海水浸泡</w:t>
            </w:r>
          </w:p>
        </w:tc>
        <w:tc>
          <w:tcPr>
            <w:tcW w:w="167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36672-2018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67" w:type="pct"/>
            <w:vAlign w:val="center"/>
          </w:tcPr>
          <w:p>
            <w:pPr>
              <w:spacing w:line="340" w:lineRule="exact"/>
              <w:jc w:val="center"/>
              <w:rPr>
                <w:rFonts w:eastAsia="宋体"/>
                <w:color w:val="000000"/>
                <w:sz w:val="21"/>
                <w:szCs w:val="21"/>
              </w:rPr>
            </w:pPr>
            <w:r>
              <w:rPr>
                <w:rFonts w:hint="eastAsia" w:eastAsia="宋体"/>
                <w:color w:val="000000"/>
                <w:sz w:val="21"/>
                <w:szCs w:val="21"/>
              </w:rPr>
              <w:t>7</w:t>
            </w:r>
          </w:p>
        </w:tc>
        <w:tc>
          <w:tcPr>
            <w:tcW w:w="246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跌落</w:t>
            </w:r>
          </w:p>
        </w:tc>
        <w:tc>
          <w:tcPr>
            <w:tcW w:w="1670"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36672-2018</w:t>
            </w:r>
          </w:p>
        </w:tc>
      </w:tr>
    </w:tbl>
    <w:p>
      <w:pPr>
        <w:snapToGrid w:val="0"/>
        <w:spacing w:line="560" w:lineRule="exact"/>
        <w:ind w:firstLine="560" w:firstLineChars="200"/>
        <w:rPr>
          <w:sz w:val="28"/>
          <w:szCs w:val="28"/>
        </w:rPr>
      </w:pPr>
      <w:r>
        <w:rPr>
          <w:sz w:val="28"/>
          <w:szCs w:val="28"/>
        </w:rPr>
        <w:t>注：若制造商未声明充放电方法，采用标准规定的方法进行充放电。若电芯正极材料为磷酸铁锂，则电池组充电限制电压为n×3.65 V；电芯正极材料为其他材料类型的电池组，则充电限制电压为n×4.2 V（n为电池组内单体电池或单体电池并联块的串联级数）；电池组放电终止电压为制造商明示电压值，若制造商未进行明示则放电至电池组保护动作。</w:t>
      </w:r>
    </w:p>
    <w:p>
      <w:pPr>
        <w:snapToGrid w:val="0"/>
        <w:spacing w:line="560" w:lineRule="exact"/>
        <w:jc w:val="center"/>
        <w:rPr>
          <w:sz w:val="28"/>
          <w:szCs w:val="28"/>
        </w:rPr>
      </w:pPr>
      <w:r>
        <w:rPr>
          <w:sz w:val="28"/>
          <w:szCs w:val="28"/>
        </w:rPr>
        <w:t>锂离子电池（电力储能用锂离子电池）</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4597"/>
        <w:gridCol w:w="3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80"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序号</w:t>
            </w:r>
          </w:p>
        </w:tc>
        <w:tc>
          <w:tcPr>
            <w:tcW w:w="2475"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检验项目</w:t>
            </w:r>
          </w:p>
        </w:tc>
        <w:tc>
          <w:tcPr>
            <w:tcW w:w="1644"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80" w:type="pct"/>
            <w:vAlign w:val="center"/>
          </w:tcPr>
          <w:p>
            <w:pPr>
              <w:spacing w:line="340" w:lineRule="exact"/>
              <w:jc w:val="center"/>
              <w:rPr>
                <w:rFonts w:eastAsia="宋体"/>
                <w:color w:val="000000"/>
                <w:sz w:val="21"/>
                <w:szCs w:val="21"/>
              </w:rPr>
            </w:pPr>
            <w:r>
              <w:rPr>
                <w:rFonts w:hint="eastAsia" w:eastAsia="宋体"/>
                <w:color w:val="000000"/>
                <w:sz w:val="21"/>
                <w:szCs w:val="21"/>
              </w:rPr>
              <w:t>1</w:t>
            </w:r>
          </w:p>
        </w:tc>
        <w:tc>
          <w:tcPr>
            <w:tcW w:w="2475"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绝缘性能试验（电池模块）</w:t>
            </w:r>
          </w:p>
        </w:tc>
        <w:tc>
          <w:tcPr>
            <w:tcW w:w="164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80" w:type="pct"/>
            <w:vAlign w:val="center"/>
          </w:tcPr>
          <w:p>
            <w:pPr>
              <w:spacing w:line="340" w:lineRule="exact"/>
              <w:jc w:val="center"/>
              <w:rPr>
                <w:rFonts w:eastAsia="宋体"/>
                <w:color w:val="000000"/>
                <w:sz w:val="21"/>
                <w:szCs w:val="21"/>
              </w:rPr>
            </w:pPr>
            <w:r>
              <w:rPr>
                <w:rFonts w:hint="eastAsia" w:eastAsia="宋体"/>
                <w:color w:val="000000"/>
                <w:sz w:val="21"/>
                <w:szCs w:val="21"/>
              </w:rPr>
              <w:t>2</w:t>
            </w:r>
          </w:p>
        </w:tc>
        <w:tc>
          <w:tcPr>
            <w:tcW w:w="2475"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耐压性能试验（电池模块）</w:t>
            </w:r>
          </w:p>
        </w:tc>
        <w:tc>
          <w:tcPr>
            <w:tcW w:w="164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80" w:type="pct"/>
            <w:vAlign w:val="center"/>
          </w:tcPr>
          <w:p>
            <w:pPr>
              <w:spacing w:line="340" w:lineRule="exact"/>
              <w:jc w:val="center"/>
              <w:rPr>
                <w:rFonts w:eastAsia="宋体"/>
                <w:color w:val="000000"/>
                <w:sz w:val="21"/>
                <w:szCs w:val="21"/>
              </w:rPr>
            </w:pPr>
            <w:r>
              <w:rPr>
                <w:rFonts w:hint="eastAsia" w:eastAsia="宋体"/>
                <w:color w:val="000000"/>
                <w:sz w:val="21"/>
                <w:szCs w:val="21"/>
              </w:rPr>
              <w:t>3</w:t>
            </w:r>
          </w:p>
        </w:tc>
        <w:tc>
          <w:tcPr>
            <w:tcW w:w="2475"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过充电试验（电池模块）</w:t>
            </w:r>
          </w:p>
        </w:tc>
        <w:tc>
          <w:tcPr>
            <w:tcW w:w="1644"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sz w:val="28"/>
          <w:szCs w:val="28"/>
        </w:rPr>
        <w:t xml:space="preserve">    </w:t>
      </w:r>
      <w:r>
        <w:rPr>
          <w:rFonts w:hint="eastAsia" w:ascii="仿宋" w:hAnsi="仿宋" w:eastAsia="仿宋" w:cs="仿宋"/>
          <w:color w:val="000000"/>
          <w:sz w:val="28"/>
          <w:szCs w:val="28"/>
        </w:rPr>
        <w:t>注：</w:t>
      </w:r>
      <w:bookmarkStart w:id="14" w:name="OLE_LINK15"/>
      <w:r>
        <w:rPr>
          <w:rFonts w:hint="eastAsia" w:ascii="仿宋" w:hAnsi="仿宋" w:eastAsia="仿宋" w:cs="仿宋"/>
          <w:color w:val="000000"/>
          <w:sz w:val="28"/>
          <w:szCs w:val="28"/>
        </w:rPr>
        <w:t>1.抽取3个月以内出厂的样品；</w:t>
      </w:r>
    </w:p>
    <w:bookmarkEnd w:id="14"/>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2.所检项目的检测需要提供电池模块技术规格数据表（见附件197-5）。</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31241-2022《便携式电子产品用锂离子电池和电池组 安全技术规范》</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40165-2021《固定式电子设备用锂离子电池和电池组 安全技术规范》</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36672-2018《电动摩托车和电动轻便摩托车用锂离子电池》</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36276-2023《电力储能用锂离子电池》</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pPr>
      <w:r>
        <w:rPr>
          <w:rFonts w:hint="eastAsia" w:ascii="仿宋" w:hAnsi="仿宋" w:eastAsia="仿宋" w:cs="仿宋"/>
          <w:color w:val="000000"/>
          <w:sz w:val="28"/>
          <w:szCs w:val="28"/>
        </w:rPr>
        <w:t>若被检产品明示的质量要求缺少本细则中检验项目依据的推荐性标准要求时，该项目不参与判定。</w:t>
      </w: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仿宋简体">
    <w:altName w:val="方正仿宋_GBK"/>
    <w:panose1 w:val="00000000000000000000"/>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01AB68"/>
    <w:multiLevelType w:val="multilevel"/>
    <w:tmpl w:val="4B01AB68"/>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pStyle w:val="15"/>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89D"/>
    <w:rsid w:val="00203A71"/>
    <w:rsid w:val="003D353E"/>
    <w:rsid w:val="00420158"/>
    <w:rsid w:val="005C489D"/>
    <w:rsid w:val="006355B9"/>
    <w:rsid w:val="00752AD2"/>
    <w:rsid w:val="007A6CE1"/>
    <w:rsid w:val="00A32EEF"/>
    <w:rsid w:val="00AA2EEE"/>
    <w:rsid w:val="00BA1FB5"/>
    <w:rsid w:val="00C50DAE"/>
    <w:rsid w:val="00FF1397"/>
    <w:rsid w:val="7FB9CB27"/>
    <w:rsid w:val="CAEBCED2"/>
    <w:rsid w:val="E5FF79C0"/>
    <w:rsid w:val="FD9F973A"/>
    <w:rsid w:val="FDF7A86D"/>
    <w:rsid w:val="FF6F5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4"/>
    <w:semiHidden/>
    <w:unhideWhenUsed/>
    <w:qFormat/>
    <w:uiPriority w:val="99"/>
    <w:rPr>
      <w:rFonts w:ascii="宋体" w:hAnsi="Courier New" w:eastAsia="宋体" w:cs="Courier New"/>
      <w:sz w:val="21"/>
      <w:szCs w:val="21"/>
    </w:rPr>
  </w:style>
  <w:style w:type="paragraph" w:styleId="3">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toc 2"/>
    <w:basedOn w:val="1"/>
    <w:next w:val="1"/>
    <w:unhideWhenUsed/>
    <w:qFormat/>
    <w:uiPriority w:val="39"/>
    <w:pPr>
      <w:ind w:left="420" w:leftChars="200"/>
    </w:pPr>
    <w:rPr>
      <w:rFonts w:eastAsia="宋体"/>
      <w:sz w:val="21"/>
    </w:rPr>
  </w:style>
  <w:style w:type="paragraph" w:styleId="6">
    <w:name w:val="Normal (Web)"/>
    <w:unhideWhenUsed/>
    <w:qFormat/>
    <w:uiPriority w:val="99"/>
    <w:pPr>
      <w:widowControl w:val="0"/>
      <w:spacing w:before="100" w:beforeAutospacing="1" w:after="100" w:afterAutospacing="1"/>
      <w:jc w:val="both"/>
    </w:pPr>
    <w:rPr>
      <w:rFonts w:ascii="Calibri" w:hAnsi="Calibri" w:eastAsia="宋体" w:cs="Times New Roman"/>
      <w:kern w:val="2"/>
      <w:sz w:val="24"/>
      <w:szCs w:val="24"/>
      <w:lang w:val="en-US" w:eastAsia="zh-CN" w:bidi="ar-SA"/>
    </w:rPr>
  </w:style>
  <w:style w:type="table" w:styleId="8">
    <w:name w:val="Table Grid"/>
    <w:unhideWhenUsed/>
    <w:qFormat/>
    <w:uiPriority w:val="9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0">
    <w:name w:val="page number"/>
    <w:basedOn w:val="9"/>
    <w:uiPriority w:val="0"/>
  </w:style>
  <w:style w:type="character" w:customStyle="1" w:styleId="11">
    <w:name w:val="页眉 Char"/>
    <w:basedOn w:val="9"/>
    <w:link w:val="4"/>
    <w:qFormat/>
    <w:uiPriority w:val="99"/>
    <w:rPr>
      <w:sz w:val="18"/>
      <w:szCs w:val="18"/>
    </w:rPr>
  </w:style>
  <w:style w:type="character" w:customStyle="1" w:styleId="12">
    <w:name w:val="页脚 Char"/>
    <w:basedOn w:val="9"/>
    <w:link w:val="3"/>
    <w:qFormat/>
    <w:uiPriority w:val="99"/>
    <w:rPr>
      <w:sz w:val="18"/>
      <w:szCs w:val="18"/>
    </w:rPr>
  </w:style>
  <w:style w:type="paragraph" w:customStyle="1" w:styleId="13">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character" w:customStyle="1" w:styleId="14">
    <w:name w:val="纯文本 Char"/>
    <w:basedOn w:val="9"/>
    <w:link w:val="2"/>
    <w:semiHidden/>
    <w:qFormat/>
    <w:uiPriority w:val="99"/>
    <w:rPr>
      <w:rFonts w:ascii="宋体" w:hAnsi="Courier New" w:eastAsia="宋体" w:cs="Courier New"/>
      <w:szCs w:val="21"/>
    </w:rPr>
  </w:style>
  <w:style w:type="paragraph" w:customStyle="1" w:styleId="15">
    <w:name w:val="一级条标题"/>
    <w:next w:val="1"/>
    <w:qFormat/>
    <w:uiPriority w:val="0"/>
    <w:pPr>
      <w:numPr>
        <w:ilvl w:val="2"/>
        <w:numId w:val="1"/>
      </w:numPr>
      <w:tabs>
        <w:tab w:val="left" w:pos="1260"/>
      </w:tabs>
      <w:ind w:left="1260" w:hanging="420"/>
      <w:jc w:val="both"/>
      <w:outlineLvl w:val="2"/>
    </w:pPr>
    <w:rPr>
      <w:rFonts w:hint="eastAsia" w:ascii="黑体" w:hAnsi="Times New Roman" w:eastAsia="黑体" w:cs="Times New Roman"/>
      <w:sz w:val="21"/>
      <w:lang w:val="en-US" w:eastAsia="zh-CN" w:bidi="ar-SA"/>
    </w:rPr>
  </w:style>
  <w:style w:type="paragraph" w:styleId="16">
    <w:name w:val="List Paragraph"/>
    <w:qFormat/>
    <w:uiPriority w:val="99"/>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8</Pages>
  <Words>753</Words>
  <Characters>4296</Characters>
  <Lines>35</Lines>
  <Paragraphs>10</Paragraphs>
  <TotalTime>3</TotalTime>
  <ScaleCrop>false</ScaleCrop>
  <LinksUpToDate>false</LinksUpToDate>
  <CharactersWithSpaces>5039</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2024-05-17T08:43:00Z</dcterms:created>
  <dc:creator>政府版用户</dc:creator>
  <cp:lastModifiedBy>admin1</cp:lastModifiedBy>
  <dcterms:modified xsi:type="dcterms:W3CDTF">2025-04-22T16:41:34Z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30C509018A28F3F4ADEE746609428D24</vt:lpwstr>
  </property>
</Properties>
</file>