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40" w:lineRule="exact"/>
        <w:jc w:val="center"/>
        <w:rPr>
          <w:rFonts w:eastAsia="方正小标宋简体"/>
          <w:color w:val="000000"/>
          <w:sz w:val="36"/>
          <w:szCs w:val="36"/>
        </w:rPr>
      </w:pPr>
      <w:r>
        <w:rPr>
          <w:rFonts w:hint="eastAsia" w:eastAsia="方正小标宋简体"/>
          <w:color w:val="000000"/>
          <w:sz w:val="36"/>
          <w:szCs w:val="36"/>
        </w:rPr>
        <w:t>老年手机产品质量监督抽查实施细则</w:t>
      </w:r>
    </w:p>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color w:val="000000"/>
          <w:szCs w:val="21"/>
        </w:rPr>
      </w:pPr>
      <w:r>
        <w:rPr>
          <w:rFonts w:hint="eastAsia" w:ascii="仿宋" w:hAnsi="仿宋" w:eastAsia="仿宋" w:cs="仿宋"/>
          <w:sz w:val="32"/>
          <w:szCs w:val="32"/>
        </w:rPr>
        <w:t>（202</w:t>
      </w:r>
      <w:r>
        <w:rPr>
          <w:rFonts w:hint="eastAsia" w:ascii="仿宋" w:hAnsi="仿宋" w:eastAsia="仿宋" w:cs="仿宋"/>
          <w:sz w:val="32"/>
          <w:szCs w:val="32"/>
          <w:lang w:val="en-US" w:eastAsia="zh-CN"/>
        </w:rPr>
        <w:t>5</w:t>
      </w:r>
      <w:r>
        <w:rPr>
          <w:rFonts w:hint="eastAsia" w:ascii="仿宋" w:hAnsi="仿宋" w:eastAsia="仿宋" w:cs="仿宋"/>
          <w:sz w:val="32"/>
          <w:szCs w:val="32"/>
        </w:rPr>
        <w:t>年版）</w:t>
      </w:r>
    </w:p>
    <w:p>
      <w:pPr>
        <w:spacing w:line="520" w:lineRule="exact"/>
        <w:ind w:firstLine="880" w:firstLineChars="200"/>
        <w:jc w:val="left"/>
        <w:rPr>
          <w:rFonts w:eastAsia="方正小标宋简体" w:cs="方正小标宋简体"/>
          <w:color w:val="000000"/>
          <w:sz w:val="44"/>
          <w:szCs w:val="44"/>
        </w:rPr>
      </w:pPr>
      <w:bookmarkStart w:id="0" w:name="_GoBack"/>
      <w:bookmarkEnd w:id="0"/>
    </w:p>
    <w:p>
      <w:pPr>
        <w:keepNext w:val="0"/>
        <w:keepLines w:val="0"/>
        <w:pageBreakBefore w:val="0"/>
        <w:widowControl w:val="0"/>
        <w:kinsoku/>
        <w:wordWrap/>
        <w:overflowPunct/>
        <w:topLinePunct w:val="0"/>
        <w:autoSpaceDE/>
        <w:autoSpaceDN/>
        <w:bidi w:val="0"/>
        <w:adjustRightInd/>
        <w:snapToGrid w:val="0"/>
        <w:spacing w:line="480" w:lineRule="exact"/>
        <w:ind w:firstLine="560" w:firstLineChars="200"/>
        <w:jc w:val="left"/>
        <w:textAlignment w:val="auto"/>
        <w:rPr>
          <w:rFonts w:hint="eastAsia" w:ascii="黑体" w:hAnsi="黑体" w:eastAsia="黑体" w:cs="黑体"/>
          <w:color w:val="000000"/>
          <w:sz w:val="28"/>
          <w:szCs w:val="28"/>
        </w:rPr>
      </w:pPr>
      <w:r>
        <w:rPr>
          <w:rFonts w:hint="eastAsia" w:ascii="黑体" w:hAnsi="黑体" w:eastAsia="黑体" w:cs="黑体"/>
          <w:color w:val="000000"/>
          <w:sz w:val="28"/>
          <w:szCs w:val="28"/>
          <w:lang w:eastAsia="zh-CN"/>
        </w:rPr>
        <w:t>一、</w:t>
      </w:r>
      <w:r>
        <w:rPr>
          <w:rFonts w:hint="eastAsia" w:ascii="黑体" w:hAnsi="黑体" w:eastAsia="黑体" w:cs="黑体"/>
          <w:color w:val="000000"/>
          <w:sz w:val="28"/>
          <w:szCs w:val="28"/>
        </w:rPr>
        <w:t>抽样方法</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以随机抽样的方式在被抽样生产者、销售者的待销产品中抽取。</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随机数一般可使用随机数表等方法产生。</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rFonts w:ascii="仿宋" w:hAnsi="仿宋" w:eastAsia="仿宋" w:cs="仿宋"/>
          <w:kern w:val="0"/>
          <w:szCs w:val="32"/>
        </w:rPr>
      </w:pPr>
      <w:r>
        <w:rPr>
          <w:rFonts w:hint="eastAsia" w:ascii="仿宋" w:hAnsi="仿宋" w:eastAsia="仿宋" w:cs="仿宋"/>
          <w:color w:val="000000"/>
          <w:sz w:val="28"/>
          <w:szCs w:val="28"/>
        </w:rPr>
        <w:t>每批次抽取样品3台，其中2台作为检验样品，1台作为备用样品。</w:t>
      </w:r>
    </w:p>
    <w:p>
      <w:pPr>
        <w:keepNext w:val="0"/>
        <w:keepLines w:val="0"/>
        <w:pageBreakBefore w:val="0"/>
        <w:widowControl w:val="0"/>
        <w:kinsoku/>
        <w:wordWrap/>
        <w:overflowPunct/>
        <w:topLinePunct w:val="0"/>
        <w:autoSpaceDE/>
        <w:autoSpaceDN/>
        <w:bidi w:val="0"/>
        <w:adjustRightInd/>
        <w:snapToGrid w:val="0"/>
        <w:spacing w:line="480" w:lineRule="exact"/>
        <w:ind w:firstLine="560" w:firstLineChars="200"/>
        <w:jc w:val="left"/>
        <w:textAlignment w:val="auto"/>
        <w:rPr>
          <w:rFonts w:hint="eastAsia" w:ascii="黑体" w:hAnsi="黑体" w:eastAsia="黑体" w:cs="黑体"/>
          <w:color w:val="000000"/>
          <w:sz w:val="28"/>
          <w:szCs w:val="28"/>
          <w:lang w:eastAsia="zh-CN"/>
        </w:rPr>
      </w:pPr>
      <w:r>
        <w:rPr>
          <w:rFonts w:hint="eastAsia" w:ascii="黑体" w:hAnsi="黑体" w:eastAsia="黑体" w:cs="黑体"/>
          <w:color w:val="000000"/>
          <w:sz w:val="28"/>
          <w:szCs w:val="28"/>
          <w:lang w:eastAsia="zh-CN"/>
        </w:rPr>
        <w:t>二、检验依据</w:t>
      </w:r>
    </w:p>
    <w:p>
      <w:pPr>
        <w:snapToGrid w:val="0"/>
        <w:spacing w:line="440" w:lineRule="exact"/>
        <w:jc w:val="center"/>
        <w:rPr>
          <w:color w:val="000000"/>
          <w:szCs w:val="21"/>
        </w:rPr>
      </w:pPr>
    </w:p>
    <w:tbl>
      <w:tblPr>
        <w:tblStyle w:val="4"/>
        <w:tblW w:w="4926"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7"/>
        <w:gridCol w:w="3951"/>
        <w:gridCol w:w="43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 w:type="pct"/>
            <w:vAlign w:val="center"/>
          </w:tcPr>
          <w:p>
            <w:pPr>
              <w:snapToGrid w:val="0"/>
              <w:spacing w:line="440" w:lineRule="exact"/>
              <w:jc w:val="center"/>
              <w:rPr>
                <w:rFonts w:eastAsia="宋体"/>
                <w:color w:val="000000"/>
                <w:sz w:val="21"/>
                <w:szCs w:val="21"/>
              </w:rPr>
            </w:pPr>
            <w:r>
              <w:rPr>
                <w:rFonts w:eastAsia="宋体"/>
                <w:color w:val="000000"/>
                <w:sz w:val="21"/>
                <w:szCs w:val="21"/>
              </w:rPr>
              <w:t>序号</w:t>
            </w:r>
          </w:p>
        </w:tc>
        <w:tc>
          <w:tcPr>
            <w:tcW w:w="2159" w:type="pct"/>
            <w:vAlign w:val="center"/>
          </w:tcPr>
          <w:p>
            <w:pPr>
              <w:snapToGrid w:val="0"/>
              <w:spacing w:line="440" w:lineRule="exact"/>
              <w:jc w:val="center"/>
              <w:rPr>
                <w:rFonts w:eastAsia="宋体"/>
                <w:color w:val="000000"/>
                <w:sz w:val="21"/>
                <w:szCs w:val="21"/>
              </w:rPr>
            </w:pPr>
            <w:r>
              <w:rPr>
                <w:rFonts w:eastAsia="宋体"/>
                <w:color w:val="000000"/>
                <w:sz w:val="21"/>
                <w:szCs w:val="21"/>
              </w:rPr>
              <w:t>检验项目</w:t>
            </w:r>
          </w:p>
        </w:tc>
        <w:tc>
          <w:tcPr>
            <w:tcW w:w="2389" w:type="pct"/>
            <w:vAlign w:val="center"/>
          </w:tcPr>
          <w:p>
            <w:pPr>
              <w:snapToGrid w:val="0"/>
              <w:spacing w:line="440" w:lineRule="exact"/>
              <w:jc w:val="center"/>
              <w:rPr>
                <w:rFonts w:eastAsia="宋体"/>
                <w:color w:val="000000"/>
                <w:sz w:val="21"/>
                <w:szCs w:val="21"/>
              </w:rPr>
            </w:pPr>
            <w:r>
              <w:rPr>
                <w:rFonts w:eastAsia="宋体"/>
                <w:color w:val="000000"/>
                <w:sz w:val="21"/>
                <w:szCs w:val="21"/>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 w:type="pct"/>
            <w:vAlign w:val="center"/>
          </w:tcPr>
          <w:p>
            <w:pPr>
              <w:snapToGrid w:val="0"/>
              <w:spacing w:line="440" w:lineRule="exact"/>
              <w:jc w:val="center"/>
              <w:rPr>
                <w:rFonts w:eastAsia="宋体"/>
                <w:color w:val="000000"/>
                <w:sz w:val="21"/>
                <w:szCs w:val="21"/>
              </w:rPr>
            </w:pPr>
            <w:r>
              <w:rPr>
                <w:rFonts w:eastAsia="宋体"/>
                <w:color w:val="000000"/>
                <w:sz w:val="21"/>
                <w:szCs w:val="21"/>
              </w:rPr>
              <w:t>1</w:t>
            </w:r>
          </w:p>
        </w:tc>
        <w:tc>
          <w:tcPr>
            <w:tcW w:w="2159" w:type="pct"/>
            <w:vAlign w:val="center"/>
          </w:tcPr>
          <w:p>
            <w:pPr>
              <w:snapToGrid w:val="0"/>
              <w:spacing w:line="440" w:lineRule="exact"/>
              <w:jc w:val="center"/>
              <w:rPr>
                <w:rFonts w:eastAsia="宋体"/>
                <w:color w:val="000000"/>
                <w:sz w:val="21"/>
                <w:szCs w:val="21"/>
              </w:rPr>
            </w:pPr>
            <w:r>
              <w:rPr>
                <w:rFonts w:hint="eastAsia" w:eastAsia="宋体"/>
                <w:color w:val="000000"/>
                <w:sz w:val="21"/>
                <w:szCs w:val="21"/>
              </w:rPr>
              <w:t>导体的固定</w:t>
            </w:r>
          </w:p>
        </w:tc>
        <w:tc>
          <w:tcPr>
            <w:tcW w:w="2389" w:type="pct"/>
            <w:vAlign w:val="center"/>
          </w:tcPr>
          <w:p>
            <w:pPr>
              <w:snapToGrid w:val="0"/>
              <w:spacing w:line="440" w:lineRule="exact"/>
              <w:jc w:val="center"/>
              <w:rPr>
                <w:rFonts w:eastAsia="宋体"/>
                <w:color w:val="000000"/>
                <w:sz w:val="21"/>
                <w:szCs w:val="21"/>
              </w:rPr>
            </w:pPr>
            <w:r>
              <w:rPr>
                <w:rFonts w:hint="eastAsia" w:eastAsia="宋体"/>
                <w:color w:val="000000"/>
                <w:sz w:val="21"/>
                <w:szCs w:val="21"/>
              </w:rPr>
              <w:t>GB 4943.1-2022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 w:type="pct"/>
            <w:vAlign w:val="center"/>
          </w:tcPr>
          <w:p>
            <w:pPr>
              <w:snapToGrid w:val="0"/>
              <w:spacing w:line="440" w:lineRule="exact"/>
              <w:jc w:val="center"/>
              <w:rPr>
                <w:rFonts w:eastAsia="宋体"/>
                <w:color w:val="000000"/>
                <w:sz w:val="21"/>
                <w:szCs w:val="21"/>
              </w:rPr>
            </w:pPr>
            <w:r>
              <w:rPr>
                <w:rFonts w:eastAsia="宋体"/>
                <w:color w:val="000000"/>
                <w:sz w:val="21"/>
                <w:szCs w:val="21"/>
              </w:rPr>
              <w:t>2</w:t>
            </w:r>
          </w:p>
        </w:tc>
        <w:tc>
          <w:tcPr>
            <w:tcW w:w="2159" w:type="pct"/>
            <w:vAlign w:val="center"/>
          </w:tcPr>
          <w:p>
            <w:pPr>
              <w:snapToGrid w:val="0"/>
              <w:spacing w:line="440" w:lineRule="exact"/>
              <w:jc w:val="center"/>
              <w:rPr>
                <w:rFonts w:eastAsia="宋体"/>
                <w:color w:val="000000"/>
                <w:sz w:val="21"/>
                <w:szCs w:val="21"/>
              </w:rPr>
            </w:pPr>
            <w:r>
              <w:rPr>
                <w:rFonts w:hint="eastAsia" w:eastAsia="宋体"/>
                <w:color w:val="000000"/>
                <w:sz w:val="21"/>
                <w:szCs w:val="21"/>
              </w:rPr>
              <w:t>直接插入电网电源输出插座的设备</w:t>
            </w:r>
          </w:p>
        </w:tc>
        <w:tc>
          <w:tcPr>
            <w:tcW w:w="2389" w:type="pct"/>
            <w:vAlign w:val="center"/>
          </w:tcPr>
          <w:p>
            <w:pPr>
              <w:snapToGrid w:val="0"/>
              <w:spacing w:line="440" w:lineRule="exact"/>
              <w:jc w:val="center"/>
              <w:rPr>
                <w:rFonts w:eastAsia="宋体"/>
                <w:color w:val="000000"/>
                <w:sz w:val="21"/>
                <w:szCs w:val="21"/>
              </w:rPr>
            </w:pPr>
            <w:r>
              <w:rPr>
                <w:rFonts w:hint="eastAsia" w:eastAsia="宋体"/>
                <w:color w:val="000000"/>
                <w:sz w:val="21"/>
                <w:szCs w:val="21"/>
              </w:rPr>
              <w:t>GB 4943.1-2022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52" w:type="pct"/>
            <w:vAlign w:val="center"/>
          </w:tcPr>
          <w:p>
            <w:pPr>
              <w:snapToGrid w:val="0"/>
              <w:spacing w:line="440" w:lineRule="exact"/>
              <w:jc w:val="center"/>
              <w:rPr>
                <w:rFonts w:eastAsia="宋体"/>
                <w:color w:val="000000"/>
                <w:sz w:val="21"/>
                <w:szCs w:val="21"/>
              </w:rPr>
            </w:pPr>
            <w:r>
              <w:rPr>
                <w:rFonts w:eastAsia="宋体"/>
                <w:color w:val="000000"/>
                <w:sz w:val="21"/>
                <w:szCs w:val="21"/>
              </w:rPr>
              <w:t>3</w:t>
            </w:r>
          </w:p>
        </w:tc>
        <w:tc>
          <w:tcPr>
            <w:tcW w:w="2159" w:type="pct"/>
            <w:vAlign w:val="center"/>
          </w:tcPr>
          <w:p>
            <w:pPr>
              <w:snapToGrid w:val="0"/>
              <w:spacing w:line="440" w:lineRule="exact"/>
              <w:jc w:val="center"/>
              <w:rPr>
                <w:rFonts w:eastAsia="宋体"/>
                <w:color w:val="000000"/>
                <w:sz w:val="21"/>
                <w:szCs w:val="21"/>
              </w:rPr>
            </w:pPr>
            <w:r>
              <w:rPr>
                <w:rFonts w:hint="eastAsia" w:eastAsia="宋体"/>
                <w:color w:val="000000"/>
                <w:sz w:val="21"/>
                <w:szCs w:val="21"/>
              </w:rPr>
              <w:t>直接安装导电金属零部件的热塑性零部件</w:t>
            </w:r>
          </w:p>
        </w:tc>
        <w:tc>
          <w:tcPr>
            <w:tcW w:w="2389" w:type="pct"/>
            <w:vAlign w:val="center"/>
          </w:tcPr>
          <w:p>
            <w:pPr>
              <w:snapToGrid w:val="0"/>
              <w:spacing w:line="440" w:lineRule="exact"/>
              <w:jc w:val="center"/>
              <w:rPr>
                <w:rFonts w:eastAsia="宋体"/>
                <w:color w:val="000000"/>
                <w:sz w:val="21"/>
                <w:szCs w:val="21"/>
              </w:rPr>
            </w:pPr>
            <w:r>
              <w:rPr>
                <w:rFonts w:hint="eastAsia" w:eastAsia="宋体"/>
                <w:color w:val="000000"/>
                <w:sz w:val="21"/>
                <w:szCs w:val="21"/>
              </w:rPr>
              <w:t>GB 4943.1-2022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 w:type="pct"/>
            <w:vAlign w:val="center"/>
          </w:tcPr>
          <w:p>
            <w:pPr>
              <w:snapToGrid w:val="0"/>
              <w:spacing w:line="440" w:lineRule="exact"/>
              <w:jc w:val="center"/>
              <w:rPr>
                <w:rFonts w:eastAsia="宋体"/>
                <w:color w:val="000000"/>
                <w:sz w:val="21"/>
                <w:szCs w:val="21"/>
              </w:rPr>
            </w:pPr>
            <w:r>
              <w:rPr>
                <w:rFonts w:eastAsia="宋体"/>
                <w:color w:val="000000"/>
                <w:sz w:val="21"/>
                <w:szCs w:val="21"/>
              </w:rPr>
              <w:t>4</w:t>
            </w:r>
          </w:p>
        </w:tc>
        <w:tc>
          <w:tcPr>
            <w:tcW w:w="2159" w:type="pct"/>
            <w:vAlign w:val="center"/>
          </w:tcPr>
          <w:p>
            <w:pPr>
              <w:snapToGrid w:val="0"/>
              <w:spacing w:line="440" w:lineRule="exact"/>
              <w:jc w:val="center"/>
              <w:rPr>
                <w:rFonts w:eastAsia="宋体"/>
                <w:color w:val="000000"/>
                <w:sz w:val="21"/>
                <w:szCs w:val="21"/>
              </w:rPr>
            </w:pPr>
            <w:r>
              <w:rPr>
                <w:rFonts w:hint="eastAsia" w:eastAsia="宋体"/>
                <w:color w:val="000000"/>
                <w:sz w:val="21"/>
                <w:szCs w:val="21"/>
              </w:rPr>
              <w:t>电气间隙</w:t>
            </w:r>
          </w:p>
        </w:tc>
        <w:tc>
          <w:tcPr>
            <w:tcW w:w="2389" w:type="pct"/>
            <w:vAlign w:val="center"/>
          </w:tcPr>
          <w:p>
            <w:pPr>
              <w:snapToGrid w:val="0"/>
              <w:spacing w:line="440" w:lineRule="exact"/>
              <w:jc w:val="center"/>
              <w:rPr>
                <w:rFonts w:eastAsia="宋体"/>
                <w:color w:val="000000"/>
                <w:sz w:val="21"/>
                <w:szCs w:val="21"/>
              </w:rPr>
            </w:pPr>
            <w:r>
              <w:rPr>
                <w:rFonts w:hint="eastAsia" w:eastAsia="宋体"/>
                <w:color w:val="000000"/>
                <w:sz w:val="21"/>
                <w:szCs w:val="21"/>
              </w:rPr>
              <w:t xml:space="preserve">GB 4943.1-2022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 w:type="pct"/>
            <w:vAlign w:val="center"/>
          </w:tcPr>
          <w:p>
            <w:pPr>
              <w:snapToGrid w:val="0"/>
              <w:spacing w:line="440" w:lineRule="exact"/>
              <w:jc w:val="center"/>
              <w:rPr>
                <w:rFonts w:eastAsia="宋体"/>
                <w:color w:val="000000"/>
                <w:sz w:val="21"/>
                <w:szCs w:val="21"/>
              </w:rPr>
            </w:pPr>
            <w:r>
              <w:rPr>
                <w:rFonts w:eastAsia="宋体"/>
                <w:color w:val="000000"/>
                <w:sz w:val="21"/>
                <w:szCs w:val="21"/>
              </w:rPr>
              <w:t>5</w:t>
            </w:r>
          </w:p>
        </w:tc>
        <w:tc>
          <w:tcPr>
            <w:tcW w:w="2159" w:type="pct"/>
            <w:vAlign w:val="center"/>
          </w:tcPr>
          <w:p>
            <w:pPr>
              <w:snapToGrid w:val="0"/>
              <w:spacing w:line="440" w:lineRule="exact"/>
              <w:jc w:val="center"/>
              <w:rPr>
                <w:rFonts w:eastAsia="宋体"/>
                <w:color w:val="000000"/>
                <w:sz w:val="21"/>
                <w:szCs w:val="21"/>
              </w:rPr>
            </w:pPr>
            <w:r>
              <w:rPr>
                <w:rFonts w:hint="eastAsia" w:eastAsia="宋体"/>
                <w:color w:val="000000"/>
                <w:sz w:val="21"/>
                <w:szCs w:val="21"/>
              </w:rPr>
              <w:t>爬电距离</w:t>
            </w:r>
          </w:p>
        </w:tc>
        <w:tc>
          <w:tcPr>
            <w:tcW w:w="2389" w:type="pct"/>
            <w:vAlign w:val="center"/>
          </w:tcPr>
          <w:p>
            <w:pPr>
              <w:snapToGrid w:val="0"/>
              <w:spacing w:line="440" w:lineRule="exact"/>
              <w:jc w:val="center"/>
              <w:rPr>
                <w:rFonts w:eastAsia="宋体"/>
                <w:color w:val="000000"/>
                <w:sz w:val="21"/>
                <w:szCs w:val="21"/>
              </w:rPr>
            </w:pPr>
            <w:r>
              <w:rPr>
                <w:rFonts w:hint="eastAsia" w:eastAsia="宋体"/>
                <w:color w:val="000000"/>
                <w:sz w:val="21"/>
                <w:szCs w:val="21"/>
              </w:rPr>
              <w:t xml:space="preserve">GB 4943.1-2022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 w:type="pct"/>
            <w:vAlign w:val="center"/>
          </w:tcPr>
          <w:p>
            <w:pPr>
              <w:snapToGrid w:val="0"/>
              <w:spacing w:line="440" w:lineRule="exact"/>
              <w:jc w:val="center"/>
              <w:rPr>
                <w:rFonts w:eastAsia="宋体"/>
                <w:color w:val="000000"/>
                <w:sz w:val="21"/>
                <w:szCs w:val="21"/>
              </w:rPr>
            </w:pPr>
            <w:r>
              <w:rPr>
                <w:rFonts w:eastAsia="宋体"/>
                <w:color w:val="000000"/>
                <w:sz w:val="21"/>
                <w:szCs w:val="21"/>
              </w:rPr>
              <w:t>6</w:t>
            </w:r>
          </w:p>
        </w:tc>
        <w:tc>
          <w:tcPr>
            <w:tcW w:w="2159" w:type="pct"/>
            <w:vAlign w:val="center"/>
          </w:tcPr>
          <w:p>
            <w:pPr>
              <w:snapToGrid w:val="0"/>
              <w:spacing w:line="440" w:lineRule="exact"/>
              <w:jc w:val="center"/>
              <w:rPr>
                <w:rFonts w:eastAsia="宋体"/>
                <w:color w:val="000000"/>
                <w:sz w:val="21"/>
                <w:szCs w:val="21"/>
              </w:rPr>
            </w:pPr>
            <w:r>
              <w:rPr>
                <w:rFonts w:hint="eastAsia" w:eastAsia="宋体"/>
                <w:color w:val="000000"/>
                <w:sz w:val="21"/>
                <w:szCs w:val="21"/>
              </w:rPr>
              <w:t>抗电强度试验</w:t>
            </w:r>
          </w:p>
        </w:tc>
        <w:tc>
          <w:tcPr>
            <w:tcW w:w="2389" w:type="pct"/>
            <w:vAlign w:val="center"/>
          </w:tcPr>
          <w:p>
            <w:pPr>
              <w:snapToGrid w:val="0"/>
              <w:spacing w:line="440" w:lineRule="exact"/>
              <w:jc w:val="center"/>
              <w:rPr>
                <w:rFonts w:eastAsia="宋体"/>
                <w:color w:val="000000"/>
                <w:sz w:val="21"/>
                <w:szCs w:val="21"/>
              </w:rPr>
            </w:pPr>
            <w:r>
              <w:rPr>
                <w:rFonts w:hint="eastAsia" w:eastAsia="宋体"/>
                <w:color w:val="000000"/>
                <w:sz w:val="21"/>
                <w:szCs w:val="21"/>
              </w:rPr>
              <w:t>GB 4943.1-2022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52" w:type="pct"/>
            <w:vAlign w:val="center"/>
          </w:tcPr>
          <w:p>
            <w:pPr>
              <w:snapToGrid w:val="0"/>
              <w:spacing w:line="440" w:lineRule="exact"/>
              <w:jc w:val="center"/>
              <w:rPr>
                <w:rFonts w:eastAsia="宋体"/>
                <w:color w:val="000000"/>
                <w:sz w:val="21"/>
                <w:szCs w:val="21"/>
              </w:rPr>
            </w:pPr>
            <w:r>
              <w:rPr>
                <w:rFonts w:eastAsia="宋体"/>
                <w:color w:val="000000"/>
                <w:sz w:val="21"/>
                <w:szCs w:val="21"/>
              </w:rPr>
              <w:t>7</w:t>
            </w:r>
          </w:p>
        </w:tc>
        <w:tc>
          <w:tcPr>
            <w:tcW w:w="2159" w:type="pct"/>
            <w:vAlign w:val="center"/>
          </w:tcPr>
          <w:p>
            <w:pPr>
              <w:snapToGrid w:val="0"/>
              <w:spacing w:line="440" w:lineRule="exact"/>
              <w:jc w:val="center"/>
              <w:rPr>
                <w:rFonts w:eastAsia="宋体"/>
                <w:color w:val="000000"/>
                <w:sz w:val="21"/>
                <w:szCs w:val="21"/>
              </w:rPr>
            </w:pPr>
            <w:r>
              <w:rPr>
                <w:rFonts w:eastAsia="宋体"/>
                <w:color w:val="000000"/>
                <w:sz w:val="21"/>
                <w:szCs w:val="21"/>
              </w:rPr>
              <w:t>预期的接触电压、接触电流和保护导体电流</w:t>
            </w:r>
          </w:p>
        </w:tc>
        <w:tc>
          <w:tcPr>
            <w:tcW w:w="2389" w:type="pct"/>
            <w:vAlign w:val="center"/>
          </w:tcPr>
          <w:p>
            <w:pPr>
              <w:snapToGrid w:val="0"/>
              <w:spacing w:line="440" w:lineRule="exact"/>
              <w:jc w:val="center"/>
              <w:rPr>
                <w:rFonts w:eastAsia="宋体"/>
                <w:color w:val="000000"/>
                <w:sz w:val="21"/>
                <w:szCs w:val="21"/>
              </w:rPr>
            </w:pPr>
            <w:r>
              <w:rPr>
                <w:rFonts w:hint="eastAsia" w:eastAsia="宋体"/>
                <w:color w:val="000000"/>
                <w:sz w:val="21"/>
                <w:szCs w:val="21"/>
              </w:rPr>
              <w:t>GB 4943.1-2022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 w:type="pct"/>
            <w:vAlign w:val="center"/>
          </w:tcPr>
          <w:p>
            <w:pPr>
              <w:snapToGrid w:val="0"/>
              <w:spacing w:line="440" w:lineRule="exact"/>
              <w:jc w:val="center"/>
              <w:rPr>
                <w:rFonts w:eastAsia="宋体"/>
                <w:color w:val="000000"/>
                <w:sz w:val="21"/>
                <w:szCs w:val="21"/>
              </w:rPr>
            </w:pPr>
            <w:r>
              <w:rPr>
                <w:rFonts w:eastAsia="宋体"/>
                <w:color w:val="000000"/>
                <w:sz w:val="21"/>
                <w:szCs w:val="21"/>
              </w:rPr>
              <w:t>8</w:t>
            </w:r>
          </w:p>
        </w:tc>
        <w:tc>
          <w:tcPr>
            <w:tcW w:w="2159" w:type="pct"/>
            <w:vAlign w:val="center"/>
          </w:tcPr>
          <w:p>
            <w:pPr>
              <w:snapToGrid w:val="0"/>
              <w:spacing w:line="440" w:lineRule="exact"/>
              <w:jc w:val="center"/>
              <w:rPr>
                <w:rFonts w:eastAsia="宋体"/>
                <w:color w:val="000000"/>
                <w:sz w:val="21"/>
                <w:szCs w:val="21"/>
              </w:rPr>
            </w:pPr>
            <w:r>
              <w:rPr>
                <w:rFonts w:eastAsia="宋体"/>
                <w:color w:val="000000"/>
                <w:sz w:val="21"/>
                <w:szCs w:val="21"/>
              </w:rPr>
              <w:t>热灼伤</w:t>
            </w:r>
            <w:r>
              <w:rPr>
                <w:rFonts w:hint="eastAsia" w:eastAsia="宋体"/>
                <w:color w:val="000000"/>
                <w:sz w:val="21"/>
                <w:szCs w:val="21"/>
              </w:rPr>
              <w:t>(接触温度限值</w:t>
            </w:r>
            <w:r>
              <w:rPr>
                <w:rFonts w:eastAsia="宋体"/>
                <w:color w:val="000000"/>
                <w:sz w:val="21"/>
                <w:szCs w:val="21"/>
              </w:rPr>
              <w:t>)</w:t>
            </w:r>
          </w:p>
        </w:tc>
        <w:tc>
          <w:tcPr>
            <w:tcW w:w="2389" w:type="pct"/>
            <w:vAlign w:val="center"/>
          </w:tcPr>
          <w:p>
            <w:pPr>
              <w:snapToGrid w:val="0"/>
              <w:spacing w:line="440" w:lineRule="exact"/>
              <w:jc w:val="center"/>
              <w:rPr>
                <w:rFonts w:eastAsia="宋体"/>
                <w:color w:val="000000"/>
                <w:sz w:val="21"/>
                <w:szCs w:val="21"/>
              </w:rPr>
            </w:pPr>
            <w:r>
              <w:rPr>
                <w:rFonts w:hint="eastAsia" w:eastAsia="宋体"/>
                <w:color w:val="000000"/>
                <w:sz w:val="21"/>
                <w:szCs w:val="21"/>
              </w:rPr>
              <w:t>GB 4943.1-2022</w:t>
            </w:r>
            <w:r>
              <w:rPr>
                <w:rFonts w:eastAsia="宋体"/>
                <w:color w:val="000000"/>
                <w:sz w:val="21"/>
                <w:szCs w:val="21"/>
              </w:rPr>
              <w:t xml:space="preserve"> </w:t>
            </w:r>
          </w:p>
        </w:tc>
      </w:tr>
    </w:tbl>
    <w:p>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执行企业标准、团体标准、地方标准的产品，检验项目参照上述内容执行。</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rFonts w:eastAsia="宋体"/>
          <w:color w:val="000000"/>
          <w:sz w:val="21"/>
          <w:szCs w:val="21"/>
        </w:rPr>
      </w:pPr>
      <w:r>
        <w:rPr>
          <w:rFonts w:hint="eastAsia" w:ascii="仿宋" w:hAnsi="仿宋" w:eastAsia="仿宋" w:cs="仿宋"/>
          <w:color w:val="000000"/>
          <w:sz w:val="28"/>
          <w:szCs w:val="28"/>
        </w:rPr>
        <w:t>凡是注日期的文件，其随后所有的修改单（不包括勘误的内容）或修订版不适用于本细则。凡是不注日期的文件，其最新版本适用于本细则。</w:t>
      </w:r>
    </w:p>
    <w:p>
      <w:pPr>
        <w:keepNext w:val="0"/>
        <w:keepLines w:val="0"/>
        <w:pageBreakBefore w:val="0"/>
        <w:widowControl w:val="0"/>
        <w:kinsoku/>
        <w:wordWrap/>
        <w:overflowPunct/>
        <w:topLinePunct w:val="0"/>
        <w:autoSpaceDE/>
        <w:autoSpaceDN/>
        <w:bidi w:val="0"/>
        <w:adjustRightInd/>
        <w:snapToGrid w:val="0"/>
        <w:spacing w:line="480" w:lineRule="exact"/>
        <w:ind w:firstLine="560" w:firstLineChars="200"/>
        <w:jc w:val="left"/>
        <w:textAlignment w:val="auto"/>
        <w:rPr>
          <w:rFonts w:hint="eastAsia" w:ascii="黑体" w:hAnsi="黑体" w:eastAsia="黑体" w:cs="黑体"/>
          <w:color w:val="000000"/>
          <w:sz w:val="28"/>
          <w:szCs w:val="28"/>
          <w:lang w:eastAsia="zh-CN"/>
        </w:rPr>
      </w:pPr>
      <w:r>
        <w:rPr>
          <w:rFonts w:hint="eastAsia" w:ascii="黑体" w:hAnsi="黑体" w:eastAsia="黑体" w:cs="黑体"/>
          <w:color w:val="000000"/>
          <w:sz w:val="28"/>
          <w:szCs w:val="28"/>
          <w:lang w:eastAsia="zh-CN"/>
        </w:rPr>
        <w:t>三、判定规则</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rFonts w:hint="eastAsia" w:ascii="楷体_GB2312" w:hAnsi="楷体_GB2312" w:eastAsia="楷体_GB2312" w:cs="楷体_GB2312"/>
          <w:color w:val="000000"/>
          <w:sz w:val="28"/>
          <w:szCs w:val="28"/>
        </w:rPr>
      </w:pPr>
      <w:r>
        <w:rPr>
          <w:rFonts w:hint="eastAsia" w:ascii="楷体_GB2312" w:hAnsi="楷体_GB2312" w:eastAsia="楷体_GB2312" w:cs="楷体_GB2312"/>
          <w:color w:val="000000"/>
          <w:sz w:val="28"/>
          <w:szCs w:val="28"/>
          <w:lang w:eastAsia="zh-CN"/>
        </w:rPr>
        <w:t>（一）</w:t>
      </w:r>
      <w:r>
        <w:rPr>
          <w:rFonts w:hint="eastAsia" w:ascii="楷体_GB2312" w:hAnsi="楷体_GB2312" w:eastAsia="楷体_GB2312" w:cs="楷体_GB2312"/>
          <w:color w:val="000000"/>
          <w:sz w:val="28"/>
          <w:szCs w:val="28"/>
        </w:rPr>
        <w:t>依据标准</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GB 4943.1-2022《音视频、信息技术和通信技术设备第1部分:安全要求》</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现行有效的企业标准、团体标准、地方标准及产品明示质量要求。</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rFonts w:hint="eastAsia" w:ascii="楷体_GB2312" w:hAnsi="楷体_GB2312" w:eastAsia="楷体_GB2312" w:cs="楷体_GB2312"/>
          <w:color w:val="000000"/>
          <w:sz w:val="28"/>
          <w:szCs w:val="28"/>
          <w:lang w:eastAsia="zh-CN"/>
        </w:rPr>
      </w:pPr>
      <w:r>
        <w:rPr>
          <w:rFonts w:hint="eastAsia" w:ascii="楷体_GB2312" w:hAnsi="楷体_GB2312" w:eastAsia="楷体_GB2312" w:cs="楷体_GB2312"/>
          <w:color w:val="000000"/>
          <w:sz w:val="28"/>
          <w:szCs w:val="28"/>
          <w:lang w:eastAsia="zh-CN"/>
        </w:rPr>
        <w:t>（二）判定原则</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经检验，检验项目全部合格，判定为被抽查产品所检项目未发现不合格；检验项目中任一项或一项以上不合格，判定为被抽查产品不合格。</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若被检产品明示的质量要求高于本细则中检验项目依据的标准要求时，应按被检产品明示的质量要求判定。</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若被检产品明示的质量要求低于本细则中检验项目依据的强制性标准要求时，应按照强制性标准要求判定。</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若被检产品明示的质量要求低于或包含本细则中检验项目依据的推荐性标准要求时，应以被检产品明示的质量要求判定。</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若被检产品明示的质量要求缺少本细则中检验项目依据的强制性标准要求时，应按照强制性标准要求判定。</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rFonts w:eastAsia="宋体"/>
          <w:color w:val="000000"/>
          <w:sz w:val="21"/>
          <w:szCs w:val="21"/>
        </w:rPr>
      </w:pPr>
      <w:r>
        <w:rPr>
          <w:rFonts w:hint="eastAsia" w:ascii="仿宋" w:hAnsi="仿宋" w:eastAsia="仿宋" w:cs="仿宋"/>
          <w:color w:val="000000"/>
          <w:sz w:val="28"/>
          <w:szCs w:val="28"/>
        </w:rPr>
        <w:t>若被检产品明示的质量要求缺少本细则中检验项目依据的推荐性标准要求时，该项目不参与判定。</w:t>
      </w:r>
    </w:p>
    <w:sectPr>
      <w:headerReference r:id="rId3" w:type="default"/>
      <w:headerReference r:id="rId4" w:type="even"/>
      <w:pgSz w:w="11906" w:h="16838"/>
      <w:pgMar w:top="1587" w:right="1417" w:bottom="1587" w:left="1417" w:header="851" w:footer="992" w:gutter="0"/>
      <w:cols w:space="425" w:num="1"/>
      <w:docGrid w:type="lines" w:linePitch="43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DejaVu Sans"/>
    <w:panose1 w:val="020F0502020204030204"/>
    <w:charset w:val="00"/>
    <w:family w:val="swiss"/>
    <w:pitch w:val="default"/>
    <w:sig w:usb0="00000000" w:usb1="00000000" w:usb2="00000001" w:usb3="00000000" w:csb0="0000019F" w:csb1="00000000"/>
  </w:font>
  <w:font w:name="DejaVu Sans">
    <w:panose1 w:val="020B0603030804020204"/>
    <w:charset w:val="00"/>
    <w:family w:val="auto"/>
    <w:pitch w:val="default"/>
    <w:sig w:usb0="E7006EFF" w:usb1="D200FDFF" w:usb2="0A246029" w:usb3="0400200C" w:csb0="600001FF" w:csb1="DFFF0000"/>
  </w:font>
  <w:font w:name="仿宋_GB2312">
    <w:panose1 w:val="02010609030101010101"/>
    <w:charset w:val="86"/>
    <w:family w:val="modern"/>
    <w:pitch w:val="default"/>
    <w:sig w:usb0="00000001" w:usb1="080E0000" w:usb2="00000000" w:usb3="00000000" w:csb0="00040000" w:csb1="00000000"/>
  </w:font>
  <w:font w:name="方正小标宋简体">
    <w:panose1 w:val="02000000000000000000"/>
    <w:charset w:val="86"/>
    <w:family w:val="script"/>
    <w:pitch w:val="default"/>
    <w:sig w:usb0="A00002BF" w:usb1="184F6CFA" w:usb2="00000012" w:usb3="00000000" w:csb0="00040001" w:csb1="00000000"/>
  </w:font>
  <w:font w:name="仿宋">
    <w:panose1 w:val="02010609060101010101"/>
    <w:charset w:val="86"/>
    <w:family w:val="modern"/>
    <w:pitch w:val="default"/>
    <w:sig w:usb0="800002BF" w:usb1="38CF7CFA" w:usb2="00000016" w:usb3="00000000" w:csb0="00040001" w:csb1="00000000"/>
  </w:font>
  <w:font w:name="楷体_GB2312">
    <w:panose1 w:val="02010609030101010101"/>
    <w:charset w:val="86"/>
    <w:family w:val="auto"/>
    <w:pitch w:val="default"/>
    <w:sig w:usb0="00000001" w:usb1="080E0000" w:usb2="00000000" w:usb3="00000000" w:csb0="00040000"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60"/>
  <w:drawingGridVerticalSpacing w:val="435"/>
  <w:displayHorizontalDrawingGridEvery w:val="0"/>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57BCA"/>
    <w:rsid w:val="0000204A"/>
    <w:rsid w:val="0000490C"/>
    <w:rsid w:val="00010514"/>
    <w:rsid w:val="000135ED"/>
    <w:rsid w:val="00025539"/>
    <w:rsid w:val="000360CA"/>
    <w:rsid w:val="00044431"/>
    <w:rsid w:val="00046227"/>
    <w:rsid w:val="000512B6"/>
    <w:rsid w:val="00064623"/>
    <w:rsid w:val="00065C58"/>
    <w:rsid w:val="0006663D"/>
    <w:rsid w:val="00067B88"/>
    <w:rsid w:val="000713FD"/>
    <w:rsid w:val="00074B58"/>
    <w:rsid w:val="00076BE3"/>
    <w:rsid w:val="00077169"/>
    <w:rsid w:val="0008148B"/>
    <w:rsid w:val="0008298B"/>
    <w:rsid w:val="00083A5C"/>
    <w:rsid w:val="00086BB7"/>
    <w:rsid w:val="0009349D"/>
    <w:rsid w:val="000A16A3"/>
    <w:rsid w:val="000B206E"/>
    <w:rsid w:val="000B4CC6"/>
    <w:rsid w:val="000C0A23"/>
    <w:rsid w:val="000C0E00"/>
    <w:rsid w:val="000C0EF8"/>
    <w:rsid w:val="000C0FCF"/>
    <w:rsid w:val="000C1357"/>
    <w:rsid w:val="000C242E"/>
    <w:rsid w:val="000C2466"/>
    <w:rsid w:val="000C2BB3"/>
    <w:rsid w:val="000D016E"/>
    <w:rsid w:val="000D1DB6"/>
    <w:rsid w:val="000D51C0"/>
    <w:rsid w:val="000D765A"/>
    <w:rsid w:val="000D7A3F"/>
    <w:rsid w:val="000E2EDF"/>
    <w:rsid w:val="00103144"/>
    <w:rsid w:val="00104BE7"/>
    <w:rsid w:val="001109E2"/>
    <w:rsid w:val="00113A36"/>
    <w:rsid w:val="001162B5"/>
    <w:rsid w:val="00132F01"/>
    <w:rsid w:val="0013531B"/>
    <w:rsid w:val="00140E48"/>
    <w:rsid w:val="00142CE7"/>
    <w:rsid w:val="00150DB5"/>
    <w:rsid w:val="00154109"/>
    <w:rsid w:val="001625EA"/>
    <w:rsid w:val="00165386"/>
    <w:rsid w:val="00165F2E"/>
    <w:rsid w:val="001702BA"/>
    <w:rsid w:val="00173D51"/>
    <w:rsid w:val="0017504F"/>
    <w:rsid w:val="00186791"/>
    <w:rsid w:val="00186836"/>
    <w:rsid w:val="00186E21"/>
    <w:rsid w:val="001907BA"/>
    <w:rsid w:val="0019418D"/>
    <w:rsid w:val="0019434A"/>
    <w:rsid w:val="00194D22"/>
    <w:rsid w:val="00195A75"/>
    <w:rsid w:val="00195C9E"/>
    <w:rsid w:val="00197584"/>
    <w:rsid w:val="001A2412"/>
    <w:rsid w:val="001A3303"/>
    <w:rsid w:val="001A38F9"/>
    <w:rsid w:val="001A568D"/>
    <w:rsid w:val="001B4DE7"/>
    <w:rsid w:val="001B5949"/>
    <w:rsid w:val="001C372E"/>
    <w:rsid w:val="001C58FE"/>
    <w:rsid w:val="001D0328"/>
    <w:rsid w:val="001D03CE"/>
    <w:rsid w:val="001D4C84"/>
    <w:rsid w:val="001E0364"/>
    <w:rsid w:val="001E0B92"/>
    <w:rsid w:val="001E2D66"/>
    <w:rsid w:val="001E3304"/>
    <w:rsid w:val="001F6AB3"/>
    <w:rsid w:val="00201951"/>
    <w:rsid w:val="00201EA6"/>
    <w:rsid w:val="00204C03"/>
    <w:rsid w:val="00205495"/>
    <w:rsid w:val="00207DF9"/>
    <w:rsid w:val="00207E59"/>
    <w:rsid w:val="002144FA"/>
    <w:rsid w:val="00220B42"/>
    <w:rsid w:val="0022165E"/>
    <w:rsid w:val="002268D2"/>
    <w:rsid w:val="0023492A"/>
    <w:rsid w:val="00237AC2"/>
    <w:rsid w:val="002415C1"/>
    <w:rsid w:val="0024697F"/>
    <w:rsid w:val="00250FB8"/>
    <w:rsid w:val="00252369"/>
    <w:rsid w:val="002534FF"/>
    <w:rsid w:val="00254591"/>
    <w:rsid w:val="002568F8"/>
    <w:rsid w:val="002609E9"/>
    <w:rsid w:val="002614AD"/>
    <w:rsid w:val="002640CB"/>
    <w:rsid w:val="0026592F"/>
    <w:rsid w:val="00266BE4"/>
    <w:rsid w:val="00266F13"/>
    <w:rsid w:val="002816E6"/>
    <w:rsid w:val="00283960"/>
    <w:rsid w:val="00286FB1"/>
    <w:rsid w:val="00287DE5"/>
    <w:rsid w:val="00290DFC"/>
    <w:rsid w:val="00291A9D"/>
    <w:rsid w:val="002956E4"/>
    <w:rsid w:val="00296A48"/>
    <w:rsid w:val="002A1FE1"/>
    <w:rsid w:val="002A3B02"/>
    <w:rsid w:val="002A4BD1"/>
    <w:rsid w:val="002A5256"/>
    <w:rsid w:val="002A6E37"/>
    <w:rsid w:val="002B00B2"/>
    <w:rsid w:val="002B05A1"/>
    <w:rsid w:val="002B1A6E"/>
    <w:rsid w:val="002B471F"/>
    <w:rsid w:val="002B68E9"/>
    <w:rsid w:val="002B7EE8"/>
    <w:rsid w:val="002C0A11"/>
    <w:rsid w:val="002C279B"/>
    <w:rsid w:val="002C5697"/>
    <w:rsid w:val="002C5902"/>
    <w:rsid w:val="002C6F5A"/>
    <w:rsid w:val="002D145E"/>
    <w:rsid w:val="002D3092"/>
    <w:rsid w:val="002D4A4A"/>
    <w:rsid w:val="002D797E"/>
    <w:rsid w:val="002F00EC"/>
    <w:rsid w:val="002F327D"/>
    <w:rsid w:val="002F5E35"/>
    <w:rsid w:val="00302710"/>
    <w:rsid w:val="003052D5"/>
    <w:rsid w:val="003056E2"/>
    <w:rsid w:val="003129BF"/>
    <w:rsid w:val="00317122"/>
    <w:rsid w:val="003241A0"/>
    <w:rsid w:val="00324DC2"/>
    <w:rsid w:val="003257CC"/>
    <w:rsid w:val="00331E2F"/>
    <w:rsid w:val="00342025"/>
    <w:rsid w:val="00342B64"/>
    <w:rsid w:val="00347461"/>
    <w:rsid w:val="00352CEF"/>
    <w:rsid w:val="00357BCA"/>
    <w:rsid w:val="00360DB7"/>
    <w:rsid w:val="003622FD"/>
    <w:rsid w:val="003644FC"/>
    <w:rsid w:val="00366551"/>
    <w:rsid w:val="0037507C"/>
    <w:rsid w:val="00380581"/>
    <w:rsid w:val="00380FB0"/>
    <w:rsid w:val="0038150B"/>
    <w:rsid w:val="00386BB5"/>
    <w:rsid w:val="00386C07"/>
    <w:rsid w:val="003901D9"/>
    <w:rsid w:val="00395AF4"/>
    <w:rsid w:val="003A4317"/>
    <w:rsid w:val="003A4562"/>
    <w:rsid w:val="003A4890"/>
    <w:rsid w:val="003A7AD5"/>
    <w:rsid w:val="003B0BCA"/>
    <w:rsid w:val="003B5B19"/>
    <w:rsid w:val="003C36E5"/>
    <w:rsid w:val="003C4963"/>
    <w:rsid w:val="003C5337"/>
    <w:rsid w:val="003D2B00"/>
    <w:rsid w:val="003D372D"/>
    <w:rsid w:val="003E35EF"/>
    <w:rsid w:val="003E4858"/>
    <w:rsid w:val="003F0535"/>
    <w:rsid w:val="003F39F5"/>
    <w:rsid w:val="00411367"/>
    <w:rsid w:val="004144DA"/>
    <w:rsid w:val="00423F5A"/>
    <w:rsid w:val="00431EDB"/>
    <w:rsid w:val="0044553D"/>
    <w:rsid w:val="004464C0"/>
    <w:rsid w:val="00463941"/>
    <w:rsid w:val="004649FC"/>
    <w:rsid w:val="004769BA"/>
    <w:rsid w:val="00485CC8"/>
    <w:rsid w:val="0049367C"/>
    <w:rsid w:val="004A41A4"/>
    <w:rsid w:val="004B4015"/>
    <w:rsid w:val="004B413A"/>
    <w:rsid w:val="004B77AF"/>
    <w:rsid w:val="004D47ED"/>
    <w:rsid w:val="004D6DF9"/>
    <w:rsid w:val="004E141C"/>
    <w:rsid w:val="004E14A1"/>
    <w:rsid w:val="004E6B5B"/>
    <w:rsid w:val="004F3054"/>
    <w:rsid w:val="005114C8"/>
    <w:rsid w:val="00516501"/>
    <w:rsid w:val="005249CD"/>
    <w:rsid w:val="005268FC"/>
    <w:rsid w:val="005300B0"/>
    <w:rsid w:val="005338B8"/>
    <w:rsid w:val="0053436D"/>
    <w:rsid w:val="00535928"/>
    <w:rsid w:val="00546E6C"/>
    <w:rsid w:val="005534EA"/>
    <w:rsid w:val="00556D74"/>
    <w:rsid w:val="00557E74"/>
    <w:rsid w:val="00563B3E"/>
    <w:rsid w:val="005738E3"/>
    <w:rsid w:val="00577637"/>
    <w:rsid w:val="00581F68"/>
    <w:rsid w:val="0058395D"/>
    <w:rsid w:val="00585910"/>
    <w:rsid w:val="00586713"/>
    <w:rsid w:val="00586E4E"/>
    <w:rsid w:val="005B059F"/>
    <w:rsid w:val="005B3F63"/>
    <w:rsid w:val="005B5CAB"/>
    <w:rsid w:val="005B6988"/>
    <w:rsid w:val="005D07E0"/>
    <w:rsid w:val="005D2F56"/>
    <w:rsid w:val="005D477F"/>
    <w:rsid w:val="005E7D31"/>
    <w:rsid w:val="005F1BC4"/>
    <w:rsid w:val="005F2819"/>
    <w:rsid w:val="005F557E"/>
    <w:rsid w:val="00600D18"/>
    <w:rsid w:val="0060154F"/>
    <w:rsid w:val="006023D8"/>
    <w:rsid w:val="00605E07"/>
    <w:rsid w:val="0061787D"/>
    <w:rsid w:val="00620653"/>
    <w:rsid w:val="00621ED2"/>
    <w:rsid w:val="00621F02"/>
    <w:rsid w:val="00624299"/>
    <w:rsid w:val="0063211C"/>
    <w:rsid w:val="00632A88"/>
    <w:rsid w:val="00635E12"/>
    <w:rsid w:val="006375E8"/>
    <w:rsid w:val="00641963"/>
    <w:rsid w:val="006443CA"/>
    <w:rsid w:val="00653A6E"/>
    <w:rsid w:val="00655B58"/>
    <w:rsid w:val="00662E80"/>
    <w:rsid w:val="00663B3F"/>
    <w:rsid w:val="006671EE"/>
    <w:rsid w:val="00670047"/>
    <w:rsid w:val="006746F3"/>
    <w:rsid w:val="006746F8"/>
    <w:rsid w:val="0068232E"/>
    <w:rsid w:val="0069267A"/>
    <w:rsid w:val="00696D19"/>
    <w:rsid w:val="006A246B"/>
    <w:rsid w:val="006A4C0C"/>
    <w:rsid w:val="006A5EFA"/>
    <w:rsid w:val="006B4B4B"/>
    <w:rsid w:val="006C3911"/>
    <w:rsid w:val="006D09AD"/>
    <w:rsid w:val="006D2420"/>
    <w:rsid w:val="006D3236"/>
    <w:rsid w:val="006D5F64"/>
    <w:rsid w:val="006E1551"/>
    <w:rsid w:val="006E2283"/>
    <w:rsid w:val="006F3DD9"/>
    <w:rsid w:val="00705D0B"/>
    <w:rsid w:val="0071216D"/>
    <w:rsid w:val="00715452"/>
    <w:rsid w:val="00720E17"/>
    <w:rsid w:val="00720FCB"/>
    <w:rsid w:val="00720FF4"/>
    <w:rsid w:val="007227F3"/>
    <w:rsid w:val="00723A63"/>
    <w:rsid w:val="00737057"/>
    <w:rsid w:val="007377E0"/>
    <w:rsid w:val="00756E05"/>
    <w:rsid w:val="00756F96"/>
    <w:rsid w:val="007661C9"/>
    <w:rsid w:val="00770D38"/>
    <w:rsid w:val="007724F8"/>
    <w:rsid w:val="00774C67"/>
    <w:rsid w:val="007812D2"/>
    <w:rsid w:val="00782023"/>
    <w:rsid w:val="007843C5"/>
    <w:rsid w:val="0079793F"/>
    <w:rsid w:val="007A6986"/>
    <w:rsid w:val="007B32AD"/>
    <w:rsid w:val="007B49F9"/>
    <w:rsid w:val="007C25A6"/>
    <w:rsid w:val="007D0CE8"/>
    <w:rsid w:val="007D1D7A"/>
    <w:rsid w:val="007D31FA"/>
    <w:rsid w:val="007D60E0"/>
    <w:rsid w:val="007E195F"/>
    <w:rsid w:val="007E49AA"/>
    <w:rsid w:val="007E5902"/>
    <w:rsid w:val="007F45C1"/>
    <w:rsid w:val="007F6622"/>
    <w:rsid w:val="00803FCE"/>
    <w:rsid w:val="00815EDF"/>
    <w:rsid w:val="00820112"/>
    <w:rsid w:val="0082018D"/>
    <w:rsid w:val="00820AA6"/>
    <w:rsid w:val="0082147E"/>
    <w:rsid w:val="008252BC"/>
    <w:rsid w:val="0083291B"/>
    <w:rsid w:val="0083292A"/>
    <w:rsid w:val="008339F1"/>
    <w:rsid w:val="008377E2"/>
    <w:rsid w:val="00837E53"/>
    <w:rsid w:val="00840914"/>
    <w:rsid w:val="00846A4F"/>
    <w:rsid w:val="00852EAA"/>
    <w:rsid w:val="00853009"/>
    <w:rsid w:val="00853611"/>
    <w:rsid w:val="008536BF"/>
    <w:rsid w:val="00855D2E"/>
    <w:rsid w:val="00857F21"/>
    <w:rsid w:val="00861148"/>
    <w:rsid w:val="00862D0E"/>
    <w:rsid w:val="0086637C"/>
    <w:rsid w:val="00866BD8"/>
    <w:rsid w:val="00871B2C"/>
    <w:rsid w:val="00872879"/>
    <w:rsid w:val="00873230"/>
    <w:rsid w:val="008830EA"/>
    <w:rsid w:val="00884791"/>
    <w:rsid w:val="00885A76"/>
    <w:rsid w:val="00886933"/>
    <w:rsid w:val="00887753"/>
    <w:rsid w:val="00892B4D"/>
    <w:rsid w:val="00896CD5"/>
    <w:rsid w:val="008A09FC"/>
    <w:rsid w:val="008A6916"/>
    <w:rsid w:val="008A6E54"/>
    <w:rsid w:val="008A7590"/>
    <w:rsid w:val="008B6593"/>
    <w:rsid w:val="008D124E"/>
    <w:rsid w:val="008E186E"/>
    <w:rsid w:val="008E3FF9"/>
    <w:rsid w:val="008E4F06"/>
    <w:rsid w:val="008F1222"/>
    <w:rsid w:val="008F254E"/>
    <w:rsid w:val="008F36D4"/>
    <w:rsid w:val="008F491E"/>
    <w:rsid w:val="00902A3F"/>
    <w:rsid w:val="00911A6E"/>
    <w:rsid w:val="00914E3C"/>
    <w:rsid w:val="00920A99"/>
    <w:rsid w:val="00920CB6"/>
    <w:rsid w:val="00922E5B"/>
    <w:rsid w:val="00931A75"/>
    <w:rsid w:val="00937A2F"/>
    <w:rsid w:val="00947765"/>
    <w:rsid w:val="00947BFE"/>
    <w:rsid w:val="0095010E"/>
    <w:rsid w:val="00955073"/>
    <w:rsid w:val="009559DC"/>
    <w:rsid w:val="00956D35"/>
    <w:rsid w:val="009607EC"/>
    <w:rsid w:val="009636F5"/>
    <w:rsid w:val="00964CF5"/>
    <w:rsid w:val="0096678F"/>
    <w:rsid w:val="00967A82"/>
    <w:rsid w:val="009711E4"/>
    <w:rsid w:val="0097370B"/>
    <w:rsid w:val="00984244"/>
    <w:rsid w:val="00984812"/>
    <w:rsid w:val="00995632"/>
    <w:rsid w:val="00996D3B"/>
    <w:rsid w:val="009B0BCF"/>
    <w:rsid w:val="009B4AB3"/>
    <w:rsid w:val="009B67CF"/>
    <w:rsid w:val="009C20FA"/>
    <w:rsid w:val="009C2CD5"/>
    <w:rsid w:val="009C313C"/>
    <w:rsid w:val="009C67A2"/>
    <w:rsid w:val="009D2963"/>
    <w:rsid w:val="009D7475"/>
    <w:rsid w:val="009E1B61"/>
    <w:rsid w:val="009F0456"/>
    <w:rsid w:val="009F5295"/>
    <w:rsid w:val="00A00055"/>
    <w:rsid w:val="00A113DB"/>
    <w:rsid w:val="00A14AEB"/>
    <w:rsid w:val="00A152DF"/>
    <w:rsid w:val="00A15F11"/>
    <w:rsid w:val="00A2033E"/>
    <w:rsid w:val="00A24345"/>
    <w:rsid w:val="00A265AB"/>
    <w:rsid w:val="00A3184F"/>
    <w:rsid w:val="00A33459"/>
    <w:rsid w:val="00A33F3E"/>
    <w:rsid w:val="00A346BF"/>
    <w:rsid w:val="00A36578"/>
    <w:rsid w:val="00A41C38"/>
    <w:rsid w:val="00A43898"/>
    <w:rsid w:val="00A4487B"/>
    <w:rsid w:val="00A4796D"/>
    <w:rsid w:val="00A47EE3"/>
    <w:rsid w:val="00A5778A"/>
    <w:rsid w:val="00A62152"/>
    <w:rsid w:val="00A62ECE"/>
    <w:rsid w:val="00A80EA2"/>
    <w:rsid w:val="00A85FFB"/>
    <w:rsid w:val="00A90A7A"/>
    <w:rsid w:val="00A95BFB"/>
    <w:rsid w:val="00A966D3"/>
    <w:rsid w:val="00AA3349"/>
    <w:rsid w:val="00AA3658"/>
    <w:rsid w:val="00AB100C"/>
    <w:rsid w:val="00AB3B0B"/>
    <w:rsid w:val="00AB5E64"/>
    <w:rsid w:val="00AB7747"/>
    <w:rsid w:val="00AC5A64"/>
    <w:rsid w:val="00AC68FE"/>
    <w:rsid w:val="00AE1F6C"/>
    <w:rsid w:val="00AE26C3"/>
    <w:rsid w:val="00AE3F23"/>
    <w:rsid w:val="00AF1C3E"/>
    <w:rsid w:val="00AF24C3"/>
    <w:rsid w:val="00AF51BB"/>
    <w:rsid w:val="00AF51E0"/>
    <w:rsid w:val="00AF6B49"/>
    <w:rsid w:val="00AF6BFA"/>
    <w:rsid w:val="00AF6C22"/>
    <w:rsid w:val="00AF6C51"/>
    <w:rsid w:val="00AF6CD7"/>
    <w:rsid w:val="00B020A4"/>
    <w:rsid w:val="00B021B5"/>
    <w:rsid w:val="00B05C35"/>
    <w:rsid w:val="00B12704"/>
    <w:rsid w:val="00B12C82"/>
    <w:rsid w:val="00B22958"/>
    <w:rsid w:val="00B31187"/>
    <w:rsid w:val="00B3415A"/>
    <w:rsid w:val="00B3674B"/>
    <w:rsid w:val="00B37C56"/>
    <w:rsid w:val="00B414E2"/>
    <w:rsid w:val="00B44330"/>
    <w:rsid w:val="00B521B9"/>
    <w:rsid w:val="00B53A0C"/>
    <w:rsid w:val="00B567EB"/>
    <w:rsid w:val="00B67AB6"/>
    <w:rsid w:val="00B70A5B"/>
    <w:rsid w:val="00B72EF2"/>
    <w:rsid w:val="00B8124B"/>
    <w:rsid w:val="00B85AEB"/>
    <w:rsid w:val="00B95B81"/>
    <w:rsid w:val="00B95F5C"/>
    <w:rsid w:val="00BA3DCB"/>
    <w:rsid w:val="00BA44B8"/>
    <w:rsid w:val="00BA5339"/>
    <w:rsid w:val="00BB1D85"/>
    <w:rsid w:val="00BB4BF5"/>
    <w:rsid w:val="00BC333C"/>
    <w:rsid w:val="00BC351D"/>
    <w:rsid w:val="00BD0C33"/>
    <w:rsid w:val="00BD12B3"/>
    <w:rsid w:val="00BE37F9"/>
    <w:rsid w:val="00BE3BFF"/>
    <w:rsid w:val="00BF1659"/>
    <w:rsid w:val="00BF5AFA"/>
    <w:rsid w:val="00BF6F63"/>
    <w:rsid w:val="00C00D3B"/>
    <w:rsid w:val="00C151F9"/>
    <w:rsid w:val="00C15E43"/>
    <w:rsid w:val="00C177D8"/>
    <w:rsid w:val="00C30285"/>
    <w:rsid w:val="00C32758"/>
    <w:rsid w:val="00C34272"/>
    <w:rsid w:val="00C361F9"/>
    <w:rsid w:val="00C375C6"/>
    <w:rsid w:val="00C379CB"/>
    <w:rsid w:val="00C40197"/>
    <w:rsid w:val="00C44F55"/>
    <w:rsid w:val="00C45077"/>
    <w:rsid w:val="00C46E69"/>
    <w:rsid w:val="00C5029C"/>
    <w:rsid w:val="00C51542"/>
    <w:rsid w:val="00C52055"/>
    <w:rsid w:val="00C527FB"/>
    <w:rsid w:val="00C60628"/>
    <w:rsid w:val="00C6448B"/>
    <w:rsid w:val="00C64778"/>
    <w:rsid w:val="00C6597D"/>
    <w:rsid w:val="00C65A28"/>
    <w:rsid w:val="00C65AD9"/>
    <w:rsid w:val="00C70629"/>
    <w:rsid w:val="00C83498"/>
    <w:rsid w:val="00C92A28"/>
    <w:rsid w:val="00C93ACF"/>
    <w:rsid w:val="00C950EE"/>
    <w:rsid w:val="00CA1718"/>
    <w:rsid w:val="00CA425B"/>
    <w:rsid w:val="00CA61B5"/>
    <w:rsid w:val="00CB1C07"/>
    <w:rsid w:val="00CC5C02"/>
    <w:rsid w:val="00CC78CE"/>
    <w:rsid w:val="00CD6080"/>
    <w:rsid w:val="00CD6B1C"/>
    <w:rsid w:val="00CD7BCE"/>
    <w:rsid w:val="00CE2578"/>
    <w:rsid w:val="00CE6144"/>
    <w:rsid w:val="00CF52EF"/>
    <w:rsid w:val="00CF5DED"/>
    <w:rsid w:val="00D00951"/>
    <w:rsid w:val="00D00FDA"/>
    <w:rsid w:val="00D05E56"/>
    <w:rsid w:val="00D11001"/>
    <w:rsid w:val="00D2690B"/>
    <w:rsid w:val="00D303A8"/>
    <w:rsid w:val="00D30708"/>
    <w:rsid w:val="00D3105A"/>
    <w:rsid w:val="00D35455"/>
    <w:rsid w:val="00D434A3"/>
    <w:rsid w:val="00D44302"/>
    <w:rsid w:val="00D44782"/>
    <w:rsid w:val="00D45A68"/>
    <w:rsid w:val="00D556BB"/>
    <w:rsid w:val="00D67A28"/>
    <w:rsid w:val="00D71580"/>
    <w:rsid w:val="00D73832"/>
    <w:rsid w:val="00D73C5A"/>
    <w:rsid w:val="00D74CBB"/>
    <w:rsid w:val="00D816C0"/>
    <w:rsid w:val="00D81F12"/>
    <w:rsid w:val="00D82536"/>
    <w:rsid w:val="00D83757"/>
    <w:rsid w:val="00D84E74"/>
    <w:rsid w:val="00D90990"/>
    <w:rsid w:val="00DA01D3"/>
    <w:rsid w:val="00DA5D53"/>
    <w:rsid w:val="00DB039F"/>
    <w:rsid w:val="00DB70E0"/>
    <w:rsid w:val="00DC102F"/>
    <w:rsid w:val="00DC1653"/>
    <w:rsid w:val="00DC6B8E"/>
    <w:rsid w:val="00DD257D"/>
    <w:rsid w:val="00DE0E99"/>
    <w:rsid w:val="00DE465B"/>
    <w:rsid w:val="00DF10F1"/>
    <w:rsid w:val="00DF29CA"/>
    <w:rsid w:val="00DF7E42"/>
    <w:rsid w:val="00E0001B"/>
    <w:rsid w:val="00E045F0"/>
    <w:rsid w:val="00E050EB"/>
    <w:rsid w:val="00E0702D"/>
    <w:rsid w:val="00E12646"/>
    <w:rsid w:val="00E130C9"/>
    <w:rsid w:val="00E15FC0"/>
    <w:rsid w:val="00E17AF0"/>
    <w:rsid w:val="00E21499"/>
    <w:rsid w:val="00E224AE"/>
    <w:rsid w:val="00E2520D"/>
    <w:rsid w:val="00E27235"/>
    <w:rsid w:val="00E316E7"/>
    <w:rsid w:val="00E41E6B"/>
    <w:rsid w:val="00E43544"/>
    <w:rsid w:val="00E44C75"/>
    <w:rsid w:val="00E454F0"/>
    <w:rsid w:val="00E55F0E"/>
    <w:rsid w:val="00E56533"/>
    <w:rsid w:val="00E5688B"/>
    <w:rsid w:val="00E62ECC"/>
    <w:rsid w:val="00E66BD9"/>
    <w:rsid w:val="00E70A02"/>
    <w:rsid w:val="00E7643F"/>
    <w:rsid w:val="00E83E15"/>
    <w:rsid w:val="00E85157"/>
    <w:rsid w:val="00E86DCD"/>
    <w:rsid w:val="00E94934"/>
    <w:rsid w:val="00E971ED"/>
    <w:rsid w:val="00EA119B"/>
    <w:rsid w:val="00EA634B"/>
    <w:rsid w:val="00EA6648"/>
    <w:rsid w:val="00EA72E6"/>
    <w:rsid w:val="00EB2F28"/>
    <w:rsid w:val="00EB363F"/>
    <w:rsid w:val="00EB53D1"/>
    <w:rsid w:val="00EC3744"/>
    <w:rsid w:val="00EC7EC5"/>
    <w:rsid w:val="00ED00B7"/>
    <w:rsid w:val="00ED44D6"/>
    <w:rsid w:val="00ED57DB"/>
    <w:rsid w:val="00ED62FC"/>
    <w:rsid w:val="00ED63FA"/>
    <w:rsid w:val="00ED6E95"/>
    <w:rsid w:val="00EF1589"/>
    <w:rsid w:val="00EF2163"/>
    <w:rsid w:val="00EF2603"/>
    <w:rsid w:val="00EF3226"/>
    <w:rsid w:val="00F00FE3"/>
    <w:rsid w:val="00F12796"/>
    <w:rsid w:val="00F12AC2"/>
    <w:rsid w:val="00F15589"/>
    <w:rsid w:val="00F16768"/>
    <w:rsid w:val="00F24F8E"/>
    <w:rsid w:val="00F25E54"/>
    <w:rsid w:val="00F27C96"/>
    <w:rsid w:val="00F32F82"/>
    <w:rsid w:val="00F35380"/>
    <w:rsid w:val="00F45D5F"/>
    <w:rsid w:val="00F55149"/>
    <w:rsid w:val="00F558CD"/>
    <w:rsid w:val="00F6345C"/>
    <w:rsid w:val="00F63535"/>
    <w:rsid w:val="00F63F44"/>
    <w:rsid w:val="00F67B96"/>
    <w:rsid w:val="00F775C9"/>
    <w:rsid w:val="00F823C1"/>
    <w:rsid w:val="00F827E5"/>
    <w:rsid w:val="00F87178"/>
    <w:rsid w:val="00F87A27"/>
    <w:rsid w:val="00FA18C7"/>
    <w:rsid w:val="00FA3326"/>
    <w:rsid w:val="00FA4329"/>
    <w:rsid w:val="00FA5D05"/>
    <w:rsid w:val="00FB2698"/>
    <w:rsid w:val="00FB466B"/>
    <w:rsid w:val="00FC0BE1"/>
    <w:rsid w:val="00FC4942"/>
    <w:rsid w:val="00FD6C34"/>
    <w:rsid w:val="00FE3526"/>
    <w:rsid w:val="00FE4741"/>
    <w:rsid w:val="00FF317F"/>
    <w:rsid w:val="00FF59F8"/>
    <w:rsid w:val="2FEE09C5"/>
    <w:rsid w:val="3BDF0FAA"/>
    <w:rsid w:val="451E01B6"/>
    <w:rsid w:val="7DA4E309"/>
    <w:rsid w:val="B3BB070E"/>
    <w:rsid w:val="BCD77056"/>
    <w:rsid w:val="DCB7AFB5"/>
    <w:rsid w:val="FFFB00A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page number"/>
    <w:basedOn w:val="5"/>
    <w:qFormat/>
    <w:uiPriority w:val="0"/>
  </w:style>
  <w:style w:type="character" w:customStyle="1" w:styleId="7">
    <w:name w:val="页眉 Char"/>
    <w:basedOn w:val="5"/>
    <w:link w:val="3"/>
    <w:qFormat/>
    <w:uiPriority w:val="99"/>
    <w:rPr>
      <w:sz w:val="18"/>
      <w:szCs w:val="18"/>
    </w:rPr>
  </w:style>
  <w:style w:type="character" w:customStyle="1" w:styleId="8">
    <w:name w:val="页脚 Char"/>
    <w:basedOn w:val="5"/>
    <w:link w:val="2"/>
    <w:qFormat/>
    <w:uiPriority w:val="99"/>
    <w:rPr>
      <w:sz w:val="18"/>
      <w:szCs w:val="18"/>
    </w:rPr>
  </w:style>
  <w:style w:type="paragraph" w:customStyle="1" w:styleId="9">
    <w:name w:val="p0"/>
    <w:basedOn w:val="1"/>
    <w:qFormat/>
    <w:uiPriority w:val="0"/>
    <w:pPr>
      <w:widowControl/>
    </w:pPr>
    <w:rPr>
      <w:kern w:val="0"/>
      <w:sz w:val="30"/>
      <w:szCs w:val="21"/>
    </w:rPr>
  </w:style>
  <w:style w:type="paragraph" w:customStyle="1" w:styleId="10">
    <w:name w:val="纯文本1"/>
    <w:basedOn w:val="1"/>
    <w:qFormat/>
    <w:uiPriority w:val="0"/>
    <w:pPr>
      <w:adjustRightInd w:val="0"/>
    </w:pPr>
    <w:rPr>
      <w:rFonts w:hint="eastAsia" w:ascii="宋体" w:eastAsia="宋体"/>
      <w:kern w:val="0"/>
      <w:sz w:val="21"/>
      <w:szCs w:val="20"/>
    </w:rPr>
  </w:style>
  <w:style w:type="paragraph" w:customStyle="1" w:styleId="11">
    <w:name w:val="(文字) (文字)1 Char (文字) (文字) Char"/>
    <w:basedOn w:val="1"/>
    <w:qFormat/>
    <w:uiPriority w:val="0"/>
    <w:pPr>
      <w:adjustRightInd w:val="0"/>
      <w:spacing w:line="360" w:lineRule="auto"/>
    </w:pPr>
    <w:rPr>
      <w:rFonts w:eastAsia="宋体"/>
      <w:kern w:val="0"/>
      <w:sz w:val="24"/>
      <w:szCs w:val="20"/>
    </w:rPr>
  </w:style>
  <w:style w:type="paragraph" w:customStyle="1" w:styleId="12">
    <w:name w:val="二级条标题"/>
    <w:basedOn w:val="1"/>
    <w:next w:val="1"/>
    <w:qFormat/>
    <w:uiPriority w:val="0"/>
    <w:pPr>
      <w:widowControl/>
      <w:spacing w:before="50" w:beforeLines="50" w:after="50" w:afterLines="50"/>
      <w:jc w:val="left"/>
      <w:outlineLvl w:val="3"/>
    </w:pPr>
    <w:rPr>
      <w:rFonts w:ascii="黑体" w:hAnsi="Calibri" w:eastAsia="黑体"/>
      <w:kern w:val="0"/>
      <w:sz w:val="21"/>
      <w:szCs w:val="21"/>
    </w:rPr>
  </w:style>
  <w:style w:type="paragraph" w:customStyle="1" w:styleId="13">
    <w:name w:val="段"/>
    <w:qFormat/>
    <w:uiPriority w:val="0"/>
    <w:pPr>
      <w:tabs>
        <w:tab w:val="center" w:pos="4201"/>
        <w:tab w:val="right" w:leader="dot" w:pos="9298"/>
      </w:tabs>
      <w:autoSpaceDE w:val="0"/>
      <w:autoSpaceDN w:val="0"/>
      <w:ind w:firstLine="420" w:firstLineChars="200"/>
      <w:jc w:val="both"/>
    </w:pPr>
    <w:rPr>
      <w:rFonts w:ascii="宋体" w:hAnsiTheme="minorHAnsi" w:eastAsiaTheme="minorEastAsia" w:cstheme="minorBidi"/>
      <w:sz w:val="21"/>
      <w:szCs w:val="22"/>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微软中国</Company>
  <Pages>2</Pages>
  <Words>162</Words>
  <Characters>925</Characters>
  <Lines>7</Lines>
  <Paragraphs>2</Paragraphs>
  <TotalTime>1</TotalTime>
  <ScaleCrop>false</ScaleCrop>
  <LinksUpToDate>false</LinksUpToDate>
  <CharactersWithSpaces>1085</CharactersWithSpaces>
  <Application>WPS Office_11.8.2.12128_F1E327BC-269C-435d-A152-05C5408002CA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2024-06-19T03:13:00Z</dcterms:created>
  <dc:creator>微软用户</dc:creator>
  <cp:lastModifiedBy>admin1</cp:lastModifiedBy>
  <dcterms:modified xsi:type="dcterms:W3CDTF">2025-04-22T14:38:26Z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2052-11.8.2.12128</vt:lpwstr>
  </property>
  <property fmtid="{D5CDD505-2E9C-101B-9397-08002B2CF9AE}" pid="3" name="ICV">
    <vt:lpwstr>411EDB1CD22A499FBB00D4F312E379A8</vt:lpwstr>
  </property>
</Properties>
</file>