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480" w:lineRule="exact"/>
        <w:ind w:left="0" w:leftChars="0" w:right="0" w:rightChars="0" w:firstLine="0" w:firstLineChars="0"/>
        <w:jc w:val="center"/>
        <w:textAlignment w:val="auto"/>
        <w:rPr>
          <w:rFonts w:hint="eastAsia" w:ascii="Times New Roman" w:hAnsi="Times New Roman" w:eastAsia="方正小标宋简体" w:cs="Times New Roman"/>
          <w:color w:val="000000"/>
          <w:sz w:val="36"/>
          <w:szCs w:val="36"/>
        </w:rPr>
      </w:pPr>
      <w:r>
        <w:rPr>
          <w:rFonts w:hint="eastAsia" w:ascii="Times New Roman" w:hAnsi="Times New Roman" w:eastAsia="方正小标宋简体" w:cs="Times New Roman"/>
          <w:color w:val="000000"/>
          <w:sz w:val="36"/>
          <w:szCs w:val="36"/>
        </w:rPr>
        <w:t>消防器材产品质量监督抽查实施细则</w:t>
      </w:r>
    </w:p>
    <w:p>
      <w:pPr>
        <w:keepNext w:val="0"/>
        <w:keepLines w:val="0"/>
        <w:pageBreakBefore w:val="0"/>
        <w:kinsoku/>
        <w:wordWrap/>
        <w:overflowPunct/>
        <w:topLinePunct w:val="0"/>
        <w:autoSpaceDE/>
        <w:autoSpaceDN/>
        <w:bidi w:val="0"/>
        <w:spacing w:line="480" w:lineRule="exact"/>
        <w:ind w:left="0" w:leftChars="0" w:right="0" w:rightChars="0" w:firstLine="0" w:firstLineChars="0"/>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0" w:firstLineChars="0"/>
        <w:jc w:val="left"/>
        <w:textAlignment w:val="auto"/>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以随机抽样的方式在被抽查市场主体的待销产品中抽取。</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抽查数量：每款产品抽取2组样本，第1组用于检验，第2组用于备样。</w:t>
      </w:r>
    </w:p>
    <w:p>
      <w:pPr>
        <w:pStyle w:val="14"/>
        <w:keepNext w:val="0"/>
        <w:keepLines w:val="0"/>
        <w:pageBreakBefore w:val="0"/>
        <w:tabs>
          <w:tab w:val="clear" w:pos="840"/>
        </w:tabs>
        <w:kinsoku/>
        <w:wordWrap/>
        <w:overflowPunct/>
        <w:topLinePunct w:val="0"/>
        <w:autoSpaceDE/>
        <w:autoSpaceDN/>
        <w:bidi w:val="0"/>
        <w:spacing w:line="480" w:lineRule="exact"/>
        <w:ind w:left="0" w:leftChars="0"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表1 抽取样品数量</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2947"/>
        <w:gridCol w:w="2932"/>
        <w:gridCol w:w="2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452"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587"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产品名称</w:t>
            </w:r>
          </w:p>
        </w:tc>
        <w:tc>
          <w:tcPr>
            <w:tcW w:w="1579"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第1组数量</w:t>
            </w:r>
          </w:p>
        </w:tc>
        <w:tc>
          <w:tcPr>
            <w:tcW w:w="1380" w:type="pct"/>
            <w:shd w:val="clear" w:color="auto" w:fill="auto"/>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2" w:type="pct"/>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87" w:type="pct"/>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手提式干粉灭火器</w:t>
            </w:r>
          </w:p>
        </w:tc>
        <w:tc>
          <w:tcPr>
            <w:tcW w:w="2932" w:type="dxa"/>
            <w:vAlign w:val="center"/>
          </w:tcPr>
          <w:p>
            <w:pPr>
              <w:adjustRightInd w:val="0"/>
              <w:jc w:val="center"/>
              <w:rPr>
                <w:rFonts w:hint="eastAsia" w:ascii="宋体" w:hAnsi="宋体" w:eastAsia="宋体" w:cs="宋体"/>
                <w:color w:val="auto"/>
                <w:sz w:val="21"/>
                <w:szCs w:val="21"/>
                <w:highlight w:val="none"/>
              </w:rPr>
            </w:pPr>
            <w:r>
              <w:rPr>
                <w:rFonts w:hint="eastAsia" w:eastAsia="宋体" w:cs="Times New Roman"/>
                <w:color w:val="auto"/>
                <w:sz w:val="21"/>
                <w:highlight w:val="none"/>
                <w:lang w:val="en-US" w:eastAsia="zh-CN"/>
              </w:rPr>
              <w:t>4</w:t>
            </w:r>
            <w:r>
              <w:rPr>
                <w:rFonts w:hint="eastAsia" w:ascii="Times New Roman" w:hAnsi="Times New Roman" w:eastAsia="宋体" w:cs="Times New Roman"/>
                <w:color w:val="auto"/>
                <w:sz w:val="21"/>
                <w:highlight w:val="none"/>
              </w:rPr>
              <w:t>具</w:t>
            </w:r>
          </w:p>
        </w:tc>
        <w:tc>
          <w:tcPr>
            <w:tcW w:w="2566" w:type="dxa"/>
            <w:vAlign w:val="center"/>
          </w:tcPr>
          <w:p>
            <w:pPr>
              <w:adjustRightInd w:val="0"/>
              <w:jc w:val="center"/>
              <w:rPr>
                <w:rFonts w:hint="eastAsia" w:ascii="宋体" w:hAnsi="宋体" w:eastAsia="宋体" w:cs="宋体"/>
                <w:color w:val="auto"/>
                <w:sz w:val="21"/>
                <w:szCs w:val="21"/>
                <w:highlight w:val="none"/>
              </w:rPr>
            </w:pPr>
            <w:r>
              <w:rPr>
                <w:rFonts w:hint="eastAsia" w:eastAsia="宋体" w:cs="Times New Roman"/>
                <w:color w:val="auto"/>
                <w:sz w:val="21"/>
                <w:highlight w:val="none"/>
                <w:lang w:val="en-US" w:eastAsia="zh-CN"/>
              </w:rPr>
              <w:t>4</w:t>
            </w:r>
            <w:r>
              <w:rPr>
                <w:rFonts w:hint="eastAsia" w:ascii="Times New Roman" w:hAnsi="Times New Roman" w:eastAsia="宋体" w:cs="Times New Roman"/>
                <w:color w:val="auto"/>
                <w:sz w:val="21"/>
                <w:highlight w:val="none"/>
              </w:rPr>
              <w:t>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52" w:type="pct"/>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587" w:type="pct"/>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有衬里消防水带</w:t>
            </w:r>
          </w:p>
        </w:tc>
        <w:tc>
          <w:tcPr>
            <w:tcW w:w="2932" w:type="dxa"/>
            <w:vAlign w:val="center"/>
          </w:tcPr>
          <w:p>
            <w:pPr>
              <w:adjustRightInd w:val="0"/>
              <w:jc w:val="center"/>
              <w:rPr>
                <w:rFonts w:hint="eastAsia" w:ascii="宋体" w:hAnsi="宋体" w:eastAsia="宋体" w:cs="宋体"/>
                <w:color w:val="auto"/>
                <w:sz w:val="21"/>
                <w:szCs w:val="21"/>
                <w:highlight w:val="none"/>
              </w:rPr>
            </w:pPr>
            <w:r>
              <w:rPr>
                <w:rFonts w:hint="eastAsia" w:ascii="Times New Roman" w:hAnsi="Times New Roman" w:eastAsia="宋体" w:cs="Times New Roman"/>
                <w:color w:val="auto"/>
                <w:sz w:val="21"/>
                <w:highlight w:val="none"/>
              </w:rPr>
              <w:t>1</w:t>
            </w:r>
            <w:r>
              <w:rPr>
                <w:rFonts w:hint="eastAsia" w:eastAsia="宋体" w:cs="Times New Roman"/>
                <w:color w:val="auto"/>
                <w:sz w:val="21"/>
                <w:highlight w:val="none"/>
                <w:lang w:val="en-US" w:eastAsia="zh-CN"/>
              </w:rPr>
              <w:t>根</w:t>
            </w:r>
          </w:p>
        </w:tc>
        <w:tc>
          <w:tcPr>
            <w:tcW w:w="2566" w:type="dxa"/>
            <w:vAlign w:val="center"/>
          </w:tcPr>
          <w:p>
            <w:pPr>
              <w:adjustRightInd w:val="0"/>
              <w:jc w:val="center"/>
              <w:rPr>
                <w:rFonts w:hint="eastAsia" w:ascii="宋体" w:hAnsi="宋体" w:eastAsia="宋体" w:cs="宋体"/>
                <w:color w:val="auto"/>
                <w:sz w:val="21"/>
                <w:szCs w:val="21"/>
                <w:highlight w:val="none"/>
              </w:rPr>
            </w:pPr>
            <w:r>
              <w:rPr>
                <w:rFonts w:hint="eastAsia" w:ascii="Times New Roman" w:hAnsi="Times New Roman" w:eastAsia="宋体" w:cs="Times New Roman"/>
                <w:color w:val="auto"/>
                <w:sz w:val="21"/>
                <w:highlight w:val="none"/>
              </w:rPr>
              <w:t>1</w:t>
            </w:r>
            <w:r>
              <w:rPr>
                <w:rFonts w:hint="eastAsia" w:eastAsia="宋体" w:cs="Times New Roman"/>
                <w:color w:val="auto"/>
                <w:sz w:val="21"/>
                <w:highlight w:val="none"/>
                <w:lang w:val="en-US" w:eastAsia="zh-CN"/>
              </w:rPr>
              <w:t>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vAlign w:val="center"/>
          </w:tcPr>
          <w:p>
            <w:pPr>
              <w:keepNext w:val="0"/>
              <w:keepLines w:val="0"/>
              <w:pageBreakBefore w:val="0"/>
              <w:widowControl w:val="0"/>
              <w:kinsoku/>
              <w:wordWrap/>
              <w:overflowPunct/>
              <w:topLinePunct w:val="0"/>
              <w:autoSpaceDE/>
              <w:autoSpaceDN/>
              <w:bidi w:val="0"/>
              <w:adjustRightInd w:val="0"/>
              <w:snapToGrid/>
              <w:spacing w:line="480" w:lineRule="exact"/>
              <w:ind w:left="0" w:leftChars="0" w:right="0" w:rightChars="0" w:firstLine="0" w:firstLineChars="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注：样品需为标称同一商标（或标称同一生产者）同一型号规格的产品。抽取的样品必须为整套产品（包括其包装），且不能被使用过。</w:t>
            </w:r>
          </w:p>
        </w:tc>
      </w:tr>
    </w:tbl>
    <w:p>
      <w:pPr>
        <w:keepNext w:val="0"/>
        <w:keepLines w:val="0"/>
        <w:pageBreakBefore w:val="0"/>
        <w:widowControl w:val="0"/>
        <w:kinsoku/>
        <w:wordWrap/>
        <w:overflowPunct/>
        <w:topLinePunct w:val="0"/>
        <w:autoSpaceDE/>
        <w:autoSpaceDN/>
        <w:bidi w:val="0"/>
        <w:adjustRightInd w:val="0"/>
        <w:snapToGrid w:val="0"/>
        <w:spacing w:before="157" w:beforeLines="50" w:line="480" w:lineRule="exact"/>
        <w:ind w:right="0" w:rightChars="0" w:firstLine="560" w:firstLineChars="200"/>
        <w:jc w:val="left"/>
        <w:textAlignment w:val="auto"/>
        <w:rPr>
          <w:rFonts w:hint="eastAsia" w:ascii="黑体" w:hAnsi="黑体" w:eastAsia="黑体" w:cs="黑体"/>
          <w:color w:val="auto"/>
          <w:sz w:val="28"/>
          <w:szCs w:val="28"/>
        </w:rPr>
      </w:pPr>
      <w:r>
        <w:rPr>
          <w:rFonts w:hint="eastAsia" w:ascii="黑体" w:hAnsi="黑体" w:eastAsia="黑体" w:cs="黑体"/>
          <w:color w:val="auto"/>
          <w:sz w:val="28"/>
          <w:szCs w:val="28"/>
          <w:lang w:eastAsia="zh-CN"/>
        </w:rPr>
        <w:t>二、</w:t>
      </w:r>
      <w:r>
        <w:rPr>
          <w:rFonts w:hint="eastAsia" w:ascii="黑体" w:hAnsi="黑体" w:eastAsia="黑体" w:cs="黑体"/>
          <w:color w:val="auto"/>
          <w:sz w:val="28"/>
          <w:szCs w:val="28"/>
        </w:rPr>
        <w:t>检验依据</w:t>
      </w:r>
    </w:p>
    <w:p>
      <w:pPr>
        <w:pStyle w:val="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480" w:lineRule="exact"/>
        <w:ind w:left="0" w:leftChars="0" w:right="0" w:rightChars="0" w:firstLine="0" w:firstLineChars="0"/>
        <w:contextualSpacing/>
        <w:jc w:val="center"/>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表2手提式干粉灭火器</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7"/>
        <w:gridCol w:w="3653"/>
        <w:gridCol w:w="2126"/>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noWrap w:val="0"/>
            <w:vAlign w:val="center"/>
          </w:tcPr>
          <w:p>
            <w:pPr>
              <w:pStyle w:val="3"/>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序号</w:t>
            </w:r>
          </w:p>
        </w:tc>
        <w:tc>
          <w:tcPr>
            <w:tcW w:w="2002" w:type="pct"/>
            <w:noWrap w:val="0"/>
            <w:vAlign w:val="center"/>
          </w:tcPr>
          <w:p>
            <w:pPr>
              <w:pStyle w:val="3"/>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检验项目</w:t>
            </w:r>
          </w:p>
        </w:tc>
        <w:tc>
          <w:tcPr>
            <w:tcW w:w="1165" w:type="pct"/>
            <w:noWrap w:val="0"/>
            <w:vAlign w:val="top"/>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检验依据</w:t>
            </w:r>
          </w:p>
        </w:tc>
        <w:tc>
          <w:tcPr>
            <w:tcW w:w="1366"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p>
        </w:tc>
        <w:tc>
          <w:tcPr>
            <w:tcW w:w="3653" w:type="dxa"/>
            <w:noWrap w:val="0"/>
            <w:vAlign w:val="center"/>
          </w:tcPr>
          <w:p>
            <w:pPr>
              <w:adjustRightInd w:val="0"/>
              <w:snapToGrid w:val="0"/>
              <w:jc w:val="center"/>
              <w:rPr>
                <w:rFonts w:hint="eastAsia" w:ascii="宋体" w:hAnsi="宋体" w:eastAsia="宋体" w:cs="宋体"/>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20℃时喷射性能</w:t>
            </w:r>
          </w:p>
        </w:tc>
        <w:tc>
          <w:tcPr>
            <w:tcW w:w="1165"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c>
          <w:tcPr>
            <w:tcW w:w="1366"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c>
          <w:tcPr>
            <w:tcW w:w="3653" w:type="dxa"/>
            <w:noWrap w:val="0"/>
            <w:vAlign w:val="center"/>
          </w:tcPr>
          <w:p>
            <w:pPr>
              <w:adjustRightInd w:val="0"/>
              <w:snapToGrid w:val="0"/>
              <w:jc w:val="center"/>
              <w:rPr>
                <w:rFonts w:hint="eastAsia" w:ascii="宋体" w:hAnsi="宋体" w:eastAsia="宋体" w:cs="宋体"/>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充装要求</w:t>
            </w:r>
          </w:p>
        </w:tc>
        <w:tc>
          <w:tcPr>
            <w:tcW w:w="1165"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c>
          <w:tcPr>
            <w:tcW w:w="1366"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p>
        </w:tc>
        <w:tc>
          <w:tcPr>
            <w:tcW w:w="3653" w:type="dxa"/>
            <w:vAlign w:val="center"/>
          </w:tcPr>
          <w:p>
            <w:pPr>
              <w:adjustRightInd w:val="0"/>
              <w:snapToGrid w:val="0"/>
              <w:jc w:val="center"/>
              <w:rPr>
                <w:rFonts w:hint="eastAsia" w:ascii="宋体" w:hAnsi="宋体" w:eastAsia="宋体" w:cs="宋体"/>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瓶体水压试验</w:t>
            </w:r>
          </w:p>
        </w:tc>
        <w:tc>
          <w:tcPr>
            <w:tcW w:w="11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c>
          <w:tcPr>
            <w:tcW w:w="1366"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p>
        </w:tc>
        <w:tc>
          <w:tcPr>
            <w:tcW w:w="3653" w:type="dxa"/>
            <w:vAlign w:val="center"/>
          </w:tcPr>
          <w:p>
            <w:pPr>
              <w:adjustRightInd w:val="0"/>
              <w:snapToGrid w:val="0"/>
              <w:jc w:val="center"/>
              <w:rPr>
                <w:rFonts w:hint="eastAsia" w:ascii="宋体" w:hAnsi="宋体" w:eastAsia="宋体" w:cs="宋体"/>
                <w:color w:val="auto"/>
                <w:kern w:val="2"/>
                <w:sz w:val="21"/>
                <w:szCs w:val="21"/>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瓶体爆破性能</w:t>
            </w:r>
          </w:p>
        </w:tc>
        <w:tc>
          <w:tcPr>
            <w:tcW w:w="11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c>
          <w:tcPr>
            <w:tcW w:w="1366"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4"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p>
        </w:tc>
        <w:tc>
          <w:tcPr>
            <w:tcW w:w="2002"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灭火剂第一主要组分含量</w:t>
            </w:r>
          </w:p>
        </w:tc>
        <w:tc>
          <w:tcPr>
            <w:tcW w:w="11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4351-2023</w:t>
            </w:r>
          </w:p>
        </w:tc>
        <w:tc>
          <w:tcPr>
            <w:tcW w:w="1366"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GB 4066—2017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5000" w:type="pct"/>
            <w:gridSpan w:val="4"/>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备注：灭火剂第一主要组分含量项目只适用于手提式干粉灭火器，检验方法为GB 4066—2017，判定依据为GB 4351-2023。</w:t>
            </w:r>
          </w:p>
        </w:tc>
      </w:tr>
    </w:tbl>
    <w:p>
      <w:pPr>
        <w:keepNext w:val="0"/>
        <w:keepLines w:val="0"/>
        <w:pageBreakBefore w:val="0"/>
        <w:widowControl/>
        <w:kinsoku/>
        <w:wordWrap/>
        <w:overflowPunct/>
        <w:topLinePunct w:val="0"/>
        <w:autoSpaceDE/>
        <w:autoSpaceDN/>
        <w:bidi w:val="0"/>
        <w:adjustRightInd/>
        <w:snapToGrid/>
        <w:spacing w:before="157" w:beforeLines="50" w:line="480" w:lineRule="exact"/>
        <w:ind w:left="0" w:leftChars="0" w:right="0" w:rightChars="0" w:firstLine="0" w:firstLineChars="0"/>
        <w:jc w:val="center"/>
        <w:textAlignment w:val="auto"/>
        <w:rPr>
          <w:rFonts w:hint="eastAsia" w:ascii="Times New Roman" w:hAnsi="Times New Roman" w:eastAsia="宋体" w:cs="Times New Roman"/>
          <w:color w:val="auto"/>
          <w:kern w:val="2"/>
          <w:sz w:val="21"/>
          <w:szCs w:val="21"/>
          <w:highlight w:val="none"/>
          <w:lang w:val="en-US" w:eastAsia="zh-CN" w:bidi="ar-SA"/>
        </w:rPr>
      </w:pPr>
      <w:r>
        <w:rPr>
          <w:rFonts w:hint="eastAsia" w:ascii="仿宋" w:hAnsi="仿宋" w:eastAsia="仿宋" w:cs="仿宋"/>
          <w:bCs/>
          <w:color w:val="auto"/>
          <w:kern w:val="0"/>
          <w:sz w:val="28"/>
          <w:szCs w:val="28"/>
          <w:highlight w:val="none"/>
          <w:lang w:val="en-US" w:eastAsia="zh-CN" w:bidi="ar-SA"/>
        </w:rPr>
        <w:t>表3有衬里消防水带</w:t>
      </w:r>
    </w:p>
    <w:tbl>
      <w:tblPr>
        <w:tblStyle w:val="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49"/>
        <w:gridCol w:w="3655"/>
        <w:gridCol w:w="2128"/>
        <w:gridCol w:w="2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pStyle w:val="3"/>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序号</w:t>
            </w:r>
          </w:p>
        </w:tc>
        <w:tc>
          <w:tcPr>
            <w:tcW w:w="2003" w:type="pct"/>
            <w:noWrap w:val="0"/>
            <w:vAlign w:val="center"/>
          </w:tcPr>
          <w:p>
            <w:pPr>
              <w:pStyle w:val="3"/>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检验项目</w:t>
            </w:r>
          </w:p>
        </w:tc>
        <w:tc>
          <w:tcPr>
            <w:tcW w:w="1166" w:type="pct"/>
            <w:noWrap w:val="0"/>
            <w:vAlign w:val="top"/>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检验依据</w:t>
            </w:r>
          </w:p>
        </w:tc>
        <w:tc>
          <w:tcPr>
            <w:tcW w:w="1365"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p>
        </w:tc>
        <w:tc>
          <w:tcPr>
            <w:tcW w:w="2003" w:type="pct"/>
            <w:noWrap w:val="0"/>
            <w:vAlign w:val="center"/>
          </w:tcPr>
          <w:p>
            <w:pPr>
              <w:pStyle w:val="3"/>
              <w:snapToGrid w:val="0"/>
              <w:spacing w:line="380" w:lineRule="exact"/>
              <w:jc w:val="center"/>
              <w:rPr>
                <w:rFonts w:hint="eastAsia" w:ascii="Times New Roman" w:hAnsi="Times New Roman" w:eastAsia="宋体" w:cs="Times New Roman"/>
                <w:color w:val="auto"/>
                <w:kern w:val="2"/>
                <w:sz w:val="21"/>
                <w:szCs w:val="24"/>
                <w:highlight w:val="none"/>
                <w:lang w:val="en-US" w:eastAsia="zh-CN" w:bidi="ar-SA"/>
              </w:rPr>
            </w:pPr>
            <w:r>
              <w:rPr>
                <w:rStyle w:val="10"/>
                <w:rFonts w:hint="eastAsia" w:ascii="宋体" w:hAnsi="宋体" w:eastAsia="宋体" w:cs="宋体"/>
                <w:color w:val="auto"/>
                <w:sz w:val="21"/>
                <w:szCs w:val="21"/>
                <w:lang w:val="en-US" w:eastAsia="zh-CN"/>
              </w:rPr>
              <w:t>内径</w:t>
            </w:r>
          </w:p>
        </w:tc>
        <w:tc>
          <w:tcPr>
            <w:tcW w:w="1166"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c>
          <w:tcPr>
            <w:tcW w:w="13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noWrap w:val="0"/>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w:t>
            </w:r>
          </w:p>
        </w:tc>
        <w:tc>
          <w:tcPr>
            <w:tcW w:w="2003" w:type="pct"/>
            <w:noWrap w:val="0"/>
            <w:vAlign w:val="center"/>
          </w:tcPr>
          <w:p>
            <w:pPr>
              <w:pStyle w:val="3"/>
              <w:snapToGrid w:val="0"/>
              <w:spacing w:line="380" w:lineRule="exact"/>
              <w:jc w:val="center"/>
              <w:rPr>
                <w:rFonts w:hint="eastAsia" w:ascii="Times New Roman" w:hAnsi="Times New Roman" w:eastAsia="宋体" w:cs="Times New Roman"/>
                <w:color w:val="auto"/>
                <w:kern w:val="2"/>
                <w:sz w:val="21"/>
                <w:szCs w:val="24"/>
                <w:highlight w:val="none"/>
                <w:lang w:val="en-US" w:eastAsia="zh-CN" w:bidi="ar-SA"/>
              </w:rPr>
            </w:pPr>
            <w:r>
              <w:rPr>
                <w:rStyle w:val="10"/>
                <w:rFonts w:hint="eastAsia" w:ascii="宋体" w:hAnsi="宋体" w:eastAsia="宋体" w:cs="宋体"/>
                <w:color w:val="auto"/>
                <w:sz w:val="21"/>
                <w:szCs w:val="21"/>
                <w:lang w:val="en-US" w:eastAsia="zh-CN"/>
              </w:rPr>
              <w:t>试验压力</w:t>
            </w:r>
          </w:p>
        </w:tc>
        <w:tc>
          <w:tcPr>
            <w:tcW w:w="1166"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c>
          <w:tcPr>
            <w:tcW w:w="1365" w:type="pct"/>
            <w:noWrap w:val="0"/>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w:t>
            </w:r>
          </w:p>
        </w:tc>
        <w:tc>
          <w:tcPr>
            <w:tcW w:w="2003" w:type="pct"/>
            <w:vAlign w:val="center"/>
          </w:tcPr>
          <w:p>
            <w:pPr>
              <w:pStyle w:val="3"/>
              <w:snapToGrid w:val="0"/>
              <w:spacing w:line="380" w:lineRule="exact"/>
              <w:jc w:val="center"/>
              <w:rPr>
                <w:rFonts w:hint="eastAsia" w:ascii="Times New Roman" w:hAnsi="Times New Roman" w:eastAsia="宋体" w:cs="Times New Roman"/>
                <w:color w:val="auto"/>
                <w:kern w:val="2"/>
                <w:sz w:val="21"/>
                <w:szCs w:val="24"/>
                <w:highlight w:val="none"/>
                <w:lang w:val="en-US" w:eastAsia="zh-CN" w:bidi="ar-SA"/>
              </w:rPr>
            </w:pPr>
            <w:r>
              <w:rPr>
                <w:rStyle w:val="10"/>
                <w:rFonts w:hint="eastAsia" w:ascii="宋体" w:hAnsi="宋体" w:eastAsia="宋体" w:cs="宋体"/>
                <w:color w:val="auto"/>
                <w:sz w:val="21"/>
                <w:szCs w:val="21"/>
                <w:lang w:val="en-US" w:eastAsia="zh-CN"/>
              </w:rPr>
              <w:t>最小爆破压力</w:t>
            </w:r>
          </w:p>
        </w:tc>
        <w:tc>
          <w:tcPr>
            <w:tcW w:w="1166"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c>
          <w:tcPr>
            <w:tcW w:w="1365"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w:t>
            </w:r>
          </w:p>
        </w:tc>
        <w:tc>
          <w:tcPr>
            <w:tcW w:w="2003" w:type="pct"/>
            <w:vAlign w:val="center"/>
          </w:tcPr>
          <w:p>
            <w:pPr>
              <w:pStyle w:val="3"/>
              <w:snapToGrid w:val="0"/>
              <w:spacing w:line="380" w:lineRule="exact"/>
              <w:jc w:val="center"/>
              <w:rPr>
                <w:rFonts w:hint="eastAsia" w:ascii="Times New Roman" w:hAnsi="Times New Roman" w:eastAsia="宋体" w:cs="Times New Roman"/>
                <w:color w:val="auto"/>
                <w:kern w:val="2"/>
                <w:sz w:val="21"/>
                <w:szCs w:val="24"/>
                <w:highlight w:val="none"/>
                <w:lang w:val="en-US" w:eastAsia="zh-CN" w:bidi="ar-SA"/>
              </w:rPr>
            </w:pPr>
            <w:r>
              <w:rPr>
                <w:rStyle w:val="10"/>
                <w:rFonts w:hint="eastAsia" w:ascii="宋体" w:hAnsi="宋体" w:eastAsia="宋体" w:cs="宋体"/>
                <w:color w:val="auto"/>
                <w:sz w:val="21"/>
                <w:szCs w:val="21"/>
                <w:lang w:val="en-US" w:eastAsia="zh-CN"/>
              </w:rPr>
              <w:t>黏附性</w:t>
            </w:r>
          </w:p>
        </w:tc>
        <w:tc>
          <w:tcPr>
            <w:tcW w:w="1166"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c>
          <w:tcPr>
            <w:tcW w:w="1365"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40" w:hRule="atLeast"/>
          <w:tblHeader/>
          <w:jc w:val="center"/>
        </w:trPr>
        <w:tc>
          <w:tcPr>
            <w:tcW w:w="465" w:type="pct"/>
            <w:vAlign w:val="center"/>
          </w:tcPr>
          <w:p>
            <w:pPr>
              <w:keepNext w:val="0"/>
              <w:keepLines w:val="0"/>
              <w:pageBreakBefore w:val="0"/>
              <w:kinsoku/>
              <w:wordWrap/>
              <w:overflowPunct/>
              <w:topLinePunct w:val="0"/>
              <w:autoSpaceDE/>
              <w:autoSpaceDN/>
              <w:bidi w:val="0"/>
              <w:adjustRightInd w:val="0"/>
              <w:snapToGrid w:val="0"/>
              <w:spacing w:line="480" w:lineRule="exact"/>
              <w:ind w:left="0" w:leftChars="0" w:right="0" w:rightChars="0"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w:t>
            </w:r>
          </w:p>
        </w:tc>
        <w:tc>
          <w:tcPr>
            <w:tcW w:w="2003" w:type="pct"/>
            <w:vAlign w:val="center"/>
          </w:tcPr>
          <w:p>
            <w:pPr>
              <w:pStyle w:val="3"/>
              <w:snapToGrid w:val="0"/>
              <w:spacing w:line="380" w:lineRule="exact"/>
              <w:jc w:val="center"/>
              <w:rPr>
                <w:rFonts w:hint="eastAsia" w:ascii="Times New Roman" w:hAnsi="Times New Roman" w:eastAsia="宋体" w:cs="Times New Roman"/>
                <w:color w:val="auto"/>
                <w:kern w:val="2"/>
                <w:sz w:val="21"/>
                <w:szCs w:val="24"/>
                <w:highlight w:val="none"/>
                <w:lang w:val="en-US" w:eastAsia="zh-CN" w:bidi="ar-SA"/>
              </w:rPr>
            </w:pPr>
            <w:r>
              <w:rPr>
                <w:rStyle w:val="10"/>
                <w:rFonts w:hint="eastAsia" w:ascii="宋体" w:hAnsi="宋体" w:eastAsia="宋体" w:cs="宋体"/>
                <w:color w:val="auto"/>
                <w:sz w:val="21"/>
                <w:szCs w:val="21"/>
                <w:lang w:val="en-US" w:eastAsia="zh-CN"/>
              </w:rPr>
              <w:t>附着强度</w:t>
            </w:r>
          </w:p>
        </w:tc>
        <w:tc>
          <w:tcPr>
            <w:tcW w:w="1166"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c>
          <w:tcPr>
            <w:tcW w:w="1365" w:type="pct"/>
            <w:vAlign w:val="center"/>
          </w:tcPr>
          <w:p>
            <w:pPr>
              <w:adjustRightInd w:val="0"/>
              <w:snapToGrid w:val="0"/>
              <w:ind w:left="-80" w:leftChars="-25" w:right="-106" w:rightChars="-33"/>
              <w:jc w:val="center"/>
              <w:rPr>
                <w:rFonts w:hint="eastAsia" w:ascii="Times New Roman" w:hAnsi="Times New Roman" w:eastAsia="宋体" w:cs="Times New Roman"/>
                <w:color w:val="auto"/>
                <w:kern w:val="2"/>
                <w:sz w:val="21"/>
                <w:szCs w:val="24"/>
                <w:highlight w:val="none"/>
                <w:lang w:val="en-US" w:eastAsia="zh-CN" w:bidi="ar-SA"/>
              </w:rPr>
            </w:pPr>
            <w:r>
              <w:rPr>
                <w:rFonts w:hint="default" w:ascii="Times New Roman" w:hAnsi="Times New Roman" w:eastAsia="宋体" w:cs="Times New Roman"/>
                <w:color w:val="auto"/>
                <w:kern w:val="2"/>
                <w:sz w:val="21"/>
                <w:szCs w:val="24"/>
                <w:highlight w:val="none"/>
                <w:lang w:val="en-US" w:eastAsia="zh-CN" w:bidi="ar-SA"/>
              </w:rPr>
              <w:t>GB 6246-2011</w:t>
            </w:r>
          </w:p>
        </w:tc>
      </w:tr>
    </w:tbl>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before="157" w:beforeLines="50" w:line="480" w:lineRule="exact"/>
        <w:ind w:left="0" w:leftChars="0" w:right="0" w:rightChars="0" w:firstLine="560" w:firstLineChars="200"/>
        <w:jc w:val="left"/>
        <w:textAlignment w:val="auto"/>
        <w:rPr>
          <w:rFonts w:hint="eastAsia" w:ascii="黑体" w:hAnsi="黑体" w:eastAsia="黑体" w:cs="黑体"/>
          <w:color w:val="auto"/>
          <w:sz w:val="28"/>
          <w:szCs w:val="28"/>
        </w:rPr>
      </w:pPr>
      <w:r>
        <w:rPr>
          <w:rFonts w:hint="eastAsia" w:ascii="黑体" w:hAnsi="黑体" w:eastAsia="黑体" w:cs="黑体"/>
          <w:color w:val="auto"/>
          <w:sz w:val="28"/>
          <w:szCs w:val="28"/>
          <w:lang w:eastAsia="zh-CN"/>
        </w:rPr>
        <w:t>三、</w:t>
      </w:r>
      <w:r>
        <w:rPr>
          <w:rFonts w:hint="eastAsia" w:ascii="黑体" w:hAnsi="黑体" w:eastAsia="黑体" w:cs="黑体"/>
          <w:color w:val="auto"/>
          <w:sz w:val="28"/>
          <w:szCs w:val="28"/>
        </w:rPr>
        <w:t>判定规则</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楷体_GB2312" w:hAnsi="楷体_GB2312" w:eastAsia="楷体_GB2312" w:cs="楷体_GB2312"/>
          <w:color w:val="auto"/>
          <w:sz w:val="28"/>
          <w:szCs w:val="28"/>
          <w:highlight w:val="none"/>
        </w:rPr>
      </w:pPr>
      <w:r>
        <w:rPr>
          <w:rFonts w:hint="eastAsia" w:ascii="楷体_GB2312" w:hAnsi="楷体_GB2312" w:eastAsia="楷体_GB2312" w:cs="楷体_GB2312"/>
          <w:color w:val="auto"/>
          <w:sz w:val="28"/>
          <w:szCs w:val="28"/>
          <w:highlight w:val="none"/>
          <w:lang w:val="en-US" w:eastAsia="zh-CN"/>
        </w:rPr>
        <w:t>（一）</w:t>
      </w:r>
      <w:r>
        <w:rPr>
          <w:rFonts w:hint="eastAsia" w:ascii="楷体_GB2312" w:hAnsi="楷体_GB2312" w:eastAsia="楷体_GB2312" w:cs="楷体_GB2312"/>
          <w:color w:val="auto"/>
          <w:sz w:val="28"/>
          <w:szCs w:val="28"/>
          <w:highlight w:val="none"/>
        </w:rPr>
        <w:t>产品标准</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GB 4351-20</w:t>
      </w:r>
      <w:r>
        <w:rPr>
          <w:rFonts w:hint="eastAsia" w:ascii="仿宋" w:hAnsi="仿宋" w:eastAsia="仿宋" w:cs="仿宋"/>
          <w:color w:val="auto"/>
          <w:sz w:val="28"/>
          <w:szCs w:val="28"/>
          <w:lang w:val="en-US" w:eastAsia="zh-CN"/>
        </w:rPr>
        <w:t>23</w:t>
      </w:r>
      <w:r>
        <w:rPr>
          <w:rFonts w:hint="eastAsia" w:ascii="仿宋" w:hAnsi="仿宋" w:eastAsia="仿宋" w:cs="仿宋"/>
          <w:color w:val="auto"/>
          <w:sz w:val="28"/>
          <w:szCs w:val="28"/>
        </w:rPr>
        <w:t>《手提式灭火器》</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auto"/>
          <w:sz w:val="28"/>
          <w:szCs w:val="28"/>
        </w:rPr>
        <w:t xml:space="preserve">GB 4066—2017 </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干粉灭火剂</w:t>
      </w:r>
      <w:r>
        <w:rPr>
          <w:rFonts w:hint="eastAsia" w:ascii="仿宋" w:hAnsi="仿宋" w:eastAsia="仿宋" w:cs="仿宋"/>
          <w:color w:val="auto"/>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 6246-2011《消防水带》</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Times New Roman" w:hAnsi="Times New Roman" w:eastAsia="宋体" w:cs="Times New Roman"/>
          <w:color w:val="000000"/>
          <w:sz w:val="21"/>
          <w:szCs w:val="21"/>
        </w:rPr>
      </w:pPr>
      <w:r>
        <w:rPr>
          <w:rFonts w:hint="eastAsia" w:ascii="仿宋" w:hAnsi="仿宋" w:eastAsia="仿宋" w:cs="仿宋"/>
          <w:color w:val="000000"/>
          <w:sz w:val="28"/>
          <w:szCs w:val="28"/>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楷体_GB2312" w:hAnsi="楷体_GB2312" w:eastAsia="楷体_GB2312" w:cs="楷体_GB2312"/>
          <w:color w:val="auto"/>
          <w:sz w:val="28"/>
          <w:szCs w:val="28"/>
          <w:highlight w:val="none"/>
          <w:lang w:val="en-US" w:eastAsia="zh-CN"/>
        </w:rPr>
      </w:pPr>
      <w:r>
        <w:rPr>
          <w:rFonts w:hint="eastAsia" w:ascii="楷体_GB2312" w:hAnsi="楷体_GB2312" w:eastAsia="楷体_GB2312" w:cs="楷体_GB2312"/>
          <w:color w:val="auto"/>
          <w:sz w:val="28"/>
          <w:szCs w:val="28"/>
          <w:highlight w:val="none"/>
          <w:lang w:val="en-US" w:eastAsia="zh-CN"/>
        </w:rPr>
        <w:t>（二）判定原则</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default" w:ascii="仿宋" w:hAnsi="仿宋" w:eastAsia="仿宋" w:cs="仿宋"/>
          <w:sz w:val="28"/>
          <w:szCs w:val="28"/>
        </w:rPr>
      </w:pPr>
      <w:r>
        <w:rPr>
          <w:rFonts w:hint="default" w:ascii="仿宋" w:hAnsi="仿宋" w:eastAsia="仿宋" w:cs="仿宋"/>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default" w:ascii="仿宋" w:hAnsi="仿宋" w:eastAsia="仿宋" w:cs="仿宋"/>
          <w:sz w:val="28"/>
          <w:szCs w:val="28"/>
        </w:rPr>
      </w:pPr>
      <w:r>
        <w:rPr>
          <w:rFonts w:hint="default" w:ascii="仿宋" w:hAnsi="仿宋" w:eastAsia="仿宋" w:cs="仿宋"/>
          <w:sz w:val="28"/>
          <w:szCs w:val="28"/>
        </w:rPr>
        <w:t>若被检产品明示的质量要求</w:t>
      </w:r>
      <w:bookmarkStart w:id="0" w:name="_GoBack"/>
      <w:bookmarkEnd w:id="0"/>
      <w:r>
        <w:rPr>
          <w:rFonts w:hint="default" w:ascii="仿宋" w:hAnsi="仿宋" w:eastAsia="仿宋" w:cs="仿宋"/>
          <w:sz w:val="28"/>
          <w:szCs w:val="28"/>
        </w:rPr>
        <w:t>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default" w:ascii="仿宋" w:hAnsi="仿宋" w:eastAsia="仿宋" w:cs="仿宋"/>
          <w:sz w:val="28"/>
          <w:szCs w:val="28"/>
        </w:rPr>
      </w:pPr>
      <w:r>
        <w:rPr>
          <w:rFonts w:hint="default" w:ascii="仿宋" w:hAnsi="仿宋" w:eastAsia="仿宋" w:cs="仿宋"/>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default" w:ascii="仿宋" w:hAnsi="仿宋" w:eastAsia="仿宋" w:cs="仿宋"/>
          <w:sz w:val="28"/>
          <w:szCs w:val="28"/>
        </w:rPr>
      </w:pPr>
      <w:r>
        <w:rPr>
          <w:rFonts w:hint="default" w:ascii="仿宋" w:hAnsi="仿宋" w:eastAsia="仿宋" w:cs="仿宋"/>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snapToGrid w:val="0"/>
        <w:spacing w:line="480" w:lineRule="exact"/>
        <w:ind w:left="0" w:leftChars="0" w:firstLine="560" w:firstLineChars="200"/>
        <w:jc w:val="left"/>
        <w:textAlignment w:val="auto"/>
        <w:rPr>
          <w:rFonts w:hint="default" w:ascii="仿宋" w:hAnsi="仿宋" w:eastAsia="仿宋" w:cs="仿宋"/>
          <w:sz w:val="28"/>
          <w:szCs w:val="28"/>
        </w:rPr>
      </w:pPr>
      <w:r>
        <w:rPr>
          <w:rFonts w:hint="default" w:ascii="仿宋" w:hAnsi="仿宋" w:eastAsia="仿宋" w:cs="仿宋"/>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rPr>
          <w:rFonts w:hint="eastAsia" w:ascii="仿宋" w:hAnsi="仿宋" w:eastAsia="仿宋" w:cs="仿宋"/>
          <w:color w:val="000000"/>
          <w:sz w:val="28"/>
          <w:szCs w:val="28"/>
        </w:rPr>
      </w:pPr>
      <w:r>
        <w:rPr>
          <w:rFonts w:hint="default" w:ascii="仿宋" w:hAnsi="仿宋" w:eastAsia="仿宋" w:cs="仿宋"/>
          <w:sz w:val="28"/>
          <w:szCs w:val="28"/>
        </w:rPr>
        <w:t>若被检产品明示的质量要求缺少本细则中检验项目依据的推荐性标准要求时，该项目不参与判定。</w:t>
      </w:r>
    </w:p>
    <w:sectPr>
      <w:pgSz w:w="11906" w:h="16838"/>
      <w:pgMar w:top="1587" w:right="1417" w:bottom="1587" w:left="141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B46FE"/>
    <w:rsid w:val="000228DC"/>
    <w:rsid w:val="00101AF8"/>
    <w:rsid w:val="00BD1D0E"/>
    <w:rsid w:val="00EB46FE"/>
    <w:rsid w:val="0F0169F0"/>
    <w:rsid w:val="11CB3AC2"/>
    <w:rsid w:val="16DF6A48"/>
    <w:rsid w:val="170840D6"/>
    <w:rsid w:val="18DD3CEF"/>
    <w:rsid w:val="1A6C3968"/>
    <w:rsid w:val="21163637"/>
    <w:rsid w:val="22463F1E"/>
    <w:rsid w:val="25357349"/>
    <w:rsid w:val="25866DF5"/>
    <w:rsid w:val="26293E62"/>
    <w:rsid w:val="27741EB6"/>
    <w:rsid w:val="295C30AF"/>
    <w:rsid w:val="2E883CF0"/>
    <w:rsid w:val="300246FB"/>
    <w:rsid w:val="323B6D3A"/>
    <w:rsid w:val="361119E9"/>
    <w:rsid w:val="3D9250A4"/>
    <w:rsid w:val="41F459EA"/>
    <w:rsid w:val="42E45F1C"/>
    <w:rsid w:val="44B37BFE"/>
    <w:rsid w:val="462F66F9"/>
    <w:rsid w:val="48D11565"/>
    <w:rsid w:val="49991C38"/>
    <w:rsid w:val="4A2F0EAF"/>
    <w:rsid w:val="4A91106B"/>
    <w:rsid w:val="4EEC684A"/>
    <w:rsid w:val="507C4292"/>
    <w:rsid w:val="52177639"/>
    <w:rsid w:val="55E71958"/>
    <w:rsid w:val="55F03988"/>
    <w:rsid w:val="59951985"/>
    <w:rsid w:val="5A2C1777"/>
    <w:rsid w:val="5B287002"/>
    <w:rsid w:val="5BE0055A"/>
    <w:rsid w:val="661A2B10"/>
    <w:rsid w:val="666B285E"/>
    <w:rsid w:val="67690EE4"/>
    <w:rsid w:val="67BDCC2A"/>
    <w:rsid w:val="6AE4023E"/>
    <w:rsid w:val="6DB56E82"/>
    <w:rsid w:val="6F4C25C4"/>
    <w:rsid w:val="79911824"/>
    <w:rsid w:val="7B8C6524"/>
    <w:rsid w:val="F7FD5753"/>
    <w:rsid w:val="FFDB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cs="宋体"/>
      <w:sz w:val="21"/>
      <w:szCs w:val="21"/>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toc 2"/>
    <w:basedOn w:val="1"/>
    <w:next w:val="1"/>
    <w:qFormat/>
    <w:uiPriority w:val="0"/>
    <w:pPr>
      <w:ind w:left="420" w:leftChars="20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page number"/>
    <w:qFormat/>
    <w:uiPriority w:val="0"/>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character" w:customStyle="1" w:styleId="12">
    <w:name w:val="页眉 Char"/>
    <w:basedOn w:val="9"/>
    <w:link w:val="5"/>
    <w:qFormat/>
    <w:uiPriority w:val="0"/>
    <w:rPr>
      <w:rFonts w:ascii="Times New Roman" w:hAnsi="Times New Roman" w:eastAsia="仿宋_GB2312" w:cs="Times New Roman"/>
      <w:kern w:val="2"/>
      <w:sz w:val="18"/>
      <w:szCs w:val="18"/>
    </w:rPr>
  </w:style>
  <w:style w:type="character" w:customStyle="1" w:styleId="13">
    <w:name w:val="页脚 Char"/>
    <w:basedOn w:val="9"/>
    <w:link w:val="4"/>
    <w:qFormat/>
    <w:uiPriority w:val="0"/>
    <w:rPr>
      <w:rFonts w:ascii="Times New Roman" w:hAnsi="Times New Roman" w:eastAsia="仿宋_GB2312" w:cs="Times New Roman"/>
      <w:kern w:val="2"/>
      <w:sz w:val="18"/>
      <w:szCs w:val="18"/>
    </w:rPr>
  </w:style>
  <w:style w:type="paragraph" w:customStyle="1" w:styleId="14">
    <w:name w:val="列项·"/>
    <w:qFormat/>
    <w:uiPriority w:val="99"/>
    <w:pPr>
      <w:tabs>
        <w:tab w:val="left" w:pos="840"/>
      </w:tabs>
      <w:ind w:left="420"/>
      <w:jc w:val="both"/>
    </w:pPr>
    <w:rPr>
      <w:rFonts w:ascii="宋体" w:hAnsi="Calibri"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SMQ</Company>
  <Pages>2</Pages>
  <Words>848</Words>
  <Characters>1128</Characters>
  <Lines>14</Lines>
  <Paragraphs>3</Paragraphs>
  <TotalTime>0</TotalTime>
  <ScaleCrop>false</ScaleCrop>
  <LinksUpToDate>false</LinksUpToDate>
  <CharactersWithSpaces>1164</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2021-05-18T03:13:00Z</dcterms:created>
  <dc:creator>test</dc:creator>
  <cp:lastModifiedBy>admin1</cp:lastModifiedBy>
  <dcterms:modified xsi:type="dcterms:W3CDTF">2025-06-05T09:40:40Z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4D910ED34DD748508B3CC6D9F2DCF7E9</vt:lpwstr>
  </property>
  <property fmtid="{D5CDD505-2E9C-101B-9397-08002B2CF9AE}" pid="4" name="KSOTemplateDocerSaveRecord">
    <vt:lpwstr>eyJoZGlkIjoiZDRiYjVjNWI5MzAzZTZmMWUwMWJlOWMwMWQxNmZkMjMiLCJ1c2VySWQiOiIxNDU1NzgxMzYwIn0=</vt:lpwstr>
  </property>
</Properties>
</file>