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ind w:left="-160" w:leftChars="-50"/>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kern w:val="0"/>
          <w:sz w:val="36"/>
          <w:szCs w:val="36"/>
        </w:rPr>
        <w:t>涂料产品质量监督抽查实施细则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578" w:lineRule="exact"/>
        <w:ind w:left="-160" w:leftChars="-50"/>
        <w:jc w:val="left"/>
        <w:rPr>
          <w:rFonts w:ascii="仿宋_GB2312" w:hAnsi="仿宋_GB2312" w:cs="仿宋_GB2312"/>
          <w:b/>
          <w:bCs/>
          <w:sz w:val="30"/>
          <w:szCs w:val="32"/>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每批次产品抽取主剂不少于1L，其中不少于500mL作为第1组样品用于检测，余下样品作为第2组样品备用。若主剂需要配套的固化剂及稀释剂配合使用，按照产品包装说明配套抽取相应体积或质量的固化剂及稀释剂。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其他注意事项：当独立包装产品重量（体积）低于抽样数量要求时，应尽量整包装抽取，避免分装。当抽查产品为多组分涂料时，受检单位应提供该种涂料专用的配套组分及其施工要求和配比（质量比/体积比）等。对于执行企业产品标准的产品，受检单位或生产单位还应在抽样时提供有效的企业产品标准。</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表1各色汽车用面漆</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4527"/>
        <w:gridCol w:w="3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3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43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02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3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243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在容器中的物料状态</w:t>
            </w:r>
          </w:p>
        </w:tc>
        <w:tc>
          <w:tcPr>
            <w:tcW w:w="202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13492-1992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3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243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铅笔硬度</w:t>
            </w:r>
          </w:p>
        </w:tc>
        <w:tc>
          <w:tcPr>
            <w:tcW w:w="202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13492-1992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3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243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耐弯曲性</w:t>
            </w:r>
          </w:p>
        </w:tc>
        <w:tc>
          <w:tcPr>
            <w:tcW w:w="202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13492-1992</w:t>
            </w:r>
          </w:p>
        </w:tc>
      </w:tr>
    </w:tbl>
    <w:p>
      <w:pPr>
        <w:snapToGrid w:val="0"/>
        <w:spacing w:line="578"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sz w:val="28"/>
          <w:szCs w:val="28"/>
        </w:rPr>
        <w:t>表2溶剂型丙烯酸树脂涂料</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0"/>
        <w:gridCol w:w="3474"/>
        <w:gridCol w:w="4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4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38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4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87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在容器中状态</w:t>
            </w:r>
          </w:p>
        </w:tc>
        <w:tc>
          <w:tcPr>
            <w:tcW w:w="238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4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87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不挥发物含量</w:t>
            </w:r>
          </w:p>
        </w:tc>
        <w:tc>
          <w:tcPr>
            <w:tcW w:w="238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4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87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干燥时间（制板）（表干+实干）</w:t>
            </w:r>
          </w:p>
        </w:tc>
        <w:tc>
          <w:tcPr>
            <w:tcW w:w="238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4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187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漆膜外观</w:t>
            </w:r>
          </w:p>
        </w:tc>
        <w:tc>
          <w:tcPr>
            <w:tcW w:w="238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4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187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铅笔硬度</w:t>
            </w:r>
          </w:p>
        </w:tc>
        <w:tc>
          <w:tcPr>
            <w:tcW w:w="238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4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187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耐水性</w:t>
            </w:r>
          </w:p>
        </w:tc>
        <w:tc>
          <w:tcPr>
            <w:tcW w:w="238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4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87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耐热性</w:t>
            </w:r>
          </w:p>
        </w:tc>
        <w:tc>
          <w:tcPr>
            <w:tcW w:w="238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25264-2010</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表3室内装饰装修用 溶剂型聚氨酯木器涂料</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3437"/>
        <w:gridCol w:w="4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5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39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85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在容器中状态</w:t>
            </w:r>
          </w:p>
        </w:tc>
        <w:tc>
          <w:tcPr>
            <w:tcW w:w="239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85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施工性</w:t>
            </w:r>
          </w:p>
        </w:tc>
        <w:tc>
          <w:tcPr>
            <w:tcW w:w="239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85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涂膜外观</w:t>
            </w:r>
          </w:p>
        </w:tc>
        <w:tc>
          <w:tcPr>
            <w:tcW w:w="239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185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干燥时间（制板）（表干+实干）</w:t>
            </w:r>
          </w:p>
        </w:tc>
        <w:tc>
          <w:tcPr>
            <w:tcW w:w="239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185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附着力</w:t>
            </w:r>
          </w:p>
        </w:tc>
        <w:tc>
          <w:tcPr>
            <w:tcW w:w="239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185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铅笔硬度</w:t>
            </w:r>
          </w:p>
        </w:tc>
        <w:tc>
          <w:tcPr>
            <w:tcW w:w="239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23997-2009</w:t>
            </w:r>
          </w:p>
        </w:tc>
      </w:tr>
    </w:tbl>
    <w:p>
      <w:pPr>
        <w:snapToGrid w:val="0"/>
        <w:spacing w:line="578" w:lineRule="exact"/>
        <w:ind w:left="-160" w:leftChars="-50" w:firstLine="280" w:firstLineChars="100"/>
        <w:jc w:val="center"/>
        <w:rPr>
          <w:rFonts w:hint="eastAsia" w:ascii="仿宋" w:hAnsi="仿宋" w:eastAsia="仿宋" w:cs="仿宋"/>
          <w:sz w:val="28"/>
          <w:szCs w:val="28"/>
        </w:rPr>
      </w:pPr>
      <w:r>
        <w:rPr>
          <w:rFonts w:hint="eastAsia" w:ascii="仿宋" w:hAnsi="仿宋" w:eastAsia="仿宋" w:cs="仿宋"/>
          <w:sz w:val="28"/>
          <w:szCs w:val="28"/>
        </w:rPr>
        <w:t>表4室内装饰装修用 溶剂型硝基木器涂料</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3468"/>
        <w:gridCol w:w="4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6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3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86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在容器中状态</w:t>
            </w:r>
          </w:p>
        </w:tc>
        <w:tc>
          <w:tcPr>
            <w:tcW w:w="23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86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涂膜外观</w:t>
            </w:r>
          </w:p>
        </w:tc>
        <w:tc>
          <w:tcPr>
            <w:tcW w:w="23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86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细度</w:t>
            </w:r>
          </w:p>
        </w:tc>
        <w:tc>
          <w:tcPr>
            <w:tcW w:w="23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186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干燥时间（制板）（表干+实干）</w:t>
            </w:r>
          </w:p>
        </w:tc>
        <w:tc>
          <w:tcPr>
            <w:tcW w:w="23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186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附着力</w:t>
            </w:r>
          </w:p>
        </w:tc>
        <w:tc>
          <w:tcPr>
            <w:tcW w:w="23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1867"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打磨性</w:t>
            </w:r>
          </w:p>
        </w:tc>
        <w:tc>
          <w:tcPr>
            <w:tcW w:w="23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23998-2009</w:t>
            </w:r>
          </w:p>
        </w:tc>
      </w:tr>
    </w:tbl>
    <w:p>
      <w:pPr>
        <w:snapToGrid w:val="0"/>
        <w:spacing w:line="578" w:lineRule="exact"/>
        <w:ind w:left="-160" w:leftChars="-50" w:firstLine="280" w:firstLineChars="100"/>
        <w:jc w:val="center"/>
        <w:rPr>
          <w:sz w:val="28"/>
          <w:szCs w:val="28"/>
        </w:rPr>
      </w:pPr>
      <w:r>
        <w:rPr>
          <w:rFonts w:hint="eastAsia" w:ascii="仿宋" w:hAnsi="仿宋" w:eastAsia="仿宋" w:cs="仿宋"/>
          <w:sz w:val="28"/>
          <w:szCs w:val="28"/>
        </w:rPr>
        <w:t>表5酚醛树脂涂料</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
        <w:gridCol w:w="3481"/>
        <w:gridCol w:w="4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3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7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38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3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在容器中状态</w:t>
            </w:r>
          </w:p>
        </w:tc>
        <w:tc>
          <w:tcPr>
            <w:tcW w:w="238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3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施工性</w:t>
            </w:r>
          </w:p>
        </w:tc>
        <w:tc>
          <w:tcPr>
            <w:tcW w:w="238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3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漆膜外观</w:t>
            </w:r>
          </w:p>
        </w:tc>
        <w:tc>
          <w:tcPr>
            <w:tcW w:w="238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3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干燥时间（制板）（表干+实干）</w:t>
            </w:r>
          </w:p>
        </w:tc>
        <w:tc>
          <w:tcPr>
            <w:tcW w:w="238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3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漆膜柔韧性</w:t>
            </w:r>
          </w:p>
        </w:tc>
        <w:tc>
          <w:tcPr>
            <w:tcW w:w="238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3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不挥发物含量</w:t>
            </w:r>
          </w:p>
        </w:tc>
        <w:tc>
          <w:tcPr>
            <w:tcW w:w="238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3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耐水性</w:t>
            </w:r>
          </w:p>
        </w:tc>
        <w:tc>
          <w:tcPr>
            <w:tcW w:w="238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25253-2010</w:t>
            </w:r>
          </w:p>
        </w:tc>
      </w:tr>
    </w:tbl>
    <w:p>
      <w:pPr>
        <w:snapToGrid w:val="0"/>
        <w:spacing w:line="578" w:lineRule="exact"/>
        <w:ind w:left="-160" w:leftChars="-50" w:firstLine="280" w:firstLineChars="100"/>
        <w:jc w:val="center"/>
        <w:rPr>
          <w:rFonts w:hint="eastAsia" w:ascii="仿宋" w:hAnsi="仿宋" w:eastAsia="仿宋" w:cs="仿宋"/>
          <w:sz w:val="28"/>
          <w:szCs w:val="28"/>
        </w:rPr>
      </w:pPr>
      <w:r>
        <w:rPr>
          <w:rFonts w:hint="eastAsia" w:ascii="仿宋" w:hAnsi="仿宋" w:eastAsia="仿宋" w:cs="仿宋"/>
          <w:sz w:val="28"/>
          <w:szCs w:val="28"/>
        </w:rPr>
        <w:t>表6醇酸树脂涂料</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3481"/>
        <w:gridCol w:w="4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7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3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在容器中状态</w:t>
            </w:r>
          </w:p>
        </w:tc>
        <w:tc>
          <w:tcPr>
            <w:tcW w:w="23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细度</w:t>
            </w:r>
          </w:p>
        </w:tc>
        <w:tc>
          <w:tcPr>
            <w:tcW w:w="23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施工性</w:t>
            </w:r>
          </w:p>
        </w:tc>
        <w:tc>
          <w:tcPr>
            <w:tcW w:w="23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附着力（划格试验）</w:t>
            </w:r>
          </w:p>
        </w:tc>
        <w:tc>
          <w:tcPr>
            <w:tcW w:w="23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漆膜外观</w:t>
            </w:r>
          </w:p>
        </w:tc>
        <w:tc>
          <w:tcPr>
            <w:tcW w:w="23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干燥时间（制板）（表干+实干）</w:t>
            </w:r>
          </w:p>
        </w:tc>
        <w:tc>
          <w:tcPr>
            <w:tcW w:w="23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耐盐水性</w:t>
            </w:r>
          </w:p>
        </w:tc>
        <w:tc>
          <w:tcPr>
            <w:tcW w:w="23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8</w:t>
            </w:r>
          </w:p>
        </w:tc>
        <w:tc>
          <w:tcPr>
            <w:tcW w:w="1874"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在容器中状态</w:t>
            </w:r>
          </w:p>
        </w:tc>
        <w:tc>
          <w:tcPr>
            <w:tcW w:w="23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25251-2010</w:t>
            </w:r>
          </w:p>
        </w:tc>
      </w:tr>
    </w:tbl>
    <w:p>
      <w:pPr>
        <w:snapToGrid w:val="0"/>
        <w:spacing w:line="578" w:lineRule="exact"/>
        <w:ind w:left="-160" w:leftChars="-50" w:firstLine="280" w:firstLineChars="100"/>
        <w:jc w:val="center"/>
        <w:rPr>
          <w:rFonts w:hint="eastAsia" w:ascii="仿宋" w:hAnsi="仿宋" w:eastAsia="仿宋" w:cs="仿宋"/>
          <w:sz w:val="28"/>
          <w:szCs w:val="28"/>
        </w:rPr>
      </w:pPr>
      <w:r>
        <w:rPr>
          <w:rFonts w:hint="eastAsia" w:ascii="仿宋" w:hAnsi="仿宋" w:eastAsia="仿宋" w:cs="仿宋"/>
          <w:sz w:val="28"/>
          <w:szCs w:val="28"/>
        </w:rPr>
        <w:t>表7富锌底漆</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8"/>
        <w:gridCol w:w="3492"/>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36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8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容器中状态</w:t>
            </w:r>
          </w:p>
        </w:tc>
        <w:tc>
          <w:tcPr>
            <w:tcW w:w="236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8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不挥发分</w:t>
            </w:r>
          </w:p>
        </w:tc>
        <w:tc>
          <w:tcPr>
            <w:tcW w:w="236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8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施工性</w:t>
            </w:r>
          </w:p>
        </w:tc>
        <w:tc>
          <w:tcPr>
            <w:tcW w:w="236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18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适用期</w:t>
            </w:r>
          </w:p>
        </w:tc>
        <w:tc>
          <w:tcPr>
            <w:tcW w:w="236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18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涂膜外观</w:t>
            </w:r>
          </w:p>
        </w:tc>
        <w:tc>
          <w:tcPr>
            <w:tcW w:w="236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18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干燥时间（表干）</w:t>
            </w:r>
          </w:p>
        </w:tc>
        <w:tc>
          <w:tcPr>
            <w:tcW w:w="236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88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漆膜耐冲击测定</w:t>
            </w:r>
          </w:p>
        </w:tc>
        <w:tc>
          <w:tcPr>
            <w:tcW w:w="236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3668-2020</w:t>
            </w:r>
          </w:p>
        </w:tc>
      </w:tr>
    </w:tbl>
    <w:p>
      <w:pPr>
        <w:snapToGrid w:val="0"/>
        <w:spacing w:line="578" w:lineRule="exact"/>
        <w:ind w:left="-160" w:leftChars="-50" w:firstLine="280" w:firstLineChars="100"/>
        <w:jc w:val="center"/>
        <w:rPr>
          <w:rFonts w:hint="eastAsia" w:ascii="仿宋" w:hAnsi="仿宋" w:eastAsia="仿宋" w:cs="仿宋"/>
          <w:sz w:val="28"/>
          <w:szCs w:val="28"/>
        </w:rPr>
      </w:pPr>
      <w:r>
        <w:rPr>
          <w:rFonts w:hint="eastAsia" w:ascii="仿宋" w:hAnsi="仿宋" w:eastAsia="仿宋" w:cs="仿宋"/>
          <w:sz w:val="28"/>
          <w:szCs w:val="28"/>
        </w:rPr>
        <w:t>表8环氧树脂底漆</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5034"/>
        <w:gridCol w:w="3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7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17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1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271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在容器中状态</w:t>
            </w:r>
          </w:p>
        </w:tc>
        <w:tc>
          <w:tcPr>
            <w:tcW w:w="17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1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271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漆膜外观</w:t>
            </w:r>
          </w:p>
        </w:tc>
        <w:tc>
          <w:tcPr>
            <w:tcW w:w="17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1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271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干燥时间（制板）（表干+实干）</w:t>
            </w:r>
          </w:p>
        </w:tc>
        <w:tc>
          <w:tcPr>
            <w:tcW w:w="17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1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271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漆膜耐冲击测定</w:t>
            </w:r>
          </w:p>
        </w:tc>
        <w:tc>
          <w:tcPr>
            <w:tcW w:w="17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1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271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不挥发物含量</w:t>
            </w:r>
          </w:p>
        </w:tc>
        <w:tc>
          <w:tcPr>
            <w:tcW w:w="17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1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271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耐弯曲性</w:t>
            </w:r>
          </w:p>
        </w:tc>
        <w:tc>
          <w:tcPr>
            <w:tcW w:w="17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1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2710"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耐盐水性</w:t>
            </w:r>
          </w:p>
        </w:tc>
        <w:tc>
          <w:tcPr>
            <w:tcW w:w="1771"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HG/T 4566-2013</w:t>
            </w:r>
          </w:p>
        </w:tc>
      </w:tr>
    </w:tbl>
    <w:p>
      <w:pPr>
        <w:snapToGrid w:val="0"/>
        <w:spacing w:line="578" w:lineRule="exact"/>
        <w:ind w:left="-160" w:leftChars="-50" w:firstLine="280" w:firstLineChars="100"/>
        <w:jc w:val="center"/>
        <w:rPr>
          <w:rFonts w:hint="eastAsia" w:ascii="仿宋" w:hAnsi="仿宋" w:eastAsia="仿宋" w:cs="仿宋"/>
          <w:sz w:val="28"/>
          <w:szCs w:val="28"/>
        </w:rPr>
      </w:pPr>
      <w:r>
        <w:rPr>
          <w:rFonts w:hint="eastAsia" w:ascii="仿宋" w:hAnsi="仿宋" w:eastAsia="仿宋" w:cs="仿宋"/>
          <w:sz w:val="28"/>
          <w:szCs w:val="28"/>
        </w:rPr>
        <w:t>表9氯化橡胶防腐涂料</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8"/>
        <w:gridCol w:w="3461"/>
        <w:gridCol w:w="4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6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3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86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在容器中状态</w:t>
            </w:r>
          </w:p>
        </w:tc>
        <w:tc>
          <w:tcPr>
            <w:tcW w:w="237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86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施工性</w:t>
            </w:r>
          </w:p>
        </w:tc>
        <w:tc>
          <w:tcPr>
            <w:tcW w:w="237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86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漆膜外观</w:t>
            </w:r>
          </w:p>
        </w:tc>
        <w:tc>
          <w:tcPr>
            <w:tcW w:w="237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186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干燥时间（制板）（表干+实干）</w:t>
            </w:r>
          </w:p>
        </w:tc>
        <w:tc>
          <w:tcPr>
            <w:tcW w:w="237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186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弯曲试验</w:t>
            </w:r>
          </w:p>
        </w:tc>
        <w:tc>
          <w:tcPr>
            <w:tcW w:w="237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58"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1863"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不挥发物含量</w:t>
            </w:r>
          </w:p>
        </w:tc>
        <w:tc>
          <w:tcPr>
            <w:tcW w:w="2379"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25263-2010</w:t>
            </w:r>
          </w:p>
        </w:tc>
      </w:tr>
    </w:tbl>
    <w:p>
      <w:pPr>
        <w:snapToGrid w:val="0"/>
        <w:spacing w:line="578" w:lineRule="exact"/>
        <w:ind w:left="-160" w:leftChars="-50" w:firstLine="280" w:firstLineChars="100"/>
        <w:jc w:val="center"/>
        <w:rPr>
          <w:rFonts w:hint="eastAsia" w:ascii="仿宋" w:hAnsi="仿宋" w:eastAsia="仿宋" w:cs="仿宋"/>
          <w:sz w:val="28"/>
          <w:szCs w:val="28"/>
        </w:rPr>
      </w:pPr>
      <w:r>
        <w:rPr>
          <w:rFonts w:hint="eastAsia" w:ascii="仿宋" w:hAnsi="仿宋" w:eastAsia="仿宋" w:cs="仿宋"/>
          <w:sz w:val="28"/>
          <w:szCs w:val="28"/>
        </w:rPr>
        <w:t>表10合成树脂乳液内墙涂料</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3758"/>
        <w:gridCol w:w="4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5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0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4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2023" w:type="pct"/>
            <w:vAlign w:val="center"/>
          </w:tcPr>
          <w:p>
            <w:pPr>
              <w:pStyle w:val="30"/>
              <w:snapToGrid w:val="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容器中状态</w:t>
            </w:r>
          </w:p>
        </w:tc>
        <w:tc>
          <w:tcPr>
            <w:tcW w:w="243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9756-2018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2023" w:type="pct"/>
            <w:vAlign w:val="center"/>
          </w:tcPr>
          <w:p>
            <w:pPr>
              <w:widowControl/>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施工性</w:t>
            </w:r>
          </w:p>
        </w:tc>
        <w:tc>
          <w:tcPr>
            <w:tcW w:w="243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9756-2018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2023" w:type="pct"/>
            <w:vAlign w:val="center"/>
          </w:tcPr>
          <w:p>
            <w:pPr>
              <w:pStyle w:val="5"/>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漆膜外观</w:t>
            </w:r>
          </w:p>
        </w:tc>
        <w:tc>
          <w:tcPr>
            <w:tcW w:w="243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9756-2018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2023" w:type="pct"/>
            <w:vAlign w:val="center"/>
          </w:tcPr>
          <w:p>
            <w:pPr>
              <w:widowControl/>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干燥时间</w:t>
            </w:r>
          </w:p>
        </w:tc>
        <w:tc>
          <w:tcPr>
            <w:tcW w:w="243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GB/T 9756-2018</w:t>
            </w:r>
          </w:p>
        </w:tc>
      </w:tr>
    </w:tbl>
    <w:p>
      <w:pPr>
        <w:snapToGrid w:val="0"/>
        <w:spacing w:line="578" w:lineRule="exact"/>
        <w:ind w:left="-160" w:leftChars="-50" w:firstLine="280" w:firstLineChars="100"/>
        <w:jc w:val="center"/>
        <w:rPr>
          <w:rFonts w:hint="eastAsia" w:ascii="仿宋" w:hAnsi="仿宋" w:eastAsia="仿宋" w:cs="仿宋"/>
          <w:sz w:val="28"/>
          <w:szCs w:val="28"/>
        </w:rPr>
      </w:pPr>
      <w:r>
        <w:rPr>
          <w:rFonts w:hint="eastAsia" w:ascii="仿宋" w:hAnsi="仿宋" w:eastAsia="仿宋" w:cs="仿宋"/>
          <w:sz w:val="28"/>
          <w:szCs w:val="28"/>
        </w:rPr>
        <w:t>表11木器涂料中有害物质限量</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3758"/>
        <w:gridCol w:w="4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jc w:val="center"/>
        </w:trPr>
        <w:tc>
          <w:tcPr>
            <w:tcW w:w="5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0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4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2023" w:type="pct"/>
            <w:vAlign w:val="center"/>
          </w:tcPr>
          <w:p>
            <w:pPr>
              <w:pStyle w:val="30"/>
              <w:snapToGrid w:val="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VOC含量</w:t>
            </w:r>
          </w:p>
        </w:tc>
        <w:tc>
          <w:tcPr>
            <w:tcW w:w="243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 18581-2020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2023" w:type="pct"/>
            <w:vAlign w:val="center"/>
          </w:tcPr>
          <w:p>
            <w:pPr>
              <w:widowControl/>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甲醛含量</w:t>
            </w:r>
          </w:p>
        </w:tc>
        <w:tc>
          <w:tcPr>
            <w:tcW w:w="2435" w:type="pct"/>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 18581-2020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2023" w:type="pct"/>
            <w:vAlign w:val="center"/>
          </w:tcPr>
          <w:p>
            <w:pPr>
              <w:pStyle w:val="5"/>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可溶性重金属含量</w:t>
            </w:r>
          </w:p>
        </w:tc>
        <w:tc>
          <w:tcPr>
            <w:tcW w:w="2435" w:type="pct"/>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 18581-2020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2023" w:type="pct"/>
            <w:vAlign w:val="center"/>
          </w:tcPr>
          <w:p>
            <w:pPr>
              <w:widowControl/>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总铅含量</w:t>
            </w:r>
          </w:p>
        </w:tc>
        <w:tc>
          <w:tcPr>
            <w:tcW w:w="2435" w:type="pct"/>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 18581-2020</w:t>
            </w:r>
          </w:p>
        </w:tc>
      </w:tr>
    </w:tbl>
    <w:p>
      <w:pPr>
        <w:snapToGrid w:val="0"/>
        <w:spacing w:line="578" w:lineRule="exact"/>
        <w:ind w:left="-160" w:leftChars="-50" w:firstLine="320" w:firstLineChars="100"/>
        <w:jc w:val="center"/>
        <w:rPr>
          <w:szCs w:val="32"/>
        </w:rPr>
      </w:pPr>
      <w:r>
        <w:rPr>
          <w:rFonts w:hint="eastAsia"/>
          <w:szCs w:val="32"/>
        </w:rPr>
        <w:t>表12建筑用墙面涂料中有害物质限量</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3758"/>
        <w:gridCol w:w="4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5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0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4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依据法律法规或标准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2023" w:type="pct"/>
            <w:vAlign w:val="center"/>
          </w:tcPr>
          <w:p>
            <w:pPr>
              <w:pStyle w:val="30"/>
              <w:snapToGrid w:val="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VOC含量</w:t>
            </w:r>
          </w:p>
        </w:tc>
        <w:tc>
          <w:tcPr>
            <w:tcW w:w="2435"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2023" w:type="pct"/>
            <w:vAlign w:val="center"/>
          </w:tcPr>
          <w:p>
            <w:pPr>
              <w:widowControl/>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甲醛含量</w:t>
            </w:r>
          </w:p>
        </w:tc>
        <w:tc>
          <w:tcPr>
            <w:tcW w:w="2435" w:type="pct"/>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2023" w:type="pct"/>
            <w:vAlign w:val="center"/>
          </w:tcPr>
          <w:p>
            <w:pPr>
              <w:pStyle w:val="5"/>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可溶性重金属含量</w:t>
            </w:r>
          </w:p>
        </w:tc>
        <w:tc>
          <w:tcPr>
            <w:tcW w:w="2435" w:type="pct"/>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vAlign w:val="center"/>
          </w:tcPr>
          <w:p>
            <w:pPr>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2023" w:type="pct"/>
            <w:vAlign w:val="center"/>
          </w:tcPr>
          <w:p>
            <w:pPr>
              <w:widowControl/>
              <w:adjustRightInd w:val="0"/>
              <w:snapToGrid w:val="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总铅含量</w:t>
            </w:r>
          </w:p>
        </w:tc>
        <w:tc>
          <w:tcPr>
            <w:tcW w:w="2435" w:type="pct"/>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GB 18582-2020</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执行企业标准、团体标准、地方标准等产品标准的产品，检验项目参照上述内容执行。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w:t>
      </w:r>
      <w:bookmarkStart w:id="0" w:name="_GoBack"/>
      <w:bookmarkEnd w:id="0"/>
      <w:r>
        <w:rPr>
          <w:rFonts w:hint="eastAsia" w:ascii="仿宋" w:hAnsi="仿宋" w:eastAsia="仿宋" w:cs="仿宋"/>
          <w:color w:val="000000"/>
          <w:sz w:val="28"/>
          <w:szCs w:val="28"/>
        </w:rPr>
        <w:t>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18581-2020《木器涂料中有害物质限量》</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18582-2020 《建筑用墙面涂料中有害物质限量》</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13492-1992《各色汽车用面漆》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25264-2010《溶剂型丙烯酸树脂涂料》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23997-2009《室内装饰装修用 溶剂型聚氨酯木器涂料》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23998-2009《室内装饰装修用 溶剂型硝基木器涂料》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25253-2010《酚醛树脂涂料》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25251-2010《醇酸树脂涂料》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HG/T 3668-2020 《富锌底漆》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HG/T 4566-2013《环氧树脂底漆》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23995-2009 《室内装饰装修用溶剂型醇酸木器涂料》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25263-2010《氯化橡胶防腐涂料》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9756-2018《合成树脂乳液内墙涂料》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现行有效的企业标准、团体标准、地方标准等产品标准及产品明示质量要求。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ascii="Times New Roman" w:hAnsi="Times New Roman" w:eastAsia="仿宋_GB2312" w:cs="Times New Roman"/>
          <w:kern w:val="2"/>
          <w:sz w:val="32"/>
          <w:szCs w:val="32"/>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Arial">
    <w:altName w:val="Times New Roman"/>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方正小标宋简体">
    <w:panose1 w:val="02000000000000000000"/>
    <w:charset w:val="86"/>
    <w:family w:val="auto"/>
    <w:pitch w:val="default"/>
    <w:sig w:usb0="A00002BF" w:usb1="184F6CFA" w:usb2="00000012" w:usb3="00000000" w:csb0="00040001" w:csb1="00000000"/>
  </w:font>
  <w:font w:name="CESI仿宋-GB2312">
    <w:panose1 w:val="02000500000000000000"/>
    <w:charset w:val="86"/>
    <w:family w:val="auto"/>
    <w:pitch w:val="default"/>
    <w:sig w:usb0="800002AF" w:usb1="084F6CF8" w:usb2="00000010" w:usb3="00000000" w:csb0="0004000F" w:csb1="00000000"/>
  </w:font>
  <w:font w:name="仿宋">
    <w:panose1 w:val="02010609060101010101"/>
    <w:charset w:val="86"/>
    <w:family w:val="modern"/>
    <w:pitch w:val="default"/>
    <w:sig w:usb0="800002BF" w:usb1="38CF7CFA" w:usb2="00000016" w:usb3="00000000" w:csb0="00040001" w:csb1="00000000"/>
  </w:font>
  <w:font w:name="CESI楷体-GB2312">
    <w:panose1 w:val="02000500000000000000"/>
    <w:charset w:val="86"/>
    <w:family w:val="auto"/>
    <w:pitch w:val="default"/>
    <w:sig w:usb0="800002BF" w:usb1="184F6CF8" w:usb2="00000012" w:usb3="00000000" w:csb0="0004000F" w:csb1="00000000"/>
  </w:font>
  <w:font w:name="思源宋体">
    <w:panose1 w:val="02020400000000000000"/>
    <w:charset w:val="86"/>
    <w:family w:val="auto"/>
    <w:pitch w:val="default"/>
    <w:sig w:usb0="30000083" w:usb1="2BDF3C10" w:usb2="00000016" w:usb3="00000000" w:csb0="602E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29"/>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AAA"/>
    <w:rsid w:val="00001C26"/>
    <w:rsid w:val="00074B81"/>
    <w:rsid w:val="00105326"/>
    <w:rsid w:val="0011033D"/>
    <w:rsid w:val="002061E1"/>
    <w:rsid w:val="00207B48"/>
    <w:rsid w:val="002329FB"/>
    <w:rsid w:val="002A2A58"/>
    <w:rsid w:val="002B00B7"/>
    <w:rsid w:val="002B4B88"/>
    <w:rsid w:val="002F62B7"/>
    <w:rsid w:val="002F657D"/>
    <w:rsid w:val="00303651"/>
    <w:rsid w:val="003123D2"/>
    <w:rsid w:val="0036391B"/>
    <w:rsid w:val="003C5856"/>
    <w:rsid w:val="00454783"/>
    <w:rsid w:val="004675E9"/>
    <w:rsid w:val="004930A8"/>
    <w:rsid w:val="004A5926"/>
    <w:rsid w:val="004D042B"/>
    <w:rsid w:val="00501AAA"/>
    <w:rsid w:val="0055184B"/>
    <w:rsid w:val="005651A3"/>
    <w:rsid w:val="005C76E2"/>
    <w:rsid w:val="00601634"/>
    <w:rsid w:val="006346C3"/>
    <w:rsid w:val="006564EF"/>
    <w:rsid w:val="00660B85"/>
    <w:rsid w:val="00661498"/>
    <w:rsid w:val="0066161B"/>
    <w:rsid w:val="00680B28"/>
    <w:rsid w:val="00730C50"/>
    <w:rsid w:val="00797A77"/>
    <w:rsid w:val="0087296F"/>
    <w:rsid w:val="008A2C97"/>
    <w:rsid w:val="008D7CFE"/>
    <w:rsid w:val="00912640"/>
    <w:rsid w:val="0092355A"/>
    <w:rsid w:val="00946C65"/>
    <w:rsid w:val="00994430"/>
    <w:rsid w:val="009C07F7"/>
    <w:rsid w:val="00A409CA"/>
    <w:rsid w:val="00A53754"/>
    <w:rsid w:val="00AA56FC"/>
    <w:rsid w:val="00AB3E62"/>
    <w:rsid w:val="00B35102"/>
    <w:rsid w:val="00B700C0"/>
    <w:rsid w:val="00BF2CCA"/>
    <w:rsid w:val="00C44175"/>
    <w:rsid w:val="00C912E2"/>
    <w:rsid w:val="00CD52EF"/>
    <w:rsid w:val="00CD54E9"/>
    <w:rsid w:val="00D3394C"/>
    <w:rsid w:val="00D55025"/>
    <w:rsid w:val="00DB3885"/>
    <w:rsid w:val="00DD6A11"/>
    <w:rsid w:val="00EC48FF"/>
    <w:rsid w:val="00F03234"/>
    <w:rsid w:val="00F44F3C"/>
    <w:rsid w:val="00F67340"/>
    <w:rsid w:val="00FB6064"/>
    <w:rsid w:val="0927012F"/>
    <w:rsid w:val="0EAFE36B"/>
    <w:rsid w:val="2EEF39F4"/>
    <w:rsid w:val="39144B60"/>
    <w:rsid w:val="39800C87"/>
    <w:rsid w:val="3B6B7B6A"/>
    <w:rsid w:val="3DF335CA"/>
    <w:rsid w:val="486615AD"/>
    <w:rsid w:val="51DC5B10"/>
    <w:rsid w:val="69192521"/>
    <w:rsid w:val="7DA8E2A8"/>
    <w:rsid w:val="7EFE20C6"/>
    <w:rsid w:val="7FFF09A9"/>
    <w:rsid w:val="ADFD42F4"/>
    <w:rsid w:val="E7FE8C41"/>
    <w:rsid w:val="F77FF4C4"/>
    <w:rsid w:val="FDFF3E78"/>
    <w:rsid w:val="FEE7F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4"/>
    <w:qFormat/>
    <w:uiPriority w:val="0"/>
    <w:pPr>
      <w:keepNext/>
      <w:keepLines/>
      <w:tabs>
        <w:tab w:val="left" w:pos="420"/>
      </w:tabs>
      <w:ind w:left="420" w:hanging="420"/>
      <w:outlineLvl w:val="0"/>
    </w:pPr>
    <w:rPr>
      <w:rFonts w:eastAsia="黑体"/>
      <w:bCs/>
      <w:kern w:val="44"/>
      <w:sz w:val="30"/>
      <w:szCs w:val="44"/>
    </w:rPr>
  </w:style>
  <w:style w:type="paragraph" w:styleId="3">
    <w:name w:val="heading 2"/>
    <w:next w:val="1"/>
    <w:link w:val="15"/>
    <w:qFormat/>
    <w:uiPriority w:val="0"/>
    <w:pPr>
      <w:keepNext/>
      <w:keepLines/>
      <w:tabs>
        <w:tab w:val="left" w:pos="930"/>
      </w:tabs>
      <w:outlineLvl w:val="1"/>
    </w:pPr>
    <w:rPr>
      <w:rFonts w:ascii="Arial" w:hAnsi="Arial" w:eastAsia="楷体_GB2312" w:cs="Times New Roman"/>
      <w:b/>
      <w:bCs/>
      <w:kern w:val="2"/>
      <w:sz w:val="32"/>
      <w:szCs w:val="32"/>
      <w:lang w:val="en-US" w:eastAsia="zh-CN" w:bidi="ar-SA"/>
    </w:rPr>
  </w:style>
  <w:style w:type="paragraph" w:styleId="4">
    <w:name w:val="heading 3"/>
    <w:basedOn w:val="1"/>
    <w:next w:val="1"/>
    <w:link w:val="16"/>
    <w:qFormat/>
    <w:uiPriority w:val="0"/>
    <w:pPr>
      <w:keepNext/>
      <w:keepLines/>
      <w:tabs>
        <w:tab w:val="left" w:pos="420"/>
      </w:tabs>
      <w:ind w:left="420" w:hanging="420"/>
      <w:outlineLvl w:val="2"/>
    </w:pPr>
    <w:rPr>
      <w:b/>
      <w:bCs/>
      <w:sz w:val="30"/>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hint="eastAsia" w:ascii="宋体" w:hAnsi="Courier New"/>
      <w:szCs w:val="20"/>
    </w:rPr>
  </w:style>
  <w:style w:type="paragraph" w:styleId="6">
    <w:name w:val="Balloon Text"/>
    <w:basedOn w:val="1"/>
    <w:link w:val="23"/>
    <w:qFormat/>
    <w:uiPriority w:val="0"/>
    <w:rPr>
      <w:rFonts w:eastAsia="宋体"/>
      <w:sz w:val="18"/>
      <w:szCs w:val="18"/>
    </w:rPr>
  </w:style>
  <w:style w:type="paragraph" w:styleId="7">
    <w:name w:val="footer"/>
    <w:basedOn w:val="1"/>
    <w:link w:val="19"/>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Indent 3"/>
    <w:basedOn w:val="1"/>
    <w:link w:val="20"/>
    <w:qFormat/>
    <w:uiPriority w:val="0"/>
    <w:pPr>
      <w:spacing w:after="120"/>
      <w:ind w:left="420" w:leftChars="200"/>
    </w:pPr>
    <w:rPr>
      <w:sz w:val="16"/>
      <w:szCs w:val="16"/>
    </w:rPr>
  </w:style>
  <w:style w:type="character" w:styleId="12">
    <w:name w:val="page number"/>
    <w:basedOn w:val="11"/>
    <w:qFormat/>
    <w:uiPriority w:val="0"/>
  </w:style>
  <w:style w:type="character" w:styleId="13">
    <w:name w:val="Hyperlink"/>
    <w:basedOn w:val="11"/>
    <w:qFormat/>
    <w:uiPriority w:val="0"/>
    <w:rPr>
      <w:rFonts w:ascii="Times New Roman" w:hAnsi="Times New Roman" w:eastAsia="宋体" w:cs="Times New Roman"/>
      <w:color w:val="0000FF"/>
      <w:u w:val="single"/>
    </w:rPr>
  </w:style>
  <w:style w:type="character" w:customStyle="1" w:styleId="14">
    <w:name w:val="标题 1 Char"/>
    <w:basedOn w:val="11"/>
    <w:link w:val="2"/>
    <w:qFormat/>
    <w:uiPriority w:val="0"/>
    <w:rPr>
      <w:rFonts w:ascii="Times New Roman" w:hAnsi="Times New Roman" w:eastAsia="黑体" w:cs="Times New Roman"/>
      <w:bCs/>
      <w:kern w:val="44"/>
      <w:sz w:val="30"/>
      <w:szCs w:val="44"/>
    </w:rPr>
  </w:style>
  <w:style w:type="character" w:customStyle="1" w:styleId="15">
    <w:name w:val="标题 2 Char"/>
    <w:basedOn w:val="11"/>
    <w:link w:val="3"/>
    <w:qFormat/>
    <w:uiPriority w:val="0"/>
    <w:rPr>
      <w:rFonts w:ascii="Arial" w:hAnsi="Arial" w:eastAsia="楷体_GB2312" w:cs="Times New Roman"/>
      <w:b/>
      <w:bCs/>
      <w:sz w:val="32"/>
      <w:szCs w:val="32"/>
    </w:rPr>
  </w:style>
  <w:style w:type="character" w:customStyle="1" w:styleId="16">
    <w:name w:val="标题 3 Char"/>
    <w:basedOn w:val="11"/>
    <w:link w:val="4"/>
    <w:qFormat/>
    <w:uiPriority w:val="0"/>
    <w:rPr>
      <w:rFonts w:ascii="Times New Roman" w:hAnsi="Times New Roman" w:eastAsia="仿宋_GB2312" w:cs="Times New Roman"/>
      <w:b/>
      <w:bCs/>
      <w:sz w:val="30"/>
      <w:szCs w:val="32"/>
    </w:rPr>
  </w:style>
  <w:style w:type="character" w:customStyle="1" w:styleId="17">
    <w:name w:val="页眉 Char"/>
    <w:link w:val="8"/>
    <w:qFormat/>
    <w:uiPriority w:val="0"/>
    <w:rPr>
      <w:sz w:val="18"/>
      <w:szCs w:val="18"/>
    </w:rPr>
  </w:style>
  <w:style w:type="character" w:customStyle="1" w:styleId="18">
    <w:name w:val="NormalCharacter"/>
    <w:qFormat/>
    <w:uiPriority w:val="0"/>
    <w:rPr>
      <w:rFonts w:ascii="Times New Roman" w:hAnsi="Times New Roman" w:eastAsia="宋体" w:cs="Times New Roman"/>
    </w:rPr>
  </w:style>
  <w:style w:type="character" w:customStyle="1" w:styleId="19">
    <w:name w:val="页脚 Char"/>
    <w:link w:val="7"/>
    <w:qFormat/>
    <w:uiPriority w:val="0"/>
    <w:rPr>
      <w:sz w:val="18"/>
      <w:szCs w:val="18"/>
    </w:rPr>
  </w:style>
  <w:style w:type="character" w:customStyle="1" w:styleId="20">
    <w:name w:val="正文文本缩进 3 Char"/>
    <w:basedOn w:val="11"/>
    <w:link w:val="9"/>
    <w:qFormat/>
    <w:uiPriority w:val="0"/>
    <w:rPr>
      <w:rFonts w:ascii="Times New Roman" w:hAnsi="Times New Roman" w:eastAsia="仿宋_GB2312" w:cs="Times New Roman"/>
      <w:sz w:val="16"/>
      <w:szCs w:val="16"/>
    </w:rPr>
  </w:style>
  <w:style w:type="character" w:customStyle="1" w:styleId="21">
    <w:name w:val="页脚 Char1"/>
    <w:basedOn w:val="11"/>
    <w:semiHidden/>
    <w:qFormat/>
    <w:uiPriority w:val="99"/>
    <w:rPr>
      <w:rFonts w:ascii="Times New Roman" w:hAnsi="Times New Roman" w:eastAsia="仿宋_GB2312" w:cs="Times New Roman"/>
      <w:sz w:val="18"/>
      <w:szCs w:val="18"/>
    </w:rPr>
  </w:style>
  <w:style w:type="character" w:customStyle="1" w:styleId="22">
    <w:name w:val="页眉 Char1"/>
    <w:basedOn w:val="11"/>
    <w:semiHidden/>
    <w:qFormat/>
    <w:uiPriority w:val="99"/>
    <w:rPr>
      <w:rFonts w:ascii="Times New Roman" w:hAnsi="Times New Roman" w:eastAsia="仿宋_GB2312" w:cs="Times New Roman"/>
      <w:sz w:val="18"/>
      <w:szCs w:val="18"/>
    </w:rPr>
  </w:style>
  <w:style w:type="character" w:customStyle="1" w:styleId="23">
    <w:name w:val="批注框文本 Char"/>
    <w:basedOn w:val="11"/>
    <w:link w:val="6"/>
    <w:qFormat/>
    <w:uiPriority w:val="0"/>
    <w:rPr>
      <w:rFonts w:ascii="Times New Roman" w:hAnsi="Times New Roman" w:eastAsia="宋体" w:cs="Times New Roman"/>
      <w:sz w:val="18"/>
      <w:szCs w:val="18"/>
    </w:rPr>
  </w:style>
  <w:style w:type="paragraph" w:customStyle="1" w:styleId="24">
    <w:name w:val="列出段落1"/>
    <w:basedOn w:val="1"/>
    <w:qFormat/>
    <w:uiPriority w:val="0"/>
    <w:pPr>
      <w:ind w:firstLine="420" w:firstLineChars="200"/>
    </w:pPr>
    <w:rPr>
      <w:sz w:val="30"/>
    </w:rPr>
  </w:style>
  <w:style w:type="paragraph" w:customStyle="1" w:styleId="25">
    <w:name w:val="p0"/>
    <w:basedOn w:val="1"/>
    <w:qFormat/>
    <w:uiPriority w:val="0"/>
    <w:pPr>
      <w:widowControl/>
    </w:pPr>
    <w:rPr>
      <w:kern w:val="0"/>
      <w:sz w:val="30"/>
      <w:szCs w:val="21"/>
    </w:rPr>
  </w:style>
  <w:style w:type="paragraph" w:customStyle="1" w:styleId="26">
    <w:name w:val="主题词"/>
    <w:basedOn w:val="1"/>
    <w:qFormat/>
    <w:uiPriority w:val="0"/>
    <w:pPr>
      <w:spacing w:after="156" w:afterLines="50" w:line="600" w:lineRule="exact"/>
    </w:pPr>
    <w:rPr>
      <w:rFonts w:eastAsia="方正小标宋简体"/>
      <w:sz w:val="30"/>
      <w:szCs w:val="20"/>
    </w:rPr>
  </w:style>
  <w:style w:type="paragraph" w:customStyle="1" w:styleId="27">
    <w:name w:val="二级无标题条"/>
    <w:basedOn w:val="1"/>
    <w:qFormat/>
    <w:uiPriority w:val="0"/>
    <w:rPr>
      <w:sz w:val="30"/>
    </w:rPr>
  </w:style>
  <w:style w:type="paragraph" w:customStyle="1" w:styleId="28">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29">
    <w:name w:val="二级条标题"/>
    <w:basedOn w:val="1"/>
    <w:next w:val="1"/>
    <w:qFormat/>
    <w:uiPriority w:val="0"/>
    <w:pPr>
      <w:widowControl/>
      <w:numPr>
        <w:ilvl w:val="3"/>
        <w:numId w:val="1"/>
      </w:numPr>
      <w:jc w:val="left"/>
      <w:outlineLvl w:val="3"/>
    </w:pPr>
    <w:rPr>
      <w:rFonts w:eastAsia="黑体"/>
      <w:kern w:val="0"/>
      <w:sz w:val="21"/>
      <w:szCs w:val="20"/>
    </w:rPr>
  </w:style>
  <w:style w:type="paragraph" w:customStyle="1" w:styleId="30">
    <w:name w:val="纯文本1"/>
    <w:basedOn w:val="1"/>
    <w:qFormat/>
    <w:uiPriority w:val="0"/>
    <w:pPr>
      <w:adjustRightInd w:val="0"/>
    </w:pPr>
    <w:rPr>
      <w:rFonts w:ascii="宋体"/>
      <w:kern w:val="0"/>
      <w:szCs w:val="20"/>
    </w:rPr>
  </w:style>
  <w:style w:type="paragraph" w:customStyle="1" w:styleId="31">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xxx</Company>
  <Pages>7</Pages>
  <Words>481</Words>
  <Characters>2748</Characters>
  <Lines>22</Lines>
  <Paragraphs>6</Paragraphs>
  <TotalTime>0</TotalTime>
  <ScaleCrop>false</ScaleCrop>
  <LinksUpToDate>false</LinksUpToDate>
  <CharactersWithSpaces>3223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2023-04-11T15:49:00Z</dcterms:created>
  <dc:creator>China</dc:creator>
  <cp:lastModifiedBy>admin1</cp:lastModifiedBy>
  <dcterms:modified xsi:type="dcterms:W3CDTF">2025-04-22T17:02:47Z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8FA299C1DA6044D3B0B1B28EA8F5A1C3</vt:lpwstr>
  </property>
</Properties>
</file>