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480" w:lineRule="exact"/>
        <w:jc w:val="center"/>
        <w:textAlignment w:val="auto"/>
        <w:rPr>
          <w:rFonts w:eastAsia="方正小标宋简体"/>
          <w:color w:val="000000"/>
          <w:szCs w:val="32"/>
        </w:rPr>
      </w:pPr>
      <w:r>
        <w:rPr>
          <w:rFonts w:hint="eastAsia" w:eastAsia="方正小标宋简体"/>
          <w:color w:val="000000"/>
          <w:sz w:val="36"/>
          <w:szCs w:val="36"/>
        </w:rPr>
        <w:t>打印机产品质量监督抽查实施细则</w:t>
      </w:r>
    </w:p>
    <w:p>
      <w:pPr>
        <w:keepNext w:val="0"/>
        <w:keepLines w:val="0"/>
        <w:pageBreakBefore w:val="0"/>
        <w:widowControl w:val="0"/>
        <w:kinsoku/>
        <w:wordWrap/>
        <w:overflowPunct/>
        <w:topLinePunct w:val="0"/>
        <w:autoSpaceDE/>
        <w:autoSpaceDN/>
        <w:bidi w:val="0"/>
        <w:adjustRightInd/>
        <w:snapToGrid w:val="0"/>
        <w:spacing w:line="48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年版）</w:t>
      </w:r>
    </w:p>
    <w:p>
      <w:pPr>
        <w:keepNext w:val="0"/>
        <w:keepLines w:val="0"/>
        <w:pageBreakBefore w:val="0"/>
        <w:widowControl w:val="0"/>
        <w:kinsoku/>
        <w:wordWrap/>
        <w:overflowPunct/>
        <w:topLinePunct w:val="0"/>
        <w:autoSpaceDE/>
        <w:autoSpaceDN/>
        <w:bidi w:val="0"/>
        <w:adjustRightInd/>
        <w:spacing w:line="480" w:lineRule="exact"/>
        <w:ind w:firstLine="880" w:firstLineChars="200"/>
        <w:jc w:val="center"/>
        <w:textAlignment w:val="auto"/>
        <w:rPr>
          <w:rFonts w:eastAsia="方正小标宋简体" w:cs="方正小标宋简体"/>
          <w:color w:val="000000"/>
          <w:sz w:val="44"/>
          <w:szCs w:val="44"/>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黑体" w:hAnsi="黑体" w:eastAsia="黑体" w:cs="黑体"/>
          <w:color w:val="000000"/>
          <w:sz w:val="28"/>
          <w:szCs w:val="28"/>
        </w:rPr>
      </w:pPr>
      <w:r>
        <w:rPr>
          <w:rFonts w:hint="eastAsia" w:ascii="黑体" w:hAnsi="黑体" w:eastAsia="黑体" w:cs="黑体"/>
          <w:color w:val="000000"/>
          <w:sz w:val="28"/>
          <w:szCs w:val="28"/>
        </w:rPr>
        <w:t>一、抽样方法</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随机数一般可使用随机数表等方法产生。</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每批次抽取样品4台，其中2台作为检验样品，2台作为备用样品。</w:t>
      </w:r>
      <w:bookmarkStart w:id="0" w:name="_GoBack"/>
      <w:bookmarkEnd w:id="0"/>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黑体" w:hAnsi="黑体" w:eastAsia="黑体" w:cs="黑体"/>
          <w:color w:val="000000"/>
          <w:sz w:val="28"/>
          <w:szCs w:val="28"/>
        </w:rPr>
      </w:pPr>
      <w:r>
        <w:rPr>
          <w:rFonts w:hint="eastAsia" w:ascii="黑体" w:hAnsi="黑体" w:eastAsia="黑体" w:cs="黑体"/>
          <w:color w:val="000000"/>
          <w:sz w:val="28"/>
          <w:szCs w:val="28"/>
          <w:lang w:eastAsia="zh-CN"/>
        </w:rPr>
        <w:t>二、</w:t>
      </w:r>
      <w:r>
        <w:rPr>
          <w:rFonts w:hint="eastAsia" w:ascii="黑体" w:hAnsi="黑体" w:eastAsia="黑体" w:cs="黑体"/>
          <w:color w:val="000000"/>
          <w:sz w:val="28"/>
          <w:szCs w:val="28"/>
        </w:rPr>
        <w:t>检验依据</w:t>
      </w:r>
    </w:p>
    <w:p>
      <w:pPr>
        <w:snapToGrid w:val="0"/>
        <w:spacing w:line="440" w:lineRule="exact"/>
        <w:jc w:val="center"/>
        <w:rPr>
          <w:color w:val="000000"/>
          <w:szCs w:val="21"/>
        </w:rPr>
      </w:pPr>
    </w:p>
    <w:tbl>
      <w:tblPr>
        <w:tblStyle w:val="4"/>
        <w:tblW w:w="492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7"/>
        <w:gridCol w:w="3855"/>
        <w:gridCol w:w="4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2159" w:type="pct"/>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2389" w:type="pct"/>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1</w:t>
            </w:r>
          </w:p>
        </w:tc>
        <w:tc>
          <w:tcPr>
            <w:tcW w:w="2159" w:type="pct"/>
            <w:vAlign w:val="center"/>
          </w:tcPr>
          <w:p>
            <w:pPr>
              <w:widowControl/>
              <w:spacing w:line="340" w:lineRule="exact"/>
              <w:jc w:val="center"/>
              <w:rPr>
                <w:rFonts w:eastAsia="宋体"/>
                <w:color w:val="000000"/>
                <w:sz w:val="21"/>
                <w:szCs w:val="21"/>
              </w:rPr>
            </w:pPr>
            <w:r>
              <w:rPr>
                <w:rFonts w:hint="eastAsia" w:eastAsia="宋体"/>
                <w:color w:val="000000"/>
                <w:sz w:val="21"/>
                <w:szCs w:val="21"/>
              </w:rPr>
              <w:t>设计</w:t>
            </w:r>
          </w:p>
        </w:tc>
        <w:tc>
          <w:tcPr>
            <w:tcW w:w="2389" w:type="pct"/>
            <w:vAlign w:val="center"/>
          </w:tcPr>
          <w:p>
            <w:pPr>
              <w:snapToGrid w:val="0"/>
              <w:jc w:val="center"/>
              <w:rPr>
                <w:rFonts w:eastAsia="宋体"/>
                <w:color w:val="000000"/>
                <w:sz w:val="21"/>
                <w:szCs w:val="21"/>
              </w:rPr>
            </w:pPr>
            <w:r>
              <w:rPr>
                <w:rFonts w:hint="eastAsia" w:eastAsia="宋体"/>
                <w:color w:val="000000"/>
                <w:sz w:val="21"/>
                <w:szCs w:val="21"/>
              </w:rPr>
              <w:t>GB/T 17540-2017条款4.1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2</w:t>
            </w:r>
          </w:p>
        </w:tc>
        <w:tc>
          <w:tcPr>
            <w:tcW w:w="2159" w:type="pct"/>
            <w:vAlign w:val="center"/>
          </w:tcPr>
          <w:p>
            <w:pPr>
              <w:widowControl/>
              <w:spacing w:line="340" w:lineRule="exact"/>
              <w:jc w:val="center"/>
              <w:rPr>
                <w:rFonts w:eastAsia="宋体"/>
                <w:color w:val="000000"/>
                <w:sz w:val="21"/>
                <w:szCs w:val="21"/>
              </w:rPr>
            </w:pPr>
            <w:r>
              <w:rPr>
                <w:rFonts w:hint="eastAsia" w:eastAsia="宋体"/>
                <w:color w:val="000000"/>
                <w:sz w:val="21"/>
                <w:szCs w:val="21"/>
              </w:rPr>
              <w:t>外观及结构</w:t>
            </w:r>
          </w:p>
        </w:tc>
        <w:tc>
          <w:tcPr>
            <w:tcW w:w="2389" w:type="pct"/>
            <w:vAlign w:val="center"/>
          </w:tcPr>
          <w:p>
            <w:pPr>
              <w:snapToGrid w:val="0"/>
              <w:jc w:val="center"/>
              <w:rPr>
                <w:rFonts w:eastAsia="宋体"/>
                <w:color w:val="000000"/>
                <w:sz w:val="21"/>
                <w:szCs w:val="21"/>
              </w:rPr>
            </w:pPr>
            <w:r>
              <w:rPr>
                <w:rFonts w:hint="eastAsia" w:eastAsia="宋体"/>
                <w:color w:val="000000"/>
                <w:sz w:val="21"/>
                <w:szCs w:val="21"/>
              </w:rPr>
              <w:t>GB/T 17540-2017条款4.2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3</w:t>
            </w:r>
          </w:p>
        </w:tc>
        <w:tc>
          <w:tcPr>
            <w:tcW w:w="2159" w:type="pct"/>
            <w:vAlign w:val="center"/>
          </w:tcPr>
          <w:p>
            <w:pPr>
              <w:widowControl/>
              <w:spacing w:line="340" w:lineRule="exact"/>
              <w:jc w:val="center"/>
              <w:rPr>
                <w:rFonts w:eastAsia="宋体"/>
                <w:color w:val="000000"/>
                <w:sz w:val="21"/>
                <w:szCs w:val="21"/>
              </w:rPr>
            </w:pPr>
            <w:r>
              <w:rPr>
                <w:rFonts w:hint="eastAsia" w:eastAsia="宋体"/>
                <w:color w:val="000000"/>
                <w:sz w:val="21"/>
                <w:szCs w:val="21"/>
              </w:rPr>
              <w:t>打印特性</w:t>
            </w:r>
          </w:p>
        </w:tc>
        <w:tc>
          <w:tcPr>
            <w:tcW w:w="2389" w:type="pct"/>
            <w:vAlign w:val="center"/>
          </w:tcPr>
          <w:p>
            <w:pPr>
              <w:snapToGrid w:val="0"/>
              <w:jc w:val="center"/>
              <w:rPr>
                <w:rFonts w:eastAsia="宋体"/>
                <w:color w:val="000000"/>
                <w:sz w:val="21"/>
                <w:szCs w:val="21"/>
              </w:rPr>
            </w:pPr>
            <w:r>
              <w:rPr>
                <w:rFonts w:hint="eastAsia" w:eastAsia="宋体"/>
                <w:color w:val="000000"/>
                <w:sz w:val="21"/>
                <w:szCs w:val="21"/>
              </w:rPr>
              <w:t>GB/T 17540-2017条款4.3.1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4</w:t>
            </w:r>
          </w:p>
        </w:tc>
        <w:tc>
          <w:tcPr>
            <w:tcW w:w="2159" w:type="pct"/>
            <w:vAlign w:val="center"/>
          </w:tcPr>
          <w:p>
            <w:pPr>
              <w:widowControl/>
              <w:spacing w:line="340" w:lineRule="exact"/>
              <w:jc w:val="center"/>
              <w:rPr>
                <w:rFonts w:eastAsia="宋体"/>
                <w:color w:val="000000"/>
                <w:sz w:val="21"/>
                <w:szCs w:val="21"/>
              </w:rPr>
            </w:pPr>
            <w:r>
              <w:rPr>
                <w:rFonts w:hint="eastAsia" w:eastAsia="宋体"/>
                <w:color w:val="000000"/>
                <w:sz w:val="21"/>
                <w:szCs w:val="21"/>
              </w:rPr>
              <w:t>印品质量</w:t>
            </w:r>
          </w:p>
        </w:tc>
        <w:tc>
          <w:tcPr>
            <w:tcW w:w="2389" w:type="pct"/>
            <w:vAlign w:val="center"/>
          </w:tcPr>
          <w:p>
            <w:pPr>
              <w:snapToGrid w:val="0"/>
              <w:jc w:val="center"/>
              <w:rPr>
                <w:rFonts w:eastAsia="宋体"/>
                <w:color w:val="000000"/>
                <w:sz w:val="21"/>
                <w:szCs w:val="21"/>
              </w:rPr>
            </w:pPr>
            <w:r>
              <w:rPr>
                <w:rFonts w:hint="eastAsia" w:eastAsia="宋体"/>
                <w:color w:val="000000"/>
                <w:sz w:val="21"/>
                <w:szCs w:val="21"/>
              </w:rPr>
              <w:t>GB/T 17540-2017条款4.3.1.7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5</w:t>
            </w:r>
          </w:p>
        </w:tc>
        <w:tc>
          <w:tcPr>
            <w:tcW w:w="2159" w:type="pct"/>
            <w:vAlign w:val="center"/>
          </w:tcPr>
          <w:p>
            <w:pPr>
              <w:widowControl/>
              <w:spacing w:line="340" w:lineRule="exact"/>
              <w:jc w:val="center"/>
              <w:rPr>
                <w:rFonts w:eastAsia="宋体"/>
                <w:color w:val="000000"/>
                <w:sz w:val="21"/>
                <w:szCs w:val="21"/>
              </w:rPr>
            </w:pPr>
            <w:r>
              <w:rPr>
                <w:rFonts w:hint="eastAsia" w:eastAsia="宋体"/>
                <w:color w:val="000000"/>
                <w:sz w:val="21"/>
                <w:szCs w:val="21"/>
              </w:rPr>
              <w:t>接口</w:t>
            </w:r>
          </w:p>
        </w:tc>
        <w:tc>
          <w:tcPr>
            <w:tcW w:w="2389" w:type="pct"/>
            <w:vAlign w:val="center"/>
          </w:tcPr>
          <w:p>
            <w:pPr>
              <w:snapToGrid w:val="0"/>
              <w:jc w:val="center"/>
              <w:rPr>
                <w:rFonts w:eastAsia="宋体"/>
                <w:color w:val="000000"/>
                <w:sz w:val="21"/>
                <w:szCs w:val="21"/>
              </w:rPr>
            </w:pPr>
            <w:r>
              <w:rPr>
                <w:rFonts w:hint="eastAsia" w:eastAsia="宋体"/>
                <w:color w:val="000000"/>
                <w:sz w:val="21"/>
                <w:szCs w:val="21"/>
              </w:rPr>
              <w:t>GB/T 17540-2017条款4.3.2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6</w:t>
            </w:r>
          </w:p>
        </w:tc>
        <w:tc>
          <w:tcPr>
            <w:tcW w:w="2159" w:type="pct"/>
            <w:vAlign w:val="center"/>
          </w:tcPr>
          <w:p>
            <w:pPr>
              <w:widowControl/>
              <w:spacing w:line="340" w:lineRule="exact"/>
              <w:jc w:val="center"/>
              <w:rPr>
                <w:rFonts w:eastAsia="宋体"/>
                <w:color w:val="000000"/>
                <w:sz w:val="21"/>
                <w:szCs w:val="21"/>
              </w:rPr>
            </w:pPr>
            <w:r>
              <w:rPr>
                <w:rFonts w:hint="eastAsia" w:eastAsia="宋体"/>
                <w:color w:val="000000"/>
                <w:sz w:val="21"/>
                <w:szCs w:val="21"/>
              </w:rPr>
              <w:t>告警</w:t>
            </w:r>
          </w:p>
        </w:tc>
        <w:tc>
          <w:tcPr>
            <w:tcW w:w="2389" w:type="pct"/>
            <w:vAlign w:val="center"/>
          </w:tcPr>
          <w:p>
            <w:pPr>
              <w:snapToGrid w:val="0"/>
              <w:jc w:val="center"/>
              <w:rPr>
                <w:rFonts w:eastAsia="宋体"/>
                <w:color w:val="000000"/>
                <w:sz w:val="21"/>
                <w:szCs w:val="21"/>
              </w:rPr>
            </w:pPr>
            <w:r>
              <w:rPr>
                <w:rFonts w:hint="eastAsia" w:eastAsia="宋体"/>
                <w:color w:val="000000"/>
                <w:sz w:val="21"/>
                <w:szCs w:val="21"/>
              </w:rPr>
              <w:t>GB/T 17540-2017条款4.3.3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7</w:t>
            </w:r>
          </w:p>
        </w:tc>
        <w:tc>
          <w:tcPr>
            <w:tcW w:w="2159" w:type="pct"/>
            <w:vAlign w:val="center"/>
          </w:tcPr>
          <w:p>
            <w:pPr>
              <w:widowControl/>
              <w:spacing w:line="340" w:lineRule="exact"/>
              <w:jc w:val="center"/>
              <w:rPr>
                <w:rFonts w:eastAsia="宋体"/>
                <w:color w:val="000000"/>
                <w:sz w:val="21"/>
                <w:szCs w:val="21"/>
              </w:rPr>
            </w:pPr>
            <w:r>
              <w:rPr>
                <w:rFonts w:hint="eastAsia" w:eastAsia="宋体"/>
                <w:color w:val="000000"/>
                <w:sz w:val="21"/>
                <w:szCs w:val="21"/>
              </w:rPr>
              <w:t>自检</w:t>
            </w:r>
          </w:p>
        </w:tc>
        <w:tc>
          <w:tcPr>
            <w:tcW w:w="2389" w:type="pct"/>
            <w:vAlign w:val="center"/>
          </w:tcPr>
          <w:p>
            <w:pPr>
              <w:snapToGrid w:val="0"/>
              <w:jc w:val="center"/>
              <w:rPr>
                <w:rFonts w:eastAsia="宋体"/>
                <w:color w:val="000000"/>
                <w:sz w:val="21"/>
                <w:szCs w:val="21"/>
              </w:rPr>
            </w:pPr>
            <w:r>
              <w:rPr>
                <w:rFonts w:hint="eastAsia" w:eastAsia="宋体"/>
                <w:color w:val="000000"/>
                <w:sz w:val="21"/>
                <w:szCs w:val="21"/>
              </w:rPr>
              <w:t>GB/T 17540-2017条款4.3.4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8</w:t>
            </w:r>
          </w:p>
        </w:tc>
        <w:tc>
          <w:tcPr>
            <w:tcW w:w="2159" w:type="pct"/>
            <w:vAlign w:val="center"/>
          </w:tcPr>
          <w:p>
            <w:pPr>
              <w:widowControl/>
              <w:spacing w:line="340" w:lineRule="exact"/>
              <w:jc w:val="center"/>
              <w:rPr>
                <w:rFonts w:eastAsia="宋体"/>
                <w:color w:val="000000"/>
                <w:sz w:val="21"/>
                <w:szCs w:val="21"/>
              </w:rPr>
            </w:pPr>
            <w:r>
              <w:rPr>
                <w:rFonts w:hint="eastAsia" w:eastAsia="宋体"/>
                <w:color w:val="000000"/>
                <w:sz w:val="21"/>
                <w:szCs w:val="21"/>
              </w:rPr>
              <w:t>电源适应性</w:t>
            </w:r>
          </w:p>
        </w:tc>
        <w:tc>
          <w:tcPr>
            <w:tcW w:w="2389" w:type="pct"/>
            <w:vAlign w:val="center"/>
          </w:tcPr>
          <w:p>
            <w:pPr>
              <w:snapToGrid w:val="0"/>
              <w:jc w:val="center"/>
              <w:rPr>
                <w:rFonts w:eastAsia="宋体"/>
                <w:color w:val="000000"/>
                <w:sz w:val="21"/>
                <w:szCs w:val="21"/>
              </w:rPr>
            </w:pPr>
            <w:r>
              <w:rPr>
                <w:rFonts w:hint="eastAsia" w:eastAsia="宋体"/>
                <w:color w:val="000000"/>
                <w:sz w:val="21"/>
                <w:szCs w:val="21"/>
              </w:rPr>
              <w:t>GB/T 17540-2017条款4.5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9</w:t>
            </w:r>
          </w:p>
        </w:tc>
        <w:tc>
          <w:tcPr>
            <w:tcW w:w="2159" w:type="pct"/>
            <w:vAlign w:val="center"/>
          </w:tcPr>
          <w:p>
            <w:pPr>
              <w:widowControl/>
              <w:spacing w:line="340" w:lineRule="exact"/>
              <w:jc w:val="center"/>
              <w:rPr>
                <w:rFonts w:eastAsia="宋体"/>
                <w:color w:val="000000"/>
                <w:sz w:val="21"/>
                <w:szCs w:val="21"/>
              </w:rPr>
            </w:pPr>
            <w:r>
              <w:rPr>
                <w:rFonts w:hint="eastAsia" w:eastAsia="宋体"/>
                <w:color w:val="000000"/>
                <w:sz w:val="21"/>
                <w:szCs w:val="21"/>
              </w:rPr>
              <w:t>噪声</w:t>
            </w:r>
          </w:p>
        </w:tc>
        <w:tc>
          <w:tcPr>
            <w:tcW w:w="2389" w:type="pct"/>
            <w:vAlign w:val="center"/>
          </w:tcPr>
          <w:p>
            <w:pPr>
              <w:snapToGrid w:val="0"/>
              <w:jc w:val="center"/>
              <w:rPr>
                <w:rFonts w:eastAsia="宋体"/>
                <w:color w:val="000000"/>
                <w:sz w:val="21"/>
                <w:szCs w:val="21"/>
              </w:rPr>
            </w:pPr>
            <w:r>
              <w:rPr>
                <w:rFonts w:hint="eastAsia" w:eastAsia="宋体"/>
                <w:color w:val="000000"/>
                <w:sz w:val="21"/>
                <w:szCs w:val="21"/>
              </w:rPr>
              <w:t>GB/T 17540-2017条款4.7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10</w:t>
            </w:r>
          </w:p>
        </w:tc>
        <w:tc>
          <w:tcPr>
            <w:tcW w:w="2159" w:type="pct"/>
            <w:vAlign w:val="center"/>
          </w:tcPr>
          <w:p>
            <w:pPr>
              <w:widowControl/>
              <w:spacing w:line="340" w:lineRule="exact"/>
              <w:jc w:val="center"/>
              <w:rPr>
                <w:rFonts w:eastAsia="宋体"/>
                <w:color w:val="000000"/>
                <w:sz w:val="21"/>
                <w:szCs w:val="21"/>
              </w:rPr>
            </w:pPr>
            <w:r>
              <w:rPr>
                <w:rFonts w:eastAsia="宋体"/>
                <w:color w:val="000000"/>
                <w:sz w:val="21"/>
                <w:szCs w:val="21"/>
              </w:rPr>
              <w:t>能效</w:t>
            </w:r>
          </w:p>
        </w:tc>
        <w:tc>
          <w:tcPr>
            <w:tcW w:w="2389" w:type="pct"/>
            <w:vAlign w:val="center"/>
          </w:tcPr>
          <w:p>
            <w:pPr>
              <w:snapToGrid w:val="0"/>
              <w:jc w:val="center"/>
              <w:rPr>
                <w:rFonts w:eastAsia="宋体"/>
                <w:color w:val="000000"/>
                <w:sz w:val="21"/>
                <w:szCs w:val="21"/>
              </w:rPr>
            </w:pPr>
            <w:r>
              <w:rPr>
                <w:rFonts w:hint="eastAsia" w:eastAsia="宋体"/>
                <w:color w:val="000000"/>
                <w:sz w:val="21"/>
                <w:szCs w:val="21"/>
              </w:rPr>
              <w:t>GB/T 17540-2017条款4.10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11</w:t>
            </w:r>
          </w:p>
        </w:tc>
        <w:tc>
          <w:tcPr>
            <w:tcW w:w="2159" w:type="pct"/>
            <w:vAlign w:val="center"/>
          </w:tcPr>
          <w:p>
            <w:pPr>
              <w:widowControl/>
              <w:spacing w:line="340" w:lineRule="exact"/>
              <w:jc w:val="center"/>
              <w:rPr>
                <w:rFonts w:eastAsia="宋体"/>
                <w:color w:val="000000"/>
                <w:sz w:val="21"/>
                <w:szCs w:val="21"/>
              </w:rPr>
            </w:pPr>
            <w:r>
              <w:rPr>
                <w:rFonts w:eastAsia="宋体"/>
                <w:color w:val="000000"/>
                <w:sz w:val="21"/>
                <w:szCs w:val="21"/>
              </w:rPr>
              <w:t>电能量源的分级和限值</w:t>
            </w:r>
          </w:p>
        </w:tc>
        <w:tc>
          <w:tcPr>
            <w:tcW w:w="2389" w:type="pct"/>
            <w:vAlign w:val="center"/>
          </w:tcPr>
          <w:p>
            <w:pPr>
              <w:widowControl/>
              <w:spacing w:line="340" w:lineRule="exact"/>
              <w:jc w:val="center"/>
              <w:rPr>
                <w:rFonts w:eastAsia="宋体"/>
                <w:color w:val="000000"/>
                <w:sz w:val="21"/>
                <w:szCs w:val="21"/>
              </w:rPr>
            </w:pPr>
            <w:r>
              <w:rPr>
                <w:rFonts w:eastAsia="宋体"/>
                <w:color w:val="000000"/>
                <w:sz w:val="21"/>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12</w:t>
            </w:r>
          </w:p>
        </w:tc>
        <w:tc>
          <w:tcPr>
            <w:tcW w:w="2159" w:type="pct"/>
            <w:vAlign w:val="center"/>
          </w:tcPr>
          <w:p>
            <w:pPr>
              <w:widowControl/>
              <w:spacing w:line="340" w:lineRule="exact"/>
              <w:jc w:val="center"/>
              <w:rPr>
                <w:rFonts w:eastAsia="宋体"/>
                <w:color w:val="000000"/>
                <w:sz w:val="21"/>
                <w:szCs w:val="21"/>
              </w:rPr>
            </w:pPr>
            <w:r>
              <w:rPr>
                <w:rFonts w:eastAsia="宋体"/>
                <w:color w:val="000000"/>
                <w:sz w:val="21"/>
                <w:szCs w:val="21"/>
              </w:rPr>
              <w:t>电能量源的防护</w:t>
            </w:r>
          </w:p>
        </w:tc>
        <w:tc>
          <w:tcPr>
            <w:tcW w:w="2389" w:type="pct"/>
            <w:vAlign w:val="center"/>
          </w:tcPr>
          <w:p>
            <w:pPr>
              <w:widowControl/>
              <w:spacing w:line="340" w:lineRule="exact"/>
              <w:jc w:val="center"/>
              <w:rPr>
                <w:rFonts w:eastAsia="宋体"/>
                <w:color w:val="000000"/>
                <w:sz w:val="21"/>
                <w:szCs w:val="21"/>
              </w:rPr>
            </w:pPr>
            <w:r>
              <w:rPr>
                <w:rFonts w:eastAsia="宋体"/>
                <w:color w:val="000000"/>
                <w:sz w:val="21"/>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13</w:t>
            </w:r>
          </w:p>
        </w:tc>
        <w:tc>
          <w:tcPr>
            <w:tcW w:w="2159" w:type="pct"/>
            <w:vAlign w:val="center"/>
          </w:tcPr>
          <w:p>
            <w:pPr>
              <w:widowControl/>
              <w:spacing w:line="340" w:lineRule="exact"/>
              <w:jc w:val="center"/>
              <w:rPr>
                <w:rFonts w:eastAsia="宋体"/>
                <w:color w:val="000000"/>
                <w:sz w:val="21"/>
                <w:szCs w:val="21"/>
              </w:rPr>
            </w:pPr>
            <w:r>
              <w:rPr>
                <w:rFonts w:eastAsia="宋体"/>
                <w:color w:val="000000"/>
                <w:sz w:val="21"/>
                <w:szCs w:val="21"/>
              </w:rPr>
              <w:t>电气间隙</w:t>
            </w:r>
          </w:p>
        </w:tc>
        <w:tc>
          <w:tcPr>
            <w:tcW w:w="2389" w:type="pct"/>
            <w:vAlign w:val="center"/>
          </w:tcPr>
          <w:p>
            <w:pPr>
              <w:widowControl/>
              <w:spacing w:line="340" w:lineRule="exact"/>
              <w:jc w:val="center"/>
              <w:rPr>
                <w:rFonts w:eastAsia="宋体"/>
                <w:color w:val="000000"/>
                <w:sz w:val="21"/>
                <w:szCs w:val="21"/>
              </w:rPr>
            </w:pPr>
            <w:r>
              <w:rPr>
                <w:rFonts w:eastAsia="宋体"/>
                <w:color w:val="000000"/>
                <w:sz w:val="21"/>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14</w:t>
            </w:r>
          </w:p>
        </w:tc>
        <w:tc>
          <w:tcPr>
            <w:tcW w:w="2159" w:type="pct"/>
            <w:vAlign w:val="center"/>
          </w:tcPr>
          <w:p>
            <w:pPr>
              <w:widowControl/>
              <w:spacing w:line="340" w:lineRule="exact"/>
              <w:jc w:val="center"/>
              <w:rPr>
                <w:rFonts w:eastAsia="宋体"/>
                <w:color w:val="000000"/>
                <w:sz w:val="21"/>
                <w:szCs w:val="21"/>
              </w:rPr>
            </w:pPr>
            <w:r>
              <w:rPr>
                <w:rFonts w:eastAsia="宋体"/>
                <w:color w:val="000000"/>
                <w:sz w:val="21"/>
                <w:szCs w:val="21"/>
              </w:rPr>
              <w:t>爬电距离</w:t>
            </w:r>
          </w:p>
        </w:tc>
        <w:tc>
          <w:tcPr>
            <w:tcW w:w="2389" w:type="pct"/>
            <w:vAlign w:val="center"/>
          </w:tcPr>
          <w:p>
            <w:pPr>
              <w:widowControl/>
              <w:spacing w:line="340" w:lineRule="exact"/>
              <w:jc w:val="center"/>
              <w:rPr>
                <w:rFonts w:eastAsia="宋体"/>
                <w:color w:val="000000"/>
                <w:sz w:val="21"/>
                <w:szCs w:val="21"/>
              </w:rPr>
            </w:pPr>
            <w:r>
              <w:rPr>
                <w:rFonts w:eastAsia="宋体"/>
                <w:color w:val="000000"/>
                <w:sz w:val="21"/>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15</w:t>
            </w:r>
          </w:p>
        </w:tc>
        <w:tc>
          <w:tcPr>
            <w:tcW w:w="2159" w:type="pct"/>
            <w:vAlign w:val="center"/>
          </w:tcPr>
          <w:p>
            <w:pPr>
              <w:widowControl/>
              <w:spacing w:line="340" w:lineRule="exact"/>
              <w:jc w:val="center"/>
              <w:rPr>
                <w:rFonts w:eastAsia="宋体"/>
                <w:color w:val="000000"/>
                <w:sz w:val="21"/>
                <w:szCs w:val="21"/>
              </w:rPr>
            </w:pPr>
            <w:r>
              <w:rPr>
                <w:rFonts w:eastAsia="宋体"/>
                <w:color w:val="000000"/>
                <w:sz w:val="21"/>
                <w:szCs w:val="21"/>
              </w:rPr>
              <w:t>作为附加安全防护一部分的内部导线的绝缘</w:t>
            </w:r>
          </w:p>
        </w:tc>
        <w:tc>
          <w:tcPr>
            <w:tcW w:w="2389" w:type="pct"/>
            <w:vAlign w:val="center"/>
          </w:tcPr>
          <w:p>
            <w:pPr>
              <w:widowControl/>
              <w:spacing w:line="340" w:lineRule="exact"/>
              <w:jc w:val="center"/>
              <w:rPr>
                <w:rFonts w:eastAsia="宋体"/>
                <w:color w:val="000000"/>
                <w:sz w:val="21"/>
                <w:szCs w:val="21"/>
              </w:rPr>
            </w:pPr>
            <w:r>
              <w:rPr>
                <w:rFonts w:eastAsia="宋体"/>
                <w:color w:val="000000"/>
                <w:sz w:val="21"/>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16</w:t>
            </w:r>
          </w:p>
        </w:tc>
        <w:tc>
          <w:tcPr>
            <w:tcW w:w="2159" w:type="pct"/>
            <w:vAlign w:val="center"/>
          </w:tcPr>
          <w:p>
            <w:pPr>
              <w:widowControl/>
              <w:spacing w:line="340" w:lineRule="exact"/>
              <w:jc w:val="center"/>
              <w:rPr>
                <w:rFonts w:eastAsia="宋体"/>
                <w:color w:val="000000"/>
                <w:sz w:val="21"/>
                <w:szCs w:val="21"/>
              </w:rPr>
            </w:pPr>
            <w:r>
              <w:rPr>
                <w:rFonts w:eastAsia="宋体"/>
                <w:color w:val="000000"/>
                <w:sz w:val="21"/>
                <w:szCs w:val="21"/>
              </w:rPr>
              <w:t>抗电强度试验</w:t>
            </w:r>
          </w:p>
        </w:tc>
        <w:tc>
          <w:tcPr>
            <w:tcW w:w="2389" w:type="pct"/>
            <w:vAlign w:val="center"/>
          </w:tcPr>
          <w:p>
            <w:pPr>
              <w:widowControl/>
              <w:spacing w:line="340" w:lineRule="exact"/>
              <w:jc w:val="center"/>
              <w:rPr>
                <w:rFonts w:eastAsia="宋体"/>
                <w:color w:val="000000"/>
                <w:sz w:val="21"/>
                <w:szCs w:val="21"/>
              </w:rPr>
            </w:pPr>
            <w:r>
              <w:rPr>
                <w:rFonts w:eastAsia="宋体"/>
                <w:color w:val="000000"/>
                <w:sz w:val="21"/>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17</w:t>
            </w:r>
          </w:p>
        </w:tc>
        <w:tc>
          <w:tcPr>
            <w:tcW w:w="2159" w:type="pct"/>
            <w:vAlign w:val="center"/>
          </w:tcPr>
          <w:p>
            <w:pPr>
              <w:widowControl/>
              <w:spacing w:line="340" w:lineRule="exact"/>
              <w:jc w:val="center"/>
              <w:rPr>
                <w:rFonts w:eastAsia="宋体"/>
                <w:color w:val="000000"/>
                <w:sz w:val="21"/>
                <w:szCs w:val="21"/>
              </w:rPr>
            </w:pPr>
            <w:r>
              <w:rPr>
                <w:rFonts w:eastAsia="宋体"/>
                <w:color w:val="000000"/>
                <w:sz w:val="21"/>
                <w:szCs w:val="21"/>
              </w:rPr>
              <w:t>断开连接器后电容器的放电</w:t>
            </w:r>
          </w:p>
        </w:tc>
        <w:tc>
          <w:tcPr>
            <w:tcW w:w="2389" w:type="pct"/>
            <w:vAlign w:val="center"/>
          </w:tcPr>
          <w:p>
            <w:pPr>
              <w:widowControl/>
              <w:spacing w:line="340" w:lineRule="exact"/>
              <w:jc w:val="center"/>
              <w:rPr>
                <w:rFonts w:eastAsia="宋体"/>
                <w:color w:val="000000"/>
                <w:sz w:val="21"/>
                <w:szCs w:val="21"/>
              </w:rPr>
            </w:pPr>
            <w:r>
              <w:rPr>
                <w:rFonts w:eastAsia="宋体"/>
                <w:color w:val="000000"/>
                <w:sz w:val="21"/>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18</w:t>
            </w:r>
          </w:p>
        </w:tc>
        <w:tc>
          <w:tcPr>
            <w:tcW w:w="2159" w:type="pct"/>
            <w:vAlign w:val="center"/>
          </w:tcPr>
          <w:p>
            <w:pPr>
              <w:widowControl/>
              <w:spacing w:line="340" w:lineRule="exact"/>
              <w:jc w:val="center"/>
              <w:rPr>
                <w:rFonts w:eastAsia="宋体"/>
                <w:color w:val="000000"/>
                <w:sz w:val="21"/>
                <w:szCs w:val="21"/>
              </w:rPr>
            </w:pPr>
            <w:r>
              <w:rPr>
                <w:rFonts w:eastAsia="宋体"/>
                <w:color w:val="000000"/>
                <w:sz w:val="21"/>
                <w:szCs w:val="21"/>
              </w:rPr>
              <w:t>保护连接系统的电阻</w:t>
            </w:r>
          </w:p>
        </w:tc>
        <w:tc>
          <w:tcPr>
            <w:tcW w:w="2389" w:type="pct"/>
            <w:vAlign w:val="center"/>
          </w:tcPr>
          <w:p>
            <w:pPr>
              <w:widowControl/>
              <w:spacing w:line="340" w:lineRule="exact"/>
              <w:jc w:val="center"/>
              <w:rPr>
                <w:rFonts w:eastAsia="宋体"/>
                <w:color w:val="000000"/>
                <w:sz w:val="21"/>
                <w:szCs w:val="21"/>
              </w:rPr>
            </w:pPr>
            <w:r>
              <w:rPr>
                <w:rFonts w:eastAsia="宋体"/>
                <w:color w:val="000000"/>
                <w:sz w:val="21"/>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19</w:t>
            </w:r>
          </w:p>
        </w:tc>
        <w:tc>
          <w:tcPr>
            <w:tcW w:w="2159" w:type="pct"/>
            <w:vAlign w:val="center"/>
          </w:tcPr>
          <w:p>
            <w:pPr>
              <w:widowControl/>
              <w:spacing w:line="340" w:lineRule="exact"/>
              <w:jc w:val="center"/>
              <w:rPr>
                <w:rFonts w:eastAsia="宋体"/>
                <w:color w:val="000000"/>
                <w:sz w:val="21"/>
                <w:szCs w:val="21"/>
              </w:rPr>
            </w:pPr>
            <w:r>
              <w:rPr>
                <w:rFonts w:eastAsia="宋体"/>
                <w:color w:val="000000"/>
                <w:sz w:val="21"/>
                <w:szCs w:val="21"/>
              </w:rPr>
              <w:t>预期的接触电压、接触电流和保护导体电流</w:t>
            </w:r>
          </w:p>
        </w:tc>
        <w:tc>
          <w:tcPr>
            <w:tcW w:w="2389" w:type="pct"/>
            <w:vAlign w:val="center"/>
          </w:tcPr>
          <w:p>
            <w:pPr>
              <w:widowControl/>
              <w:spacing w:line="340" w:lineRule="exact"/>
              <w:jc w:val="center"/>
              <w:rPr>
                <w:rFonts w:eastAsia="宋体"/>
                <w:color w:val="000000"/>
                <w:sz w:val="21"/>
                <w:szCs w:val="21"/>
              </w:rPr>
            </w:pPr>
            <w:r>
              <w:rPr>
                <w:rFonts w:eastAsia="宋体"/>
                <w:color w:val="000000"/>
                <w:sz w:val="21"/>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20</w:t>
            </w:r>
          </w:p>
        </w:tc>
        <w:tc>
          <w:tcPr>
            <w:tcW w:w="2159" w:type="pct"/>
            <w:vAlign w:val="center"/>
          </w:tcPr>
          <w:p>
            <w:pPr>
              <w:widowControl/>
              <w:spacing w:line="340" w:lineRule="exact"/>
              <w:jc w:val="center"/>
              <w:rPr>
                <w:rFonts w:eastAsia="宋体"/>
                <w:color w:val="000000"/>
                <w:sz w:val="21"/>
                <w:szCs w:val="21"/>
              </w:rPr>
            </w:pPr>
            <w:r>
              <w:rPr>
                <w:rFonts w:hint="eastAsia" w:eastAsia="宋体"/>
                <w:color w:val="000000"/>
                <w:sz w:val="21"/>
                <w:szCs w:val="21"/>
              </w:rPr>
              <w:t>电源端子骚扰电压</w:t>
            </w:r>
          </w:p>
        </w:tc>
        <w:tc>
          <w:tcPr>
            <w:tcW w:w="2389" w:type="pct"/>
            <w:vAlign w:val="center"/>
          </w:tcPr>
          <w:p>
            <w:pPr>
              <w:snapToGrid w:val="0"/>
              <w:jc w:val="center"/>
              <w:rPr>
                <w:rFonts w:eastAsia="宋体"/>
                <w:color w:val="000000"/>
                <w:sz w:val="21"/>
                <w:szCs w:val="21"/>
              </w:rPr>
            </w:pPr>
            <w:r>
              <w:rPr>
                <w:rFonts w:hint="eastAsia" w:eastAsia="宋体"/>
                <w:color w:val="000000"/>
                <w:sz w:val="21"/>
                <w:szCs w:val="21"/>
              </w:rPr>
              <w:t>GB/T 9254.1-2021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21</w:t>
            </w:r>
          </w:p>
        </w:tc>
        <w:tc>
          <w:tcPr>
            <w:tcW w:w="2159" w:type="pct"/>
            <w:vAlign w:val="center"/>
          </w:tcPr>
          <w:p>
            <w:pPr>
              <w:widowControl/>
              <w:spacing w:line="340" w:lineRule="exact"/>
              <w:jc w:val="center"/>
              <w:rPr>
                <w:rFonts w:eastAsia="宋体"/>
                <w:color w:val="000000"/>
                <w:sz w:val="21"/>
                <w:szCs w:val="21"/>
              </w:rPr>
            </w:pPr>
            <w:r>
              <w:rPr>
                <w:rFonts w:hint="eastAsia" w:eastAsia="宋体"/>
                <w:color w:val="000000"/>
                <w:sz w:val="21"/>
                <w:szCs w:val="21"/>
              </w:rPr>
              <w:t>电信端口传导共模骚扰电压</w:t>
            </w:r>
          </w:p>
        </w:tc>
        <w:tc>
          <w:tcPr>
            <w:tcW w:w="2389" w:type="pct"/>
            <w:vAlign w:val="center"/>
          </w:tcPr>
          <w:p>
            <w:pPr>
              <w:snapToGrid w:val="0"/>
              <w:jc w:val="center"/>
              <w:rPr>
                <w:rFonts w:eastAsia="宋体"/>
                <w:color w:val="000000"/>
                <w:sz w:val="21"/>
                <w:szCs w:val="21"/>
              </w:rPr>
            </w:pPr>
            <w:r>
              <w:rPr>
                <w:rFonts w:hint="eastAsia" w:eastAsia="宋体"/>
                <w:color w:val="000000"/>
                <w:sz w:val="21"/>
                <w:szCs w:val="21"/>
              </w:rPr>
              <w:t>GB/T 9254.1-2021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22</w:t>
            </w:r>
          </w:p>
        </w:tc>
        <w:tc>
          <w:tcPr>
            <w:tcW w:w="2159" w:type="pct"/>
            <w:vAlign w:val="center"/>
          </w:tcPr>
          <w:p>
            <w:pPr>
              <w:widowControl/>
              <w:spacing w:line="340" w:lineRule="exact"/>
              <w:jc w:val="center"/>
              <w:rPr>
                <w:rFonts w:eastAsia="宋体"/>
                <w:color w:val="000000"/>
                <w:sz w:val="21"/>
                <w:szCs w:val="21"/>
              </w:rPr>
            </w:pPr>
            <w:r>
              <w:rPr>
                <w:rFonts w:hint="eastAsia" w:eastAsia="宋体"/>
                <w:color w:val="000000"/>
                <w:sz w:val="21"/>
                <w:szCs w:val="21"/>
              </w:rPr>
              <w:t>辐射骚扰（1GHz以下）</w:t>
            </w:r>
          </w:p>
        </w:tc>
        <w:tc>
          <w:tcPr>
            <w:tcW w:w="2389" w:type="pct"/>
            <w:vAlign w:val="center"/>
          </w:tcPr>
          <w:p>
            <w:pPr>
              <w:snapToGrid w:val="0"/>
              <w:jc w:val="center"/>
              <w:rPr>
                <w:rFonts w:eastAsia="宋体"/>
                <w:color w:val="000000"/>
                <w:sz w:val="21"/>
                <w:szCs w:val="21"/>
              </w:rPr>
            </w:pPr>
            <w:r>
              <w:rPr>
                <w:rFonts w:hint="eastAsia" w:eastAsia="宋体"/>
                <w:color w:val="000000"/>
                <w:sz w:val="21"/>
                <w:szCs w:val="21"/>
              </w:rPr>
              <w:t>GB/T 9254.1-2021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23</w:t>
            </w:r>
          </w:p>
        </w:tc>
        <w:tc>
          <w:tcPr>
            <w:tcW w:w="2159" w:type="pct"/>
            <w:vAlign w:val="center"/>
          </w:tcPr>
          <w:p>
            <w:pPr>
              <w:widowControl/>
              <w:spacing w:line="340" w:lineRule="exact"/>
              <w:jc w:val="center"/>
              <w:rPr>
                <w:rFonts w:eastAsia="宋体"/>
                <w:color w:val="000000"/>
                <w:sz w:val="21"/>
                <w:szCs w:val="21"/>
              </w:rPr>
            </w:pPr>
            <w:r>
              <w:rPr>
                <w:rFonts w:eastAsia="宋体"/>
                <w:color w:val="000000"/>
                <w:sz w:val="21"/>
                <w:szCs w:val="21"/>
              </w:rPr>
              <w:t>谐波电流</w:t>
            </w:r>
          </w:p>
        </w:tc>
        <w:tc>
          <w:tcPr>
            <w:tcW w:w="2389" w:type="pct"/>
            <w:vAlign w:val="center"/>
          </w:tcPr>
          <w:p>
            <w:pPr>
              <w:widowControl/>
              <w:spacing w:line="340" w:lineRule="exact"/>
              <w:jc w:val="center"/>
              <w:rPr>
                <w:rFonts w:eastAsia="宋体"/>
                <w:color w:val="000000"/>
                <w:sz w:val="21"/>
                <w:szCs w:val="21"/>
              </w:rPr>
            </w:pPr>
            <w:r>
              <w:rPr>
                <w:rFonts w:eastAsia="宋体"/>
                <w:color w:val="000000"/>
                <w:sz w:val="21"/>
                <w:szCs w:val="21"/>
              </w:rPr>
              <w:t>GB 17625.1-2012</w:t>
            </w:r>
          </w:p>
          <w:p>
            <w:pPr>
              <w:widowControl/>
              <w:spacing w:line="340" w:lineRule="exact"/>
              <w:jc w:val="center"/>
              <w:rPr>
                <w:rFonts w:eastAsia="宋体"/>
                <w:color w:val="000000"/>
                <w:sz w:val="21"/>
                <w:szCs w:val="21"/>
              </w:rPr>
            </w:pPr>
            <w:r>
              <w:rPr>
                <w:rFonts w:eastAsia="宋体"/>
                <w:color w:val="000000"/>
                <w:sz w:val="21"/>
                <w:szCs w:val="21"/>
              </w:rPr>
              <w:t>GB 17625.1-2022</w:t>
            </w:r>
          </w:p>
        </w:tc>
      </w:tr>
    </w:tbl>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注： </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检验项目1～10只适用于台式激光打印机。</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三、判定规则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lang w:eastAsia="zh-CN"/>
        </w:rPr>
      </w:pPr>
      <w:r>
        <w:rPr>
          <w:rFonts w:hint="eastAsia" w:ascii="楷体_GB2312" w:hAnsi="楷体_GB2312" w:eastAsia="楷体_GB2312" w:cs="楷体_GB2312"/>
          <w:color w:val="000000"/>
          <w:sz w:val="28"/>
          <w:szCs w:val="28"/>
          <w:lang w:eastAsia="zh-CN"/>
        </w:rPr>
        <w:t>（一）依据标准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1.强制性标准: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 4943.1-2022 《音视频、信息技术和通信技术设备 第1部分：安全要求》</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 17625.1-2012《电磁兼容 限值 谐波电流发射限值（设备每相输入电流≤16A）》</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 17625.1—2022 电磁兼容 限值  第1部分：谐波电流发射限值（设备每相输入电流≤16A）</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2.推荐性标准: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9254.1-2021《信息技术设备、多媒体设备和接收机 电磁兼容 第1部分：发射要求》</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lang w:eastAsia="zh-CN"/>
        </w:rPr>
      </w:pPr>
      <w:r>
        <w:rPr>
          <w:rFonts w:hint="eastAsia" w:ascii="楷体_GB2312" w:hAnsi="楷体_GB2312" w:eastAsia="楷体_GB2312" w:cs="楷体_GB2312"/>
          <w:color w:val="000000"/>
          <w:sz w:val="28"/>
          <w:szCs w:val="28"/>
          <w:lang w:eastAsia="zh-CN"/>
        </w:rPr>
        <w:t>（二）判定原则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eastAsia="宋体"/>
          <w:color w:val="000000"/>
          <w:sz w:val="21"/>
          <w:szCs w:val="21"/>
        </w:rPr>
      </w:pPr>
      <w:r>
        <w:rPr>
          <w:rFonts w:hint="eastAsia" w:ascii="仿宋" w:hAnsi="仿宋" w:eastAsia="仿宋" w:cs="仿宋"/>
          <w:color w:val="000000"/>
          <w:sz w:val="28"/>
          <w:szCs w:val="28"/>
        </w:rPr>
        <w:t>若被检产品明示的质量要求缺少本细则中检验项目依据的推荐性标准要求时，该项目不参与判定。</w:t>
      </w:r>
    </w:p>
    <w:sectPr>
      <w:headerReference r:id="rId3" w:type="default"/>
      <w:headerReference r:id="rId4" w:type="even"/>
      <w:pgSz w:w="11906" w:h="16838"/>
      <w:pgMar w:top="2098" w:right="1474" w:bottom="1984" w:left="1587"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BCA"/>
    <w:rsid w:val="0000204A"/>
    <w:rsid w:val="0000490C"/>
    <w:rsid w:val="00010514"/>
    <w:rsid w:val="000135ED"/>
    <w:rsid w:val="00025539"/>
    <w:rsid w:val="000360CA"/>
    <w:rsid w:val="00044431"/>
    <w:rsid w:val="00046227"/>
    <w:rsid w:val="000512B6"/>
    <w:rsid w:val="00064623"/>
    <w:rsid w:val="00065C58"/>
    <w:rsid w:val="0006663D"/>
    <w:rsid w:val="00067B88"/>
    <w:rsid w:val="000713FD"/>
    <w:rsid w:val="00074B58"/>
    <w:rsid w:val="00076BE3"/>
    <w:rsid w:val="00077169"/>
    <w:rsid w:val="0008148B"/>
    <w:rsid w:val="0008298B"/>
    <w:rsid w:val="00083A5C"/>
    <w:rsid w:val="00086BB7"/>
    <w:rsid w:val="0009349D"/>
    <w:rsid w:val="000A16A3"/>
    <w:rsid w:val="000B206E"/>
    <w:rsid w:val="000B4CC6"/>
    <w:rsid w:val="000C0A23"/>
    <w:rsid w:val="000C0E00"/>
    <w:rsid w:val="000C0EF8"/>
    <w:rsid w:val="000C0FCF"/>
    <w:rsid w:val="000C1357"/>
    <w:rsid w:val="000C242E"/>
    <w:rsid w:val="000C2466"/>
    <w:rsid w:val="000C2BB3"/>
    <w:rsid w:val="000D016E"/>
    <w:rsid w:val="000D1DB6"/>
    <w:rsid w:val="000D51C0"/>
    <w:rsid w:val="000D765A"/>
    <w:rsid w:val="000D7A3F"/>
    <w:rsid w:val="000E2EDF"/>
    <w:rsid w:val="00103144"/>
    <w:rsid w:val="00104BE7"/>
    <w:rsid w:val="001109E2"/>
    <w:rsid w:val="00113A36"/>
    <w:rsid w:val="001162B5"/>
    <w:rsid w:val="00132F01"/>
    <w:rsid w:val="0013531B"/>
    <w:rsid w:val="00140E48"/>
    <w:rsid w:val="00142CE7"/>
    <w:rsid w:val="00154109"/>
    <w:rsid w:val="001625EA"/>
    <w:rsid w:val="00165386"/>
    <w:rsid w:val="00165F2E"/>
    <w:rsid w:val="00173D51"/>
    <w:rsid w:val="0017504F"/>
    <w:rsid w:val="00186791"/>
    <w:rsid w:val="00186836"/>
    <w:rsid w:val="00186E21"/>
    <w:rsid w:val="001907BA"/>
    <w:rsid w:val="0019418D"/>
    <w:rsid w:val="0019434A"/>
    <w:rsid w:val="00194D22"/>
    <w:rsid w:val="00195A75"/>
    <w:rsid w:val="00195C9E"/>
    <w:rsid w:val="00197584"/>
    <w:rsid w:val="001A2412"/>
    <w:rsid w:val="001A3303"/>
    <w:rsid w:val="001A38F9"/>
    <w:rsid w:val="001A568D"/>
    <w:rsid w:val="001B4DE7"/>
    <w:rsid w:val="001B5949"/>
    <w:rsid w:val="001C372E"/>
    <w:rsid w:val="001C58FE"/>
    <w:rsid w:val="001D0328"/>
    <w:rsid w:val="001D03CE"/>
    <w:rsid w:val="001D4C84"/>
    <w:rsid w:val="001E0364"/>
    <w:rsid w:val="001E0B92"/>
    <w:rsid w:val="001E2D66"/>
    <w:rsid w:val="001E3304"/>
    <w:rsid w:val="001F6AB3"/>
    <w:rsid w:val="00201951"/>
    <w:rsid w:val="00201EA6"/>
    <w:rsid w:val="00204C03"/>
    <w:rsid w:val="00205495"/>
    <w:rsid w:val="00207DF9"/>
    <w:rsid w:val="00207E59"/>
    <w:rsid w:val="002144FA"/>
    <w:rsid w:val="00220B42"/>
    <w:rsid w:val="0022165E"/>
    <w:rsid w:val="002268D2"/>
    <w:rsid w:val="0023492A"/>
    <w:rsid w:val="00237AC2"/>
    <w:rsid w:val="002415C1"/>
    <w:rsid w:val="0024697F"/>
    <w:rsid w:val="00250FB8"/>
    <w:rsid w:val="00252369"/>
    <w:rsid w:val="002534FF"/>
    <w:rsid w:val="00254591"/>
    <w:rsid w:val="002568F8"/>
    <w:rsid w:val="002609E9"/>
    <w:rsid w:val="002614AD"/>
    <w:rsid w:val="002640CB"/>
    <w:rsid w:val="0026592F"/>
    <w:rsid w:val="00266BE4"/>
    <w:rsid w:val="00266F13"/>
    <w:rsid w:val="002816E6"/>
    <w:rsid w:val="00283960"/>
    <w:rsid w:val="00286FB1"/>
    <w:rsid w:val="00287DE5"/>
    <w:rsid w:val="00290DFC"/>
    <w:rsid w:val="00291A9D"/>
    <w:rsid w:val="002956E4"/>
    <w:rsid w:val="00296A48"/>
    <w:rsid w:val="002A1FE1"/>
    <w:rsid w:val="002A3B02"/>
    <w:rsid w:val="002A4BD1"/>
    <w:rsid w:val="002A5256"/>
    <w:rsid w:val="002A6E37"/>
    <w:rsid w:val="002B00B2"/>
    <w:rsid w:val="002B05A1"/>
    <w:rsid w:val="002B1A6E"/>
    <w:rsid w:val="002B471F"/>
    <w:rsid w:val="002B68E9"/>
    <w:rsid w:val="002B7EE8"/>
    <w:rsid w:val="002C0A11"/>
    <w:rsid w:val="002C279B"/>
    <w:rsid w:val="002C5697"/>
    <w:rsid w:val="002C5902"/>
    <w:rsid w:val="002C6F5A"/>
    <w:rsid w:val="002D145E"/>
    <w:rsid w:val="002D3092"/>
    <w:rsid w:val="002D4A4A"/>
    <w:rsid w:val="002D797E"/>
    <w:rsid w:val="002F00EC"/>
    <w:rsid w:val="002F327D"/>
    <w:rsid w:val="002F5E35"/>
    <w:rsid w:val="00302710"/>
    <w:rsid w:val="003052D5"/>
    <w:rsid w:val="003056E2"/>
    <w:rsid w:val="003129BF"/>
    <w:rsid w:val="00317122"/>
    <w:rsid w:val="003241A0"/>
    <w:rsid w:val="00324DC2"/>
    <w:rsid w:val="003257CC"/>
    <w:rsid w:val="00331E2F"/>
    <w:rsid w:val="00342025"/>
    <w:rsid w:val="00342B64"/>
    <w:rsid w:val="00347461"/>
    <w:rsid w:val="00352CEF"/>
    <w:rsid w:val="00357BCA"/>
    <w:rsid w:val="00360DB7"/>
    <w:rsid w:val="003622FD"/>
    <w:rsid w:val="003644FC"/>
    <w:rsid w:val="00366551"/>
    <w:rsid w:val="0037507C"/>
    <w:rsid w:val="00380581"/>
    <w:rsid w:val="00380FB0"/>
    <w:rsid w:val="0038150B"/>
    <w:rsid w:val="00386BB5"/>
    <w:rsid w:val="00386C07"/>
    <w:rsid w:val="003901D9"/>
    <w:rsid w:val="00395AF4"/>
    <w:rsid w:val="003A4317"/>
    <w:rsid w:val="003A4562"/>
    <w:rsid w:val="003A4890"/>
    <w:rsid w:val="003A7AD5"/>
    <w:rsid w:val="003B0BCA"/>
    <w:rsid w:val="003B5B19"/>
    <w:rsid w:val="003C36E5"/>
    <w:rsid w:val="003C4963"/>
    <w:rsid w:val="003C5337"/>
    <w:rsid w:val="003D2B00"/>
    <w:rsid w:val="003D372D"/>
    <w:rsid w:val="003E35EF"/>
    <w:rsid w:val="003E4858"/>
    <w:rsid w:val="003F0535"/>
    <w:rsid w:val="003F39F5"/>
    <w:rsid w:val="00411367"/>
    <w:rsid w:val="004144DA"/>
    <w:rsid w:val="00423F5A"/>
    <w:rsid w:val="00431EDB"/>
    <w:rsid w:val="0044553D"/>
    <w:rsid w:val="004464C0"/>
    <w:rsid w:val="00463941"/>
    <w:rsid w:val="004649FC"/>
    <w:rsid w:val="004769BA"/>
    <w:rsid w:val="00485CC8"/>
    <w:rsid w:val="0049367C"/>
    <w:rsid w:val="004A41A4"/>
    <w:rsid w:val="004B4015"/>
    <w:rsid w:val="004B413A"/>
    <w:rsid w:val="004B77AF"/>
    <w:rsid w:val="004C2912"/>
    <w:rsid w:val="004D47ED"/>
    <w:rsid w:val="004D6DF9"/>
    <w:rsid w:val="004E141C"/>
    <w:rsid w:val="004E14A1"/>
    <w:rsid w:val="004E6B5B"/>
    <w:rsid w:val="004F3054"/>
    <w:rsid w:val="005114C8"/>
    <w:rsid w:val="00516501"/>
    <w:rsid w:val="005249CD"/>
    <w:rsid w:val="005268FC"/>
    <w:rsid w:val="005300B0"/>
    <w:rsid w:val="005338B8"/>
    <w:rsid w:val="0053436D"/>
    <w:rsid w:val="00535928"/>
    <w:rsid w:val="005534EA"/>
    <w:rsid w:val="00556D74"/>
    <w:rsid w:val="00557E74"/>
    <w:rsid w:val="00563B3E"/>
    <w:rsid w:val="005738E3"/>
    <w:rsid w:val="00577637"/>
    <w:rsid w:val="00581F68"/>
    <w:rsid w:val="0058395D"/>
    <w:rsid w:val="00585910"/>
    <w:rsid w:val="00586713"/>
    <w:rsid w:val="00586E4E"/>
    <w:rsid w:val="005B059F"/>
    <w:rsid w:val="005B3F63"/>
    <w:rsid w:val="005B5CAB"/>
    <w:rsid w:val="005B6988"/>
    <w:rsid w:val="005D07E0"/>
    <w:rsid w:val="005D2F56"/>
    <w:rsid w:val="005D477F"/>
    <w:rsid w:val="005E7D31"/>
    <w:rsid w:val="005F1BC4"/>
    <w:rsid w:val="005F2819"/>
    <w:rsid w:val="005F557E"/>
    <w:rsid w:val="00600D18"/>
    <w:rsid w:val="0060154F"/>
    <w:rsid w:val="006023D8"/>
    <w:rsid w:val="00605E07"/>
    <w:rsid w:val="0061787D"/>
    <w:rsid w:val="00620653"/>
    <w:rsid w:val="00621ED2"/>
    <w:rsid w:val="00621F02"/>
    <w:rsid w:val="00624299"/>
    <w:rsid w:val="0063211C"/>
    <w:rsid w:val="00632A88"/>
    <w:rsid w:val="00635E12"/>
    <w:rsid w:val="006375E8"/>
    <w:rsid w:val="00641963"/>
    <w:rsid w:val="006443CA"/>
    <w:rsid w:val="00653A6E"/>
    <w:rsid w:val="00655B58"/>
    <w:rsid w:val="00662E80"/>
    <w:rsid w:val="00663B3F"/>
    <w:rsid w:val="006671EE"/>
    <w:rsid w:val="00670047"/>
    <w:rsid w:val="006746F3"/>
    <w:rsid w:val="006746F8"/>
    <w:rsid w:val="0068232E"/>
    <w:rsid w:val="0069267A"/>
    <w:rsid w:val="00696D19"/>
    <w:rsid w:val="006A246B"/>
    <w:rsid w:val="006A4C0C"/>
    <w:rsid w:val="006A5EFA"/>
    <w:rsid w:val="006B4B4B"/>
    <w:rsid w:val="006C3911"/>
    <w:rsid w:val="006D09AD"/>
    <w:rsid w:val="006D2420"/>
    <w:rsid w:val="006D3236"/>
    <w:rsid w:val="006D5F64"/>
    <w:rsid w:val="006E1551"/>
    <w:rsid w:val="006E2283"/>
    <w:rsid w:val="006F3DD9"/>
    <w:rsid w:val="00705D0B"/>
    <w:rsid w:val="0071216D"/>
    <w:rsid w:val="00715452"/>
    <w:rsid w:val="00720E17"/>
    <w:rsid w:val="00720FCB"/>
    <w:rsid w:val="00720FF4"/>
    <w:rsid w:val="007227F3"/>
    <w:rsid w:val="00737057"/>
    <w:rsid w:val="007377E0"/>
    <w:rsid w:val="00756E05"/>
    <w:rsid w:val="00756F96"/>
    <w:rsid w:val="007661C9"/>
    <w:rsid w:val="00770D38"/>
    <w:rsid w:val="007724F8"/>
    <w:rsid w:val="00774C67"/>
    <w:rsid w:val="007812D2"/>
    <w:rsid w:val="00782023"/>
    <w:rsid w:val="007843C5"/>
    <w:rsid w:val="0079793F"/>
    <w:rsid w:val="007A6986"/>
    <w:rsid w:val="007B32AD"/>
    <w:rsid w:val="007B49F9"/>
    <w:rsid w:val="007C25A6"/>
    <w:rsid w:val="007D0CE8"/>
    <w:rsid w:val="007D1D7A"/>
    <w:rsid w:val="007D31FA"/>
    <w:rsid w:val="007D60E0"/>
    <w:rsid w:val="007E195F"/>
    <w:rsid w:val="007E5902"/>
    <w:rsid w:val="007F45C1"/>
    <w:rsid w:val="007F6622"/>
    <w:rsid w:val="00803FCE"/>
    <w:rsid w:val="00815EDF"/>
    <w:rsid w:val="00820112"/>
    <w:rsid w:val="0082018D"/>
    <w:rsid w:val="00820AA6"/>
    <w:rsid w:val="0082147E"/>
    <w:rsid w:val="008252BC"/>
    <w:rsid w:val="0083291B"/>
    <w:rsid w:val="0083292A"/>
    <w:rsid w:val="008339F1"/>
    <w:rsid w:val="008377E2"/>
    <w:rsid w:val="00837E53"/>
    <w:rsid w:val="00840914"/>
    <w:rsid w:val="00846A4F"/>
    <w:rsid w:val="00852EAA"/>
    <w:rsid w:val="00853009"/>
    <w:rsid w:val="00853611"/>
    <w:rsid w:val="008536BF"/>
    <w:rsid w:val="00855D2E"/>
    <w:rsid w:val="00857F21"/>
    <w:rsid w:val="00861148"/>
    <w:rsid w:val="00862D0E"/>
    <w:rsid w:val="0086637C"/>
    <w:rsid w:val="00866BD8"/>
    <w:rsid w:val="00871B2C"/>
    <w:rsid w:val="00872879"/>
    <w:rsid w:val="00873230"/>
    <w:rsid w:val="008830EA"/>
    <w:rsid w:val="00884791"/>
    <w:rsid w:val="00885A76"/>
    <w:rsid w:val="00886933"/>
    <w:rsid w:val="00887753"/>
    <w:rsid w:val="00892B4D"/>
    <w:rsid w:val="00896CD5"/>
    <w:rsid w:val="008A09FC"/>
    <w:rsid w:val="008A6916"/>
    <w:rsid w:val="008A6E54"/>
    <w:rsid w:val="008A7590"/>
    <w:rsid w:val="008B6593"/>
    <w:rsid w:val="008D124E"/>
    <w:rsid w:val="008E186E"/>
    <w:rsid w:val="008E3FF9"/>
    <w:rsid w:val="008E4F06"/>
    <w:rsid w:val="008F1222"/>
    <w:rsid w:val="008F254E"/>
    <w:rsid w:val="008F36D4"/>
    <w:rsid w:val="008F491E"/>
    <w:rsid w:val="00902A3F"/>
    <w:rsid w:val="00911A6E"/>
    <w:rsid w:val="00914E3C"/>
    <w:rsid w:val="00920A99"/>
    <w:rsid w:val="00920CB6"/>
    <w:rsid w:val="00922E5B"/>
    <w:rsid w:val="00931A75"/>
    <w:rsid w:val="00937A2F"/>
    <w:rsid w:val="00947765"/>
    <w:rsid w:val="00947BFE"/>
    <w:rsid w:val="0095010E"/>
    <w:rsid w:val="00955073"/>
    <w:rsid w:val="00956D35"/>
    <w:rsid w:val="009607EC"/>
    <w:rsid w:val="009636F5"/>
    <w:rsid w:val="0096678F"/>
    <w:rsid w:val="00967A82"/>
    <w:rsid w:val="009711E4"/>
    <w:rsid w:val="0097370B"/>
    <w:rsid w:val="00984244"/>
    <w:rsid w:val="00984812"/>
    <w:rsid w:val="00995632"/>
    <w:rsid w:val="00996D3B"/>
    <w:rsid w:val="009B0BCF"/>
    <w:rsid w:val="009B4AB3"/>
    <w:rsid w:val="009B67CF"/>
    <w:rsid w:val="009C20FA"/>
    <w:rsid w:val="009C2CD5"/>
    <w:rsid w:val="009C313C"/>
    <w:rsid w:val="009C67A2"/>
    <w:rsid w:val="009D2963"/>
    <w:rsid w:val="009D7475"/>
    <w:rsid w:val="009E1B61"/>
    <w:rsid w:val="009F0456"/>
    <w:rsid w:val="009F5295"/>
    <w:rsid w:val="00A00055"/>
    <w:rsid w:val="00A113DB"/>
    <w:rsid w:val="00A14AEB"/>
    <w:rsid w:val="00A152DF"/>
    <w:rsid w:val="00A15F11"/>
    <w:rsid w:val="00A2033E"/>
    <w:rsid w:val="00A24345"/>
    <w:rsid w:val="00A265AB"/>
    <w:rsid w:val="00A3184F"/>
    <w:rsid w:val="00A33459"/>
    <w:rsid w:val="00A33F3E"/>
    <w:rsid w:val="00A346BF"/>
    <w:rsid w:val="00A36578"/>
    <w:rsid w:val="00A41C38"/>
    <w:rsid w:val="00A43898"/>
    <w:rsid w:val="00A4487B"/>
    <w:rsid w:val="00A4796D"/>
    <w:rsid w:val="00A47EE3"/>
    <w:rsid w:val="00A5778A"/>
    <w:rsid w:val="00A62152"/>
    <w:rsid w:val="00A62ECE"/>
    <w:rsid w:val="00A80EA2"/>
    <w:rsid w:val="00A85FFB"/>
    <w:rsid w:val="00A90A7A"/>
    <w:rsid w:val="00A966D3"/>
    <w:rsid w:val="00AA3349"/>
    <w:rsid w:val="00AA3658"/>
    <w:rsid w:val="00AB100C"/>
    <w:rsid w:val="00AB3B0B"/>
    <w:rsid w:val="00AB5E64"/>
    <w:rsid w:val="00AB7747"/>
    <w:rsid w:val="00AC5A64"/>
    <w:rsid w:val="00AC68FE"/>
    <w:rsid w:val="00AE26C3"/>
    <w:rsid w:val="00AE3F23"/>
    <w:rsid w:val="00AF1C3E"/>
    <w:rsid w:val="00AF24C3"/>
    <w:rsid w:val="00AF51BB"/>
    <w:rsid w:val="00AF51E0"/>
    <w:rsid w:val="00AF6B49"/>
    <w:rsid w:val="00AF6BFA"/>
    <w:rsid w:val="00AF6C22"/>
    <w:rsid w:val="00AF6C51"/>
    <w:rsid w:val="00AF6CD7"/>
    <w:rsid w:val="00B020A4"/>
    <w:rsid w:val="00B021B5"/>
    <w:rsid w:val="00B05C35"/>
    <w:rsid w:val="00B12704"/>
    <w:rsid w:val="00B12C82"/>
    <w:rsid w:val="00B22958"/>
    <w:rsid w:val="00B31187"/>
    <w:rsid w:val="00B3415A"/>
    <w:rsid w:val="00B3674B"/>
    <w:rsid w:val="00B37C56"/>
    <w:rsid w:val="00B414E2"/>
    <w:rsid w:val="00B44330"/>
    <w:rsid w:val="00B521B9"/>
    <w:rsid w:val="00B53A0C"/>
    <w:rsid w:val="00B567EB"/>
    <w:rsid w:val="00B67AB6"/>
    <w:rsid w:val="00B70A5B"/>
    <w:rsid w:val="00B72EF2"/>
    <w:rsid w:val="00B8124B"/>
    <w:rsid w:val="00B85AEB"/>
    <w:rsid w:val="00B95B81"/>
    <w:rsid w:val="00B95F5C"/>
    <w:rsid w:val="00BA3DCB"/>
    <w:rsid w:val="00BA44B8"/>
    <w:rsid w:val="00BA5339"/>
    <w:rsid w:val="00BB1D85"/>
    <w:rsid w:val="00BB4BF5"/>
    <w:rsid w:val="00BC333C"/>
    <w:rsid w:val="00BC351D"/>
    <w:rsid w:val="00BD0C33"/>
    <w:rsid w:val="00BD12B3"/>
    <w:rsid w:val="00BE37F9"/>
    <w:rsid w:val="00BE3BFF"/>
    <w:rsid w:val="00BF1659"/>
    <w:rsid w:val="00BF5AFA"/>
    <w:rsid w:val="00BF6F63"/>
    <w:rsid w:val="00C00D3B"/>
    <w:rsid w:val="00C151F9"/>
    <w:rsid w:val="00C15E43"/>
    <w:rsid w:val="00C177D8"/>
    <w:rsid w:val="00C30285"/>
    <w:rsid w:val="00C32758"/>
    <w:rsid w:val="00C34272"/>
    <w:rsid w:val="00C361F9"/>
    <w:rsid w:val="00C375C6"/>
    <w:rsid w:val="00C379CB"/>
    <w:rsid w:val="00C40197"/>
    <w:rsid w:val="00C44F55"/>
    <w:rsid w:val="00C45077"/>
    <w:rsid w:val="00C46E69"/>
    <w:rsid w:val="00C5029C"/>
    <w:rsid w:val="00C51542"/>
    <w:rsid w:val="00C52055"/>
    <w:rsid w:val="00C527FB"/>
    <w:rsid w:val="00C60628"/>
    <w:rsid w:val="00C6448B"/>
    <w:rsid w:val="00C64778"/>
    <w:rsid w:val="00C6597D"/>
    <w:rsid w:val="00C65A28"/>
    <w:rsid w:val="00C65AD9"/>
    <w:rsid w:val="00C70629"/>
    <w:rsid w:val="00C83498"/>
    <w:rsid w:val="00C93ACF"/>
    <w:rsid w:val="00C950EE"/>
    <w:rsid w:val="00CA1718"/>
    <w:rsid w:val="00CA425B"/>
    <w:rsid w:val="00CA61B5"/>
    <w:rsid w:val="00CB1C07"/>
    <w:rsid w:val="00CC5C02"/>
    <w:rsid w:val="00CC78CE"/>
    <w:rsid w:val="00CD31D2"/>
    <w:rsid w:val="00CD6080"/>
    <w:rsid w:val="00CD6B1C"/>
    <w:rsid w:val="00CD7BCE"/>
    <w:rsid w:val="00CE2578"/>
    <w:rsid w:val="00CE6144"/>
    <w:rsid w:val="00CF52EF"/>
    <w:rsid w:val="00CF5DED"/>
    <w:rsid w:val="00D00951"/>
    <w:rsid w:val="00D00FDA"/>
    <w:rsid w:val="00D05E56"/>
    <w:rsid w:val="00D11001"/>
    <w:rsid w:val="00D2690B"/>
    <w:rsid w:val="00D303A8"/>
    <w:rsid w:val="00D30708"/>
    <w:rsid w:val="00D3105A"/>
    <w:rsid w:val="00D35455"/>
    <w:rsid w:val="00D434A3"/>
    <w:rsid w:val="00D44302"/>
    <w:rsid w:val="00D44782"/>
    <w:rsid w:val="00D45A68"/>
    <w:rsid w:val="00D556BB"/>
    <w:rsid w:val="00D67A28"/>
    <w:rsid w:val="00D71580"/>
    <w:rsid w:val="00D73832"/>
    <w:rsid w:val="00D73C5A"/>
    <w:rsid w:val="00D74CBB"/>
    <w:rsid w:val="00D816C0"/>
    <w:rsid w:val="00D81F12"/>
    <w:rsid w:val="00D82536"/>
    <w:rsid w:val="00D83757"/>
    <w:rsid w:val="00D84E74"/>
    <w:rsid w:val="00D90990"/>
    <w:rsid w:val="00DA01D3"/>
    <w:rsid w:val="00DA5D53"/>
    <w:rsid w:val="00DB039F"/>
    <w:rsid w:val="00DB70E0"/>
    <w:rsid w:val="00DC1653"/>
    <w:rsid w:val="00DC6B8E"/>
    <w:rsid w:val="00DD257D"/>
    <w:rsid w:val="00DE0E99"/>
    <w:rsid w:val="00DE465B"/>
    <w:rsid w:val="00DF10F1"/>
    <w:rsid w:val="00DF29CA"/>
    <w:rsid w:val="00DF7E42"/>
    <w:rsid w:val="00E0001B"/>
    <w:rsid w:val="00E045F0"/>
    <w:rsid w:val="00E050EB"/>
    <w:rsid w:val="00E0702D"/>
    <w:rsid w:val="00E12646"/>
    <w:rsid w:val="00E130C9"/>
    <w:rsid w:val="00E15FC0"/>
    <w:rsid w:val="00E17AF0"/>
    <w:rsid w:val="00E21499"/>
    <w:rsid w:val="00E224AE"/>
    <w:rsid w:val="00E2520D"/>
    <w:rsid w:val="00E27235"/>
    <w:rsid w:val="00E316E7"/>
    <w:rsid w:val="00E41E6B"/>
    <w:rsid w:val="00E43544"/>
    <w:rsid w:val="00E44C75"/>
    <w:rsid w:val="00E454F0"/>
    <w:rsid w:val="00E55F0E"/>
    <w:rsid w:val="00E56533"/>
    <w:rsid w:val="00E5688B"/>
    <w:rsid w:val="00E62ECC"/>
    <w:rsid w:val="00E66BD9"/>
    <w:rsid w:val="00E70A02"/>
    <w:rsid w:val="00E7643F"/>
    <w:rsid w:val="00E83E15"/>
    <w:rsid w:val="00E85157"/>
    <w:rsid w:val="00E86DCD"/>
    <w:rsid w:val="00E94934"/>
    <w:rsid w:val="00E971ED"/>
    <w:rsid w:val="00EA119B"/>
    <w:rsid w:val="00EA634B"/>
    <w:rsid w:val="00EA6648"/>
    <w:rsid w:val="00EA72E6"/>
    <w:rsid w:val="00EB2F28"/>
    <w:rsid w:val="00EB363F"/>
    <w:rsid w:val="00EB53D1"/>
    <w:rsid w:val="00EC3744"/>
    <w:rsid w:val="00EC7EC5"/>
    <w:rsid w:val="00ED00B7"/>
    <w:rsid w:val="00ED44D6"/>
    <w:rsid w:val="00ED57DB"/>
    <w:rsid w:val="00ED62FC"/>
    <w:rsid w:val="00ED63FA"/>
    <w:rsid w:val="00ED6E95"/>
    <w:rsid w:val="00EF1589"/>
    <w:rsid w:val="00EF2163"/>
    <w:rsid w:val="00EF2603"/>
    <w:rsid w:val="00EF3226"/>
    <w:rsid w:val="00F00FE3"/>
    <w:rsid w:val="00F12796"/>
    <w:rsid w:val="00F12AC2"/>
    <w:rsid w:val="00F15589"/>
    <w:rsid w:val="00F16768"/>
    <w:rsid w:val="00F24F8E"/>
    <w:rsid w:val="00F25E54"/>
    <w:rsid w:val="00F27C96"/>
    <w:rsid w:val="00F32F82"/>
    <w:rsid w:val="00F35380"/>
    <w:rsid w:val="00F45D5F"/>
    <w:rsid w:val="00F55149"/>
    <w:rsid w:val="00F558CD"/>
    <w:rsid w:val="00F6345C"/>
    <w:rsid w:val="00F63535"/>
    <w:rsid w:val="00F63F44"/>
    <w:rsid w:val="00F67B96"/>
    <w:rsid w:val="00F775C9"/>
    <w:rsid w:val="00F823C1"/>
    <w:rsid w:val="00F827E5"/>
    <w:rsid w:val="00F87178"/>
    <w:rsid w:val="00F87A27"/>
    <w:rsid w:val="00FA18C7"/>
    <w:rsid w:val="00FA3326"/>
    <w:rsid w:val="00FA4329"/>
    <w:rsid w:val="00FA5D05"/>
    <w:rsid w:val="00FB2698"/>
    <w:rsid w:val="00FB466B"/>
    <w:rsid w:val="00FC0BE1"/>
    <w:rsid w:val="00FC4942"/>
    <w:rsid w:val="00FD6C34"/>
    <w:rsid w:val="00FE3526"/>
    <w:rsid w:val="00FE4741"/>
    <w:rsid w:val="00FF317F"/>
    <w:rsid w:val="00FF59F8"/>
    <w:rsid w:val="2FEE09C5"/>
    <w:rsid w:val="451E01B6"/>
    <w:rsid w:val="6FFEF889"/>
    <w:rsid w:val="7DA4E309"/>
    <w:rsid w:val="B3BB070E"/>
    <w:rsid w:val="BCD77056"/>
    <w:rsid w:val="F2C7E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paragraph" w:customStyle="1" w:styleId="9">
    <w:name w:val="p0"/>
    <w:basedOn w:val="1"/>
    <w:qFormat/>
    <w:uiPriority w:val="0"/>
    <w:pPr>
      <w:widowControl/>
    </w:pPr>
    <w:rPr>
      <w:kern w:val="0"/>
      <w:sz w:val="30"/>
      <w:szCs w:val="21"/>
    </w:rPr>
  </w:style>
  <w:style w:type="paragraph" w:customStyle="1" w:styleId="10">
    <w:name w:val="纯文本1"/>
    <w:basedOn w:val="1"/>
    <w:qFormat/>
    <w:uiPriority w:val="0"/>
    <w:pPr>
      <w:adjustRightInd w:val="0"/>
    </w:pPr>
    <w:rPr>
      <w:rFonts w:hint="eastAsia" w:ascii="宋体" w:eastAsia="宋体"/>
      <w:kern w:val="0"/>
      <w:sz w:val="21"/>
      <w:szCs w:val="20"/>
    </w:rPr>
  </w:style>
  <w:style w:type="paragraph" w:customStyle="1" w:styleId="11">
    <w:name w:val="(文字) (文字)1 Char (文字) (文字) Char"/>
    <w:basedOn w:val="1"/>
    <w:qFormat/>
    <w:uiPriority w:val="0"/>
    <w:pPr>
      <w:adjustRightInd w:val="0"/>
      <w:spacing w:line="360" w:lineRule="auto"/>
    </w:pPr>
    <w:rPr>
      <w:rFonts w:eastAsia="宋体"/>
      <w:kern w:val="0"/>
      <w:sz w:val="24"/>
      <w:szCs w:val="20"/>
    </w:rPr>
  </w:style>
  <w:style w:type="paragraph" w:customStyle="1" w:styleId="12">
    <w:name w:val="二级条标题"/>
    <w:basedOn w:val="1"/>
    <w:next w:val="1"/>
    <w:qFormat/>
    <w:uiPriority w:val="0"/>
    <w:pPr>
      <w:widowControl/>
      <w:spacing w:before="50" w:beforeLines="50" w:after="50" w:afterLines="50"/>
      <w:jc w:val="left"/>
      <w:outlineLvl w:val="3"/>
    </w:pPr>
    <w:rPr>
      <w:rFonts w:ascii="黑体" w:hAnsi="Calibri" w:eastAsia="黑体"/>
      <w:kern w:val="0"/>
      <w:sz w:val="21"/>
      <w:szCs w:val="21"/>
    </w:r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3</Pages>
  <Words>260</Words>
  <Characters>1488</Characters>
  <Lines>12</Lines>
  <Paragraphs>3</Paragraphs>
  <TotalTime>1</TotalTime>
  <ScaleCrop>false</ScaleCrop>
  <LinksUpToDate>false</LinksUpToDate>
  <CharactersWithSpaces>1745</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2024-06-18T19:13:00Z</dcterms:created>
  <dc:creator>微软用户</dc:creator>
  <cp:lastModifiedBy>admin1</cp:lastModifiedBy>
  <dcterms:modified xsi:type="dcterms:W3CDTF">2025-04-22T14:24:30Z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411EDB1CD22A499FBB00D4F312E379A8</vt:lpwstr>
  </property>
</Properties>
</file>