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eastAsia="方正小标宋简体"/>
          <w:color w:val="000000"/>
          <w:sz w:val="36"/>
          <w:szCs w:val="36"/>
        </w:rPr>
      </w:pPr>
      <w:r>
        <w:rPr>
          <w:rFonts w:hint="eastAsia" w:eastAsia="方正小标宋简体"/>
          <w:color w:val="000000"/>
          <w:sz w:val="36"/>
          <w:szCs w:val="36"/>
        </w:rPr>
        <w:t>固定式通用灯具产品质量监督抽查实施细则</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eastAsia="黑体" w:cs="黑体"/>
          <w:color w:val="000000"/>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年版）</w:t>
      </w:r>
    </w:p>
    <w:p>
      <w:pPr>
        <w:spacing w:line="520" w:lineRule="exact"/>
        <w:ind w:firstLine="880" w:firstLineChars="200"/>
        <w:jc w:val="left"/>
        <w:rPr>
          <w:rFonts w:eastAsia="方正小标宋简体" w:cs="方正小标宋简体"/>
          <w:color w:val="000000"/>
          <w:sz w:val="44"/>
          <w:szCs w:val="44"/>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黑体" w:hAnsi="黑体" w:eastAsia="黑体" w:cs="黑体"/>
          <w:color w:val="000000"/>
          <w:sz w:val="28"/>
          <w:szCs w:val="28"/>
        </w:rPr>
      </w:pPr>
      <w:r>
        <w:rPr>
          <w:rFonts w:hint="eastAsia" w:ascii="黑体" w:hAnsi="黑体" w:eastAsia="黑体" w:cs="黑体"/>
          <w:color w:val="000000"/>
          <w:sz w:val="28"/>
          <w:szCs w:val="28"/>
        </w:rPr>
        <w:t>一、抽样方法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每批次抽取样品3台，其中2台作为检验样品，1台作为备用样品。</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color w:val="000000"/>
          <w:szCs w:val="21"/>
        </w:rPr>
      </w:pPr>
      <w:r>
        <w:rPr>
          <w:rFonts w:hint="eastAsia" w:ascii="黑体" w:hAnsi="黑体" w:eastAsia="黑体" w:cs="黑体"/>
          <w:color w:val="000000"/>
          <w:sz w:val="28"/>
          <w:szCs w:val="28"/>
          <w:lang w:eastAsia="zh-CN"/>
        </w:rPr>
        <w:t>二、</w:t>
      </w:r>
      <w:r>
        <w:rPr>
          <w:rFonts w:hint="eastAsia" w:ascii="黑体" w:hAnsi="黑体" w:eastAsia="黑体" w:cs="黑体"/>
          <w:color w:val="000000"/>
          <w:sz w:val="28"/>
          <w:szCs w:val="28"/>
        </w:rPr>
        <w:t>检验依据</w:t>
      </w:r>
    </w:p>
    <w:tbl>
      <w:tblPr>
        <w:tblStyle w:val="4"/>
        <w:tblW w:w="492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3951"/>
        <w:gridCol w:w="4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2159" w:type="pct"/>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2389" w:type="pct"/>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ascii="仿宋_GB2312" w:hAnsi="宋体"/>
                <w:color w:val="000000"/>
                <w:sz w:val="24"/>
              </w:rPr>
              <w:t>1</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标记</w:t>
            </w:r>
          </w:p>
        </w:tc>
        <w:tc>
          <w:tcPr>
            <w:tcW w:w="2389" w:type="pct"/>
            <w:vAlign w:val="center"/>
          </w:tcPr>
          <w:p>
            <w:pPr>
              <w:adjustRightInd w:val="0"/>
              <w:snapToGrid w:val="0"/>
              <w:spacing w:line="360" w:lineRule="exact"/>
              <w:jc w:val="center"/>
              <w:rPr>
                <w:sz w:val="21"/>
                <w:szCs w:val="21"/>
              </w:rPr>
            </w:pPr>
            <w:r>
              <w:rPr>
                <w:rFonts w:hint="eastAsia"/>
                <w:sz w:val="21"/>
                <w:szCs w:val="21"/>
              </w:rPr>
              <w:t>GB 7000.1-2015条款3</w:t>
            </w:r>
          </w:p>
          <w:p>
            <w:pPr>
              <w:adjustRightInd w:val="0"/>
              <w:snapToGrid w:val="0"/>
              <w:spacing w:line="360" w:lineRule="exact"/>
              <w:jc w:val="center"/>
              <w:rPr>
                <w:sz w:val="21"/>
                <w:szCs w:val="21"/>
              </w:rPr>
            </w:pPr>
            <w:r>
              <w:rPr>
                <w:sz w:val="21"/>
                <w:szCs w:val="21"/>
              </w:rPr>
              <w:t>GB 7000.</w:t>
            </w:r>
            <w:r>
              <w:rPr>
                <w:rFonts w:hint="eastAsia"/>
                <w:sz w:val="21"/>
                <w:szCs w:val="21"/>
              </w:rPr>
              <w:t>201</w:t>
            </w:r>
            <w:r>
              <w:rPr>
                <w:sz w:val="21"/>
                <w:szCs w:val="21"/>
              </w:rPr>
              <w:t>–20</w:t>
            </w:r>
            <w:r>
              <w:rPr>
                <w:rFonts w:hint="eastAsia"/>
                <w:sz w:val="21"/>
                <w:szCs w:val="21"/>
              </w:rPr>
              <w:t>08条款5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ascii="仿宋_GB2312" w:hAnsi="宋体"/>
                <w:color w:val="000000"/>
                <w:sz w:val="24"/>
              </w:rPr>
              <w:t>2</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结构</w:t>
            </w:r>
          </w:p>
        </w:tc>
        <w:tc>
          <w:tcPr>
            <w:tcW w:w="2389" w:type="pct"/>
            <w:vAlign w:val="center"/>
          </w:tcPr>
          <w:p>
            <w:pPr>
              <w:adjustRightInd w:val="0"/>
              <w:snapToGrid w:val="0"/>
              <w:spacing w:line="360" w:lineRule="exact"/>
              <w:jc w:val="center"/>
              <w:rPr>
                <w:sz w:val="21"/>
                <w:szCs w:val="21"/>
              </w:rPr>
            </w:pPr>
            <w:r>
              <w:rPr>
                <w:rFonts w:hint="eastAsia"/>
                <w:sz w:val="21"/>
                <w:szCs w:val="21"/>
              </w:rPr>
              <w:t>GB 7000.1-2015条款4</w:t>
            </w:r>
          </w:p>
          <w:p>
            <w:pPr>
              <w:adjustRightInd w:val="0"/>
              <w:snapToGrid w:val="0"/>
              <w:spacing w:line="360" w:lineRule="exact"/>
              <w:jc w:val="center"/>
              <w:rPr>
                <w:sz w:val="21"/>
                <w:szCs w:val="21"/>
              </w:rPr>
            </w:pPr>
            <w:r>
              <w:rPr>
                <w:sz w:val="21"/>
                <w:szCs w:val="21"/>
              </w:rPr>
              <w:t>GB 7000.</w:t>
            </w:r>
            <w:r>
              <w:rPr>
                <w:rFonts w:hint="eastAsia"/>
                <w:sz w:val="21"/>
                <w:szCs w:val="21"/>
              </w:rPr>
              <w:t>201</w:t>
            </w:r>
            <w:r>
              <w:rPr>
                <w:sz w:val="21"/>
                <w:szCs w:val="21"/>
              </w:rPr>
              <w:t>–20</w:t>
            </w:r>
            <w:r>
              <w:rPr>
                <w:rFonts w:hint="eastAsia"/>
                <w:sz w:val="21"/>
                <w:szCs w:val="21"/>
              </w:rPr>
              <w:t>08条款6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2" w:type="pct"/>
            <w:vAlign w:val="center"/>
          </w:tcPr>
          <w:p>
            <w:pPr>
              <w:tabs>
                <w:tab w:val="left" w:pos="2520"/>
              </w:tabs>
              <w:jc w:val="center"/>
              <w:rPr>
                <w:rFonts w:ascii="仿宋_GB2312" w:hAnsi="宋体"/>
                <w:color w:val="000000"/>
                <w:sz w:val="24"/>
              </w:rPr>
            </w:pPr>
            <w:r>
              <w:rPr>
                <w:rFonts w:ascii="仿宋_GB2312" w:hAnsi="宋体"/>
                <w:color w:val="000000"/>
                <w:sz w:val="24"/>
              </w:rPr>
              <w:t>3</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外部接线和内部接线</w:t>
            </w:r>
          </w:p>
        </w:tc>
        <w:tc>
          <w:tcPr>
            <w:tcW w:w="2389" w:type="pct"/>
            <w:vAlign w:val="center"/>
          </w:tcPr>
          <w:p>
            <w:pPr>
              <w:adjustRightInd w:val="0"/>
              <w:snapToGrid w:val="0"/>
              <w:spacing w:line="360" w:lineRule="exact"/>
              <w:jc w:val="center"/>
              <w:rPr>
                <w:sz w:val="21"/>
                <w:szCs w:val="21"/>
              </w:rPr>
            </w:pPr>
            <w:r>
              <w:rPr>
                <w:rFonts w:hint="eastAsia"/>
                <w:sz w:val="21"/>
                <w:szCs w:val="21"/>
              </w:rPr>
              <w:t>GB 7000.1-2015条款5</w:t>
            </w:r>
          </w:p>
          <w:p>
            <w:pPr>
              <w:adjustRightInd w:val="0"/>
              <w:snapToGrid w:val="0"/>
              <w:spacing w:line="360" w:lineRule="exact"/>
              <w:jc w:val="center"/>
              <w:rPr>
                <w:sz w:val="21"/>
                <w:szCs w:val="21"/>
              </w:rPr>
            </w:pPr>
            <w:r>
              <w:rPr>
                <w:sz w:val="21"/>
                <w:szCs w:val="21"/>
              </w:rPr>
              <w:t>GB 7000.</w:t>
            </w:r>
            <w:r>
              <w:rPr>
                <w:rFonts w:hint="eastAsia"/>
                <w:sz w:val="21"/>
                <w:szCs w:val="21"/>
              </w:rPr>
              <w:t>201</w:t>
            </w:r>
            <w:r>
              <w:rPr>
                <w:sz w:val="21"/>
                <w:szCs w:val="21"/>
              </w:rPr>
              <w:t>–20</w:t>
            </w:r>
            <w:r>
              <w:rPr>
                <w:rFonts w:hint="eastAsia"/>
                <w:sz w:val="21"/>
                <w:szCs w:val="21"/>
              </w:rPr>
              <w:t>08条款10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ascii="仿宋_GB2312" w:hAnsi="宋体"/>
                <w:color w:val="000000"/>
                <w:sz w:val="24"/>
              </w:rPr>
              <w:t>4</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接地规定</w:t>
            </w:r>
          </w:p>
        </w:tc>
        <w:tc>
          <w:tcPr>
            <w:tcW w:w="2389" w:type="pct"/>
            <w:vAlign w:val="center"/>
          </w:tcPr>
          <w:p>
            <w:pPr>
              <w:adjustRightInd w:val="0"/>
              <w:snapToGrid w:val="0"/>
              <w:spacing w:line="360" w:lineRule="exact"/>
              <w:jc w:val="center"/>
              <w:rPr>
                <w:sz w:val="21"/>
                <w:szCs w:val="21"/>
              </w:rPr>
            </w:pPr>
            <w:r>
              <w:rPr>
                <w:rFonts w:hint="eastAsia"/>
                <w:sz w:val="21"/>
                <w:szCs w:val="21"/>
              </w:rPr>
              <w:t>GB 7000.1-2015条款7</w:t>
            </w:r>
          </w:p>
          <w:p>
            <w:pPr>
              <w:adjustRightInd w:val="0"/>
              <w:snapToGrid w:val="0"/>
              <w:spacing w:line="360" w:lineRule="exact"/>
              <w:jc w:val="center"/>
              <w:rPr>
                <w:sz w:val="21"/>
                <w:szCs w:val="21"/>
              </w:rPr>
            </w:pPr>
            <w:r>
              <w:rPr>
                <w:sz w:val="21"/>
                <w:szCs w:val="21"/>
              </w:rPr>
              <w:t>GB 7000.</w:t>
            </w:r>
            <w:r>
              <w:rPr>
                <w:rFonts w:hint="eastAsia"/>
                <w:sz w:val="21"/>
                <w:szCs w:val="21"/>
              </w:rPr>
              <w:t>201</w:t>
            </w:r>
            <w:r>
              <w:rPr>
                <w:sz w:val="21"/>
                <w:szCs w:val="21"/>
              </w:rPr>
              <w:t>–20</w:t>
            </w:r>
            <w:r>
              <w:rPr>
                <w:rFonts w:hint="eastAsia"/>
                <w:sz w:val="21"/>
                <w:szCs w:val="21"/>
              </w:rPr>
              <w:t>08条款8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ascii="仿宋_GB2312" w:hAnsi="宋体"/>
                <w:color w:val="000000"/>
                <w:sz w:val="24"/>
              </w:rPr>
              <w:t>5</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防触电保护</w:t>
            </w:r>
          </w:p>
        </w:tc>
        <w:tc>
          <w:tcPr>
            <w:tcW w:w="2389" w:type="pct"/>
            <w:vAlign w:val="center"/>
          </w:tcPr>
          <w:p>
            <w:pPr>
              <w:adjustRightInd w:val="0"/>
              <w:snapToGrid w:val="0"/>
              <w:spacing w:line="360" w:lineRule="exact"/>
              <w:jc w:val="center"/>
              <w:rPr>
                <w:sz w:val="21"/>
                <w:szCs w:val="21"/>
              </w:rPr>
            </w:pPr>
            <w:r>
              <w:rPr>
                <w:rFonts w:hint="eastAsia"/>
                <w:sz w:val="21"/>
                <w:szCs w:val="21"/>
              </w:rPr>
              <w:t>GB 7000.1-2015条款8</w:t>
            </w:r>
          </w:p>
          <w:p>
            <w:pPr>
              <w:adjustRightInd w:val="0"/>
              <w:snapToGrid w:val="0"/>
              <w:spacing w:line="360" w:lineRule="exact"/>
              <w:jc w:val="center"/>
              <w:rPr>
                <w:sz w:val="21"/>
                <w:szCs w:val="21"/>
              </w:rPr>
            </w:pPr>
            <w:r>
              <w:rPr>
                <w:sz w:val="21"/>
                <w:szCs w:val="21"/>
              </w:rPr>
              <w:t>GB 7000.</w:t>
            </w:r>
            <w:r>
              <w:rPr>
                <w:rFonts w:hint="eastAsia"/>
                <w:sz w:val="21"/>
                <w:szCs w:val="21"/>
              </w:rPr>
              <w:t>201</w:t>
            </w:r>
            <w:r>
              <w:rPr>
                <w:sz w:val="21"/>
                <w:szCs w:val="21"/>
              </w:rPr>
              <w:t>–20</w:t>
            </w:r>
            <w:r>
              <w:rPr>
                <w:rFonts w:hint="eastAsia"/>
                <w:sz w:val="21"/>
                <w:szCs w:val="21"/>
              </w:rPr>
              <w:t>08条款11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ascii="仿宋_GB2312" w:hAnsi="宋体"/>
                <w:color w:val="000000"/>
                <w:sz w:val="24"/>
              </w:rPr>
              <w:t>6</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潮湿试验</w:t>
            </w:r>
          </w:p>
        </w:tc>
        <w:tc>
          <w:tcPr>
            <w:tcW w:w="2389" w:type="pct"/>
            <w:vAlign w:val="center"/>
          </w:tcPr>
          <w:p>
            <w:pPr>
              <w:adjustRightInd w:val="0"/>
              <w:snapToGrid w:val="0"/>
              <w:spacing w:line="360" w:lineRule="exact"/>
              <w:jc w:val="center"/>
              <w:rPr>
                <w:sz w:val="21"/>
                <w:szCs w:val="21"/>
              </w:rPr>
            </w:pPr>
            <w:r>
              <w:rPr>
                <w:rFonts w:hint="eastAsia"/>
                <w:sz w:val="21"/>
                <w:szCs w:val="21"/>
              </w:rPr>
              <w:t>GB 7000.1-2015条款9.3</w:t>
            </w:r>
          </w:p>
          <w:p>
            <w:pPr>
              <w:adjustRightInd w:val="0"/>
              <w:snapToGrid w:val="0"/>
              <w:spacing w:line="360" w:lineRule="exact"/>
              <w:jc w:val="center"/>
              <w:rPr>
                <w:sz w:val="21"/>
                <w:szCs w:val="21"/>
              </w:rPr>
            </w:pPr>
            <w:r>
              <w:rPr>
                <w:sz w:val="21"/>
                <w:szCs w:val="21"/>
              </w:rPr>
              <w:t>GB 7000.</w:t>
            </w:r>
            <w:r>
              <w:rPr>
                <w:rFonts w:hint="eastAsia"/>
                <w:sz w:val="21"/>
                <w:szCs w:val="21"/>
              </w:rPr>
              <w:t>201</w:t>
            </w:r>
            <w:r>
              <w:rPr>
                <w:sz w:val="21"/>
                <w:szCs w:val="21"/>
              </w:rPr>
              <w:t>–20</w:t>
            </w:r>
            <w:r>
              <w:rPr>
                <w:rFonts w:hint="eastAsia"/>
                <w:sz w:val="21"/>
                <w:szCs w:val="21"/>
              </w:rPr>
              <w:t>08条款13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2" w:type="pct"/>
            <w:vAlign w:val="center"/>
          </w:tcPr>
          <w:p>
            <w:pPr>
              <w:tabs>
                <w:tab w:val="left" w:pos="2520"/>
              </w:tabs>
              <w:jc w:val="center"/>
              <w:rPr>
                <w:rFonts w:ascii="仿宋_GB2312" w:hAnsi="宋体"/>
                <w:color w:val="000000"/>
                <w:sz w:val="24"/>
              </w:rPr>
            </w:pPr>
            <w:r>
              <w:rPr>
                <w:rFonts w:ascii="仿宋_GB2312" w:hAnsi="宋体"/>
                <w:color w:val="000000"/>
                <w:sz w:val="24"/>
              </w:rPr>
              <w:t>7</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绝缘电阻</w:t>
            </w:r>
          </w:p>
        </w:tc>
        <w:tc>
          <w:tcPr>
            <w:tcW w:w="2389" w:type="pct"/>
            <w:vAlign w:val="center"/>
          </w:tcPr>
          <w:p>
            <w:pPr>
              <w:adjustRightInd w:val="0"/>
              <w:snapToGrid w:val="0"/>
              <w:spacing w:line="360" w:lineRule="exact"/>
              <w:jc w:val="center"/>
              <w:rPr>
                <w:sz w:val="21"/>
                <w:szCs w:val="21"/>
              </w:rPr>
            </w:pPr>
            <w:r>
              <w:rPr>
                <w:rFonts w:hint="eastAsia"/>
                <w:sz w:val="21"/>
                <w:szCs w:val="21"/>
              </w:rPr>
              <w:t>GB 7000.1-2015条款10</w:t>
            </w:r>
          </w:p>
          <w:p>
            <w:pPr>
              <w:adjustRightInd w:val="0"/>
              <w:snapToGrid w:val="0"/>
              <w:spacing w:line="360" w:lineRule="exact"/>
              <w:jc w:val="center"/>
              <w:rPr>
                <w:sz w:val="21"/>
                <w:szCs w:val="21"/>
              </w:rPr>
            </w:pPr>
            <w:r>
              <w:rPr>
                <w:sz w:val="21"/>
                <w:szCs w:val="21"/>
              </w:rPr>
              <w:t>GB 7000.</w:t>
            </w:r>
            <w:r>
              <w:rPr>
                <w:rFonts w:hint="eastAsia"/>
                <w:sz w:val="21"/>
                <w:szCs w:val="21"/>
              </w:rPr>
              <w:t>201</w:t>
            </w:r>
            <w:r>
              <w:rPr>
                <w:sz w:val="21"/>
                <w:szCs w:val="21"/>
              </w:rPr>
              <w:t>–20</w:t>
            </w:r>
            <w:r>
              <w:rPr>
                <w:rFonts w:hint="eastAsia"/>
                <w:sz w:val="21"/>
                <w:szCs w:val="21"/>
              </w:rPr>
              <w:t>08条款14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ascii="仿宋_GB2312" w:hAnsi="宋体"/>
                <w:color w:val="000000"/>
                <w:sz w:val="24"/>
              </w:rPr>
              <w:t>8</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电气强度</w:t>
            </w:r>
          </w:p>
        </w:tc>
        <w:tc>
          <w:tcPr>
            <w:tcW w:w="2389" w:type="pct"/>
            <w:vAlign w:val="center"/>
          </w:tcPr>
          <w:p>
            <w:pPr>
              <w:adjustRightInd w:val="0"/>
              <w:snapToGrid w:val="0"/>
              <w:spacing w:line="360" w:lineRule="exact"/>
              <w:jc w:val="center"/>
              <w:rPr>
                <w:sz w:val="21"/>
                <w:szCs w:val="21"/>
              </w:rPr>
            </w:pPr>
            <w:r>
              <w:rPr>
                <w:rFonts w:hint="eastAsia"/>
                <w:sz w:val="21"/>
                <w:szCs w:val="21"/>
              </w:rPr>
              <w:t>GB 7000.1-2015条款10</w:t>
            </w:r>
          </w:p>
          <w:p>
            <w:pPr>
              <w:adjustRightInd w:val="0"/>
              <w:snapToGrid w:val="0"/>
              <w:spacing w:line="360" w:lineRule="exact"/>
              <w:jc w:val="center"/>
              <w:rPr>
                <w:sz w:val="21"/>
                <w:szCs w:val="21"/>
              </w:rPr>
            </w:pPr>
            <w:r>
              <w:rPr>
                <w:sz w:val="21"/>
                <w:szCs w:val="21"/>
              </w:rPr>
              <w:t>GB 7000.</w:t>
            </w:r>
            <w:r>
              <w:rPr>
                <w:rFonts w:hint="eastAsia"/>
                <w:sz w:val="21"/>
                <w:szCs w:val="21"/>
              </w:rPr>
              <w:t>201</w:t>
            </w:r>
            <w:r>
              <w:rPr>
                <w:sz w:val="21"/>
                <w:szCs w:val="21"/>
              </w:rPr>
              <w:t>–20</w:t>
            </w:r>
            <w:r>
              <w:rPr>
                <w:rFonts w:hint="eastAsia"/>
                <w:sz w:val="21"/>
                <w:szCs w:val="21"/>
              </w:rPr>
              <w:t>08条款14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hint="eastAsia" w:ascii="仿宋_GB2312" w:hAnsi="宋体"/>
                <w:color w:val="000000"/>
                <w:sz w:val="24"/>
              </w:rPr>
              <w:t>9</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泄漏电流</w:t>
            </w:r>
          </w:p>
        </w:tc>
        <w:tc>
          <w:tcPr>
            <w:tcW w:w="2389" w:type="pct"/>
            <w:vAlign w:val="center"/>
          </w:tcPr>
          <w:p>
            <w:pPr>
              <w:adjustRightInd w:val="0"/>
              <w:snapToGrid w:val="0"/>
              <w:spacing w:line="360" w:lineRule="exact"/>
              <w:jc w:val="center"/>
              <w:rPr>
                <w:sz w:val="21"/>
                <w:szCs w:val="21"/>
              </w:rPr>
            </w:pPr>
            <w:r>
              <w:rPr>
                <w:rFonts w:hint="eastAsia"/>
                <w:sz w:val="21"/>
                <w:szCs w:val="21"/>
              </w:rPr>
              <w:t>GB 7000.1-2015条款10</w:t>
            </w:r>
          </w:p>
          <w:p>
            <w:pPr>
              <w:adjustRightInd w:val="0"/>
              <w:snapToGrid w:val="0"/>
              <w:spacing w:line="360" w:lineRule="exact"/>
              <w:jc w:val="center"/>
              <w:rPr>
                <w:sz w:val="21"/>
                <w:szCs w:val="21"/>
              </w:rPr>
            </w:pPr>
            <w:r>
              <w:rPr>
                <w:sz w:val="21"/>
                <w:szCs w:val="21"/>
              </w:rPr>
              <w:t>GB 7000.</w:t>
            </w:r>
            <w:r>
              <w:rPr>
                <w:rFonts w:hint="eastAsia"/>
                <w:sz w:val="21"/>
                <w:szCs w:val="21"/>
              </w:rPr>
              <w:t>201</w:t>
            </w:r>
            <w:r>
              <w:rPr>
                <w:sz w:val="21"/>
                <w:szCs w:val="21"/>
              </w:rPr>
              <w:t>–20</w:t>
            </w:r>
            <w:r>
              <w:rPr>
                <w:rFonts w:hint="eastAsia"/>
                <w:sz w:val="21"/>
                <w:szCs w:val="21"/>
              </w:rPr>
              <w:t>08条款14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hint="eastAsia" w:ascii="仿宋_GB2312" w:hAnsi="宋体"/>
                <w:color w:val="000000"/>
                <w:sz w:val="24"/>
              </w:rPr>
              <w:t>10</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爬电距离和电气间隙</w:t>
            </w:r>
          </w:p>
        </w:tc>
        <w:tc>
          <w:tcPr>
            <w:tcW w:w="2389" w:type="pct"/>
            <w:vAlign w:val="center"/>
          </w:tcPr>
          <w:p>
            <w:pPr>
              <w:adjustRightInd w:val="0"/>
              <w:snapToGrid w:val="0"/>
              <w:spacing w:line="360" w:lineRule="exact"/>
              <w:jc w:val="center"/>
              <w:rPr>
                <w:sz w:val="21"/>
                <w:szCs w:val="21"/>
              </w:rPr>
            </w:pPr>
            <w:r>
              <w:rPr>
                <w:rFonts w:hint="eastAsia"/>
                <w:sz w:val="21"/>
                <w:szCs w:val="21"/>
              </w:rPr>
              <w:t>GB 7000.1-2015条款11</w:t>
            </w:r>
          </w:p>
          <w:p>
            <w:pPr>
              <w:adjustRightInd w:val="0"/>
              <w:snapToGrid w:val="0"/>
              <w:spacing w:line="360" w:lineRule="exact"/>
              <w:jc w:val="center"/>
              <w:rPr>
                <w:sz w:val="21"/>
                <w:szCs w:val="21"/>
              </w:rPr>
            </w:pPr>
            <w:r>
              <w:rPr>
                <w:sz w:val="21"/>
                <w:szCs w:val="21"/>
              </w:rPr>
              <w:t>GB 7000.</w:t>
            </w:r>
            <w:r>
              <w:rPr>
                <w:rFonts w:hint="eastAsia"/>
                <w:sz w:val="21"/>
                <w:szCs w:val="21"/>
              </w:rPr>
              <w:t>201</w:t>
            </w:r>
            <w:r>
              <w:rPr>
                <w:sz w:val="21"/>
                <w:szCs w:val="21"/>
              </w:rPr>
              <w:t>–20</w:t>
            </w:r>
            <w:r>
              <w:rPr>
                <w:rFonts w:hint="eastAsia"/>
                <w:sz w:val="21"/>
                <w:szCs w:val="21"/>
              </w:rPr>
              <w:t>08条款7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2" w:type="pct"/>
            <w:vAlign w:val="center"/>
          </w:tcPr>
          <w:p>
            <w:pPr>
              <w:tabs>
                <w:tab w:val="left" w:pos="2520"/>
              </w:tabs>
              <w:jc w:val="center"/>
              <w:rPr>
                <w:rFonts w:ascii="仿宋_GB2312" w:hAnsi="宋体"/>
                <w:color w:val="000000"/>
                <w:sz w:val="24"/>
              </w:rPr>
            </w:pPr>
            <w:r>
              <w:rPr>
                <w:rFonts w:hint="eastAsia" w:ascii="仿宋_GB2312" w:hAnsi="宋体"/>
                <w:color w:val="000000"/>
                <w:sz w:val="24"/>
              </w:rPr>
              <w:t>11</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骚扰电压</w:t>
            </w:r>
          </w:p>
        </w:tc>
        <w:tc>
          <w:tcPr>
            <w:tcW w:w="2389" w:type="pct"/>
            <w:vAlign w:val="center"/>
          </w:tcPr>
          <w:p>
            <w:pPr>
              <w:adjustRightInd w:val="0"/>
              <w:snapToGrid w:val="0"/>
              <w:spacing w:line="360" w:lineRule="exact"/>
              <w:jc w:val="center"/>
              <w:rPr>
                <w:sz w:val="21"/>
                <w:szCs w:val="21"/>
              </w:rPr>
            </w:pPr>
            <w:r>
              <w:rPr>
                <w:rFonts w:hint="eastAsia"/>
                <w:sz w:val="21"/>
                <w:szCs w:val="21"/>
              </w:rPr>
              <w:t>GB/T 17743-2021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hint="eastAsia" w:ascii="仿宋_GB2312" w:hAnsi="宋体"/>
                <w:color w:val="000000"/>
                <w:sz w:val="24"/>
              </w:rPr>
              <w:t>12</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辐射磁场骚扰</w:t>
            </w:r>
          </w:p>
        </w:tc>
        <w:tc>
          <w:tcPr>
            <w:tcW w:w="2389" w:type="pct"/>
            <w:vAlign w:val="center"/>
          </w:tcPr>
          <w:p>
            <w:pPr>
              <w:adjustRightInd w:val="0"/>
              <w:snapToGrid w:val="0"/>
              <w:spacing w:line="360" w:lineRule="exact"/>
              <w:jc w:val="center"/>
              <w:rPr>
                <w:sz w:val="21"/>
                <w:szCs w:val="21"/>
              </w:rPr>
            </w:pPr>
            <w:r>
              <w:rPr>
                <w:rFonts w:hint="eastAsia"/>
                <w:sz w:val="21"/>
                <w:szCs w:val="21"/>
              </w:rPr>
              <w:t>GB/T 17743-2021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hint="eastAsia" w:ascii="仿宋_GB2312" w:hAnsi="宋体"/>
                <w:color w:val="000000"/>
                <w:sz w:val="24"/>
              </w:rPr>
              <w:t>13</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辐射电磁骚扰</w:t>
            </w:r>
          </w:p>
        </w:tc>
        <w:tc>
          <w:tcPr>
            <w:tcW w:w="2389" w:type="pct"/>
            <w:vAlign w:val="center"/>
          </w:tcPr>
          <w:p>
            <w:pPr>
              <w:adjustRightInd w:val="0"/>
              <w:snapToGrid w:val="0"/>
              <w:spacing w:line="360" w:lineRule="exact"/>
              <w:jc w:val="center"/>
              <w:rPr>
                <w:sz w:val="21"/>
                <w:szCs w:val="21"/>
              </w:rPr>
            </w:pPr>
            <w:r>
              <w:rPr>
                <w:rFonts w:hint="eastAsia"/>
                <w:sz w:val="21"/>
                <w:szCs w:val="21"/>
              </w:rPr>
              <w:t>GB/T 17743-2021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pct"/>
            <w:vAlign w:val="center"/>
          </w:tcPr>
          <w:p>
            <w:pPr>
              <w:tabs>
                <w:tab w:val="left" w:pos="2520"/>
              </w:tabs>
              <w:jc w:val="center"/>
              <w:rPr>
                <w:rFonts w:ascii="仿宋_GB2312" w:hAnsi="宋体"/>
                <w:color w:val="000000"/>
                <w:sz w:val="24"/>
              </w:rPr>
            </w:pPr>
            <w:r>
              <w:rPr>
                <w:rFonts w:hint="eastAsia" w:ascii="仿宋_GB2312" w:hAnsi="宋体"/>
                <w:color w:val="000000"/>
                <w:sz w:val="24"/>
              </w:rPr>
              <w:t>14</w:t>
            </w:r>
          </w:p>
        </w:tc>
        <w:tc>
          <w:tcPr>
            <w:tcW w:w="2159" w:type="pct"/>
            <w:vAlign w:val="center"/>
          </w:tcPr>
          <w:p>
            <w:pPr>
              <w:snapToGrid w:val="0"/>
              <w:spacing w:line="440" w:lineRule="exact"/>
              <w:jc w:val="center"/>
              <w:rPr>
                <w:rFonts w:eastAsia="宋体"/>
                <w:color w:val="000000"/>
                <w:sz w:val="21"/>
                <w:szCs w:val="21"/>
              </w:rPr>
            </w:pPr>
            <w:r>
              <w:rPr>
                <w:rFonts w:hint="eastAsia" w:eastAsia="宋体"/>
                <w:color w:val="000000"/>
                <w:sz w:val="21"/>
                <w:szCs w:val="21"/>
              </w:rPr>
              <w:t>谐波电流发射</w:t>
            </w:r>
          </w:p>
        </w:tc>
        <w:tc>
          <w:tcPr>
            <w:tcW w:w="2389" w:type="pct"/>
            <w:vAlign w:val="center"/>
          </w:tcPr>
          <w:p>
            <w:pPr>
              <w:adjustRightInd w:val="0"/>
              <w:snapToGrid w:val="0"/>
              <w:spacing w:line="360" w:lineRule="exact"/>
              <w:jc w:val="center"/>
              <w:rPr>
                <w:sz w:val="21"/>
                <w:szCs w:val="21"/>
              </w:rPr>
            </w:pPr>
            <w:r>
              <w:rPr>
                <w:rFonts w:hint="eastAsia"/>
                <w:sz w:val="21"/>
                <w:szCs w:val="21"/>
              </w:rPr>
              <w:t>GB 17625.1-2012</w:t>
            </w:r>
          </w:p>
        </w:tc>
      </w:tr>
    </w:tbl>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黑体" w:hAnsi="黑体" w:eastAsia="黑体" w:cs="黑体"/>
          <w:color w:val="000000"/>
          <w:sz w:val="28"/>
          <w:szCs w:val="28"/>
        </w:rPr>
      </w:pPr>
      <w:r>
        <w:rPr>
          <w:rFonts w:hint="eastAsia" w:ascii="黑体" w:hAnsi="黑体" w:eastAsia="黑体" w:cs="黑体"/>
          <w:color w:val="000000"/>
          <w:sz w:val="28"/>
          <w:szCs w:val="28"/>
          <w:lang w:eastAsia="zh-CN"/>
        </w:rPr>
        <w:t>三、</w:t>
      </w:r>
      <w:r>
        <w:rPr>
          <w:rFonts w:hint="eastAsia" w:ascii="黑体" w:hAnsi="黑体" w:eastAsia="黑体" w:cs="黑体"/>
          <w:color w:val="000000"/>
          <w:sz w:val="28"/>
          <w:szCs w:val="28"/>
        </w:rPr>
        <w:t>判定规则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（一）依据标准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1.强制性标准: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 7000.1—2015《灯具 第1部分：一般要求与试验》</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 7000.201—2008《灯具 第2-1部分：特殊要求 固定式通用灯具》</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 17625.1-2012《电磁兼容 限值 谐波电流发射限值(设备每相输入电流≤16A)》</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2.推荐性标准: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17743-2021 《电气照明和类似设备的无线电骚扰特性的限值和测量方法》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（二）判定原则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eastAsia="宋体"/>
          <w:color w:val="000000"/>
          <w:sz w:val="21"/>
          <w:szCs w:val="21"/>
        </w:rPr>
      </w:pPr>
      <w:r>
        <w:rPr>
          <w:rFonts w:hint="eastAsia" w:ascii="仿宋" w:hAnsi="仿宋" w:eastAsia="仿宋" w:cs="仿宋"/>
          <w:color w:val="000000"/>
          <w:sz w:val="28"/>
          <w:szCs w:val="28"/>
        </w:rPr>
        <w:t>若被检产品明示的质量要求缺少本细则中检验项目依据的推荐性标准要求时，该项目不参与判定。</w:t>
      </w:r>
      <w:bookmarkStart w:id="0" w:name="_GoBack"/>
      <w:bookmarkEnd w:id="0"/>
    </w:p>
    <w:sectPr>
      <w:headerReference r:id="rId3" w:type="default"/>
      <w:headerReference r:id="rId4" w:type="even"/>
      <w:pgSz w:w="11906" w:h="16838"/>
      <w:pgMar w:top="1587" w:right="1417" w:bottom="1587" w:left="141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5539"/>
    <w:rsid w:val="000360CA"/>
    <w:rsid w:val="00044431"/>
    <w:rsid w:val="00046227"/>
    <w:rsid w:val="000512B6"/>
    <w:rsid w:val="00064623"/>
    <w:rsid w:val="00065C58"/>
    <w:rsid w:val="0006663D"/>
    <w:rsid w:val="00067B88"/>
    <w:rsid w:val="000713FD"/>
    <w:rsid w:val="00074B58"/>
    <w:rsid w:val="00076BE3"/>
    <w:rsid w:val="00077169"/>
    <w:rsid w:val="0008148B"/>
    <w:rsid w:val="0008298B"/>
    <w:rsid w:val="00083A5C"/>
    <w:rsid w:val="00086BB7"/>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3144"/>
    <w:rsid w:val="00104BE7"/>
    <w:rsid w:val="001109E2"/>
    <w:rsid w:val="00113A36"/>
    <w:rsid w:val="001162B5"/>
    <w:rsid w:val="00132F01"/>
    <w:rsid w:val="0013531B"/>
    <w:rsid w:val="00140E48"/>
    <w:rsid w:val="00142CE7"/>
    <w:rsid w:val="00154109"/>
    <w:rsid w:val="001625EA"/>
    <w:rsid w:val="00165386"/>
    <w:rsid w:val="00165F2E"/>
    <w:rsid w:val="001702BA"/>
    <w:rsid w:val="00173D51"/>
    <w:rsid w:val="0017504F"/>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6"/>
    <w:rsid w:val="001E3304"/>
    <w:rsid w:val="001F6AB3"/>
    <w:rsid w:val="00201951"/>
    <w:rsid w:val="00201EA6"/>
    <w:rsid w:val="00204C03"/>
    <w:rsid w:val="00205495"/>
    <w:rsid w:val="00207DF9"/>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960"/>
    <w:rsid w:val="00286FB1"/>
    <w:rsid w:val="00287DE5"/>
    <w:rsid w:val="00290DFC"/>
    <w:rsid w:val="00291A9D"/>
    <w:rsid w:val="002956E4"/>
    <w:rsid w:val="00296A48"/>
    <w:rsid w:val="002A1FE1"/>
    <w:rsid w:val="002A3B02"/>
    <w:rsid w:val="002A4BD1"/>
    <w:rsid w:val="002A5256"/>
    <w:rsid w:val="002A6E37"/>
    <w:rsid w:val="002B00B2"/>
    <w:rsid w:val="002B05A1"/>
    <w:rsid w:val="002B1A6E"/>
    <w:rsid w:val="002B471F"/>
    <w:rsid w:val="002B68E9"/>
    <w:rsid w:val="002B7EE8"/>
    <w:rsid w:val="002C0A11"/>
    <w:rsid w:val="002C279B"/>
    <w:rsid w:val="002C5697"/>
    <w:rsid w:val="002C5902"/>
    <w:rsid w:val="002C6F5A"/>
    <w:rsid w:val="002D145E"/>
    <w:rsid w:val="002D3092"/>
    <w:rsid w:val="002D4A4A"/>
    <w:rsid w:val="002D797E"/>
    <w:rsid w:val="002F00EC"/>
    <w:rsid w:val="002F327D"/>
    <w:rsid w:val="002F5E35"/>
    <w:rsid w:val="00302710"/>
    <w:rsid w:val="003052D5"/>
    <w:rsid w:val="003056E2"/>
    <w:rsid w:val="003129BF"/>
    <w:rsid w:val="00317122"/>
    <w:rsid w:val="003241A0"/>
    <w:rsid w:val="00324DC2"/>
    <w:rsid w:val="003257CC"/>
    <w:rsid w:val="00331E2F"/>
    <w:rsid w:val="00342025"/>
    <w:rsid w:val="00342B64"/>
    <w:rsid w:val="00347461"/>
    <w:rsid w:val="00352CEF"/>
    <w:rsid w:val="00357BCA"/>
    <w:rsid w:val="00360DB7"/>
    <w:rsid w:val="003622FD"/>
    <w:rsid w:val="003644FC"/>
    <w:rsid w:val="00366551"/>
    <w:rsid w:val="0037507C"/>
    <w:rsid w:val="00380581"/>
    <w:rsid w:val="00380FB0"/>
    <w:rsid w:val="0038150B"/>
    <w:rsid w:val="00386BB5"/>
    <w:rsid w:val="00386C07"/>
    <w:rsid w:val="003901D9"/>
    <w:rsid w:val="00395AF4"/>
    <w:rsid w:val="003A4317"/>
    <w:rsid w:val="003A4562"/>
    <w:rsid w:val="003A4890"/>
    <w:rsid w:val="003A7AD5"/>
    <w:rsid w:val="003B0BCA"/>
    <w:rsid w:val="003B5B19"/>
    <w:rsid w:val="003C36E5"/>
    <w:rsid w:val="003C4963"/>
    <w:rsid w:val="003C5337"/>
    <w:rsid w:val="003D2B00"/>
    <w:rsid w:val="003D372D"/>
    <w:rsid w:val="003E35EF"/>
    <w:rsid w:val="003E4858"/>
    <w:rsid w:val="003F0535"/>
    <w:rsid w:val="003F39F5"/>
    <w:rsid w:val="00411367"/>
    <w:rsid w:val="004144DA"/>
    <w:rsid w:val="004149B5"/>
    <w:rsid w:val="00423F5A"/>
    <w:rsid w:val="00431EDB"/>
    <w:rsid w:val="0044553D"/>
    <w:rsid w:val="004464C0"/>
    <w:rsid w:val="00463941"/>
    <w:rsid w:val="004649FC"/>
    <w:rsid w:val="004769BA"/>
    <w:rsid w:val="00485CC8"/>
    <w:rsid w:val="0049367C"/>
    <w:rsid w:val="004A41A4"/>
    <w:rsid w:val="004B4015"/>
    <w:rsid w:val="004B413A"/>
    <w:rsid w:val="004B77AF"/>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534EA"/>
    <w:rsid w:val="00556D74"/>
    <w:rsid w:val="00557E74"/>
    <w:rsid w:val="00563B3E"/>
    <w:rsid w:val="005738E3"/>
    <w:rsid w:val="00577637"/>
    <w:rsid w:val="00581F68"/>
    <w:rsid w:val="0058395D"/>
    <w:rsid w:val="00585910"/>
    <w:rsid w:val="00586713"/>
    <w:rsid w:val="00586E4E"/>
    <w:rsid w:val="005B059F"/>
    <w:rsid w:val="005B3F63"/>
    <w:rsid w:val="005B5CAB"/>
    <w:rsid w:val="005B6988"/>
    <w:rsid w:val="005D07E0"/>
    <w:rsid w:val="005D2F56"/>
    <w:rsid w:val="005D477F"/>
    <w:rsid w:val="005E7D31"/>
    <w:rsid w:val="005F1BC4"/>
    <w:rsid w:val="005F2819"/>
    <w:rsid w:val="005F557E"/>
    <w:rsid w:val="00600456"/>
    <w:rsid w:val="00600D18"/>
    <w:rsid w:val="0060154F"/>
    <w:rsid w:val="006023D8"/>
    <w:rsid w:val="00605E07"/>
    <w:rsid w:val="0061787D"/>
    <w:rsid w:val="00620653"/>
    <w:rsid w:val="00621ED2"/>
    <w:rsid w:val="00621F02"/>
    <w:rsid w:val="00624299"/>
    <w:rsid w:val="0063211C"/>
    <w:rsid w:val="00632A88"/>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4C0C"/>
    <w:rsid w:val="006A5EFA"/>
    <w:rsid w:val="006B4B4B"/>
    <w:rsid w:val="006C3911"/>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37057"/>
    <w:rsid w:val="007377E0"/>
    <w:rsid w:val="00756E05"/>
    <w:rsid w:val="00756F96"/>
    <w:rsid w:val="007661C9"/>
    <w:rsid w:val="00770D38"/>
    <w:rsid w:val="007724F8"/>
    <w:rsid w:val="00774C67"/>
    <w:rsid w:val="007812D2"/>
    <w:rsid w:val="00782023"/>
    <w:rsid w:val="007843C5"/>
    <w:rsid w:val="0079793F"/>
    <w:rsid w:val="007A6986"/>
    <w:rsid w:val="007B32AD"/>
    <w:rsid w:val="007B49F9"/>
    <w:rsid w:val="007C25A6"/>
    <w:rsid w:val="007D0CE8"/>
    <w:rsid w:val="007D1D7A"/>
    <w:rsid w:val="007D31FA"/>
    <w:rsid w:val="007D60E0"/>
    <w:rsid w:val="007E195F"/>
    <w:rsid w:val="007E49AA"/>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4791"/>
    <w:rsid w:val="00885A76"/>
    <w:rsid w:val="00886933"/>
    <w:rsid w:val="00887753"/>
    <w:rsid w:val="00892B4D"/>
    <w:rsid w:val="00896CD5"/>
    <w:rsid w:val="008A09FC"/>
    <w:rsid w:val="008A6916"/>
    <w:rsid w:val="008A6E54"/>
    <w:rsid w:val="008A7590"/>
    <w:rsid w:val="008B221B"/>
    <w:rsid w:val="008B6593"/>
    <w:rsid w:val="008D124E"/>
    <w:rsid w:val="008E186E"/>
    <w:rsid w:val="008E3FF9"/>
    <w:rsid w:val="008E4F06"/>
    <w:rsid w:val="008F1222"/>
    <w:rsid w:val="008F254E"/>
    <w:rsid w:val="008F36D4"/>
    <w:rsid w:val="008F491E"/>
    <w:rsid w:val="00902A3F"/>
    <w:rsid w:val="00911A6E"/>
    <w:rsid w:val="00914E3C"/>
    <w:rsid w:val="00920A99"/>
    <w:rsid w:val="00920CB6"/>
    <w:rsid w:val="00922E5B"/>
    <w:rsid w:val="00931A75"/>
    <w:rsid w:val="00937A2F"/>
    <w:rsid w:val="00947765"/>
    <w:rsid w:val="00947BFE"/>
    <w:rsid w:val="0095010E"/>
    <w:rsid w:val="00955073"/>
    <w:rsid w:val="009559DC"/>
    <w:rsid w:val="00956D35"/>
    <w:rsid w:val="009607EC"/>
    <w:rsid w:val="009636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2963"/>
    <w:rsid w:val="009D7475"/>
    <w:rsid w:val="009E1B61"/>
    <w:rsid w:val="009F0456"/>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ECE"/>
    <w:rsid w:val="00A80EA2"/>
    <w:rsid w:val="00A85FFB"/>
    <w:rsid w:val="00A90A7A"/>
    <w:rsid w:val="00A95BFB"/>
    <w:rsid w:val="00A966D3"/>
    <w:rsid w:val="00AA3349"/>
    <w:rsid w:val="00AA3658"/>
    <w:rsid w:val="00AB100C"/>
    <w:rsid w:val="00AB3B0B"/>
    <w:rsid w:val="00AB5E64"/>
    <w:rsid w:val="00AB7747"/>
    <w:rsid w:val="00AC5A64"/>
    <w:rsid w:val="00AC68FE"/>
    <w:rsid w:val="00AE26C3"/>
    <w:rsid w:val="00AE3F2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674B"/>
    <w:rsid w:val="00B37C56"/>
    <w:rsid w:val="00B414E2"/>
    <w:rsid w:val="00B44330"/>
    <w:rsid w:val="00B521B9"/>
    <w:rsid w:val="00B53A0C"/>
    <w:rsid w:val="00B567EB"/>
    <w:rsid w:val="00B67AB6"/>
    <w:rsid w:val="00B70A5B"/>
    <w:rsid w:val="00B72EF2"/>
    <w:rsid w:val="00B8124B"/>
    <w:rsid w:val="00B85AEB"/>
    <w:rsid w:val="00B95B81"/>
    <w:rsid w:val="00B95F5C"/>
    <w:rsid w:val="00BA3DCB"/>
    <w:rsid w:val="00BA44B8"/>
    <w:rsid w:val="00BA5339"/>
    <w:rsid w:val="00BB1D85"/>
    <w:rsid w:val="00BB4BF5"/>
    <w:rsid w:val="00BC333C"/>
    <w:rsid w:val="00BC351D"/>
    <w:rsid w:val="00BD0C33"/>
    <w:rsid w:val="00BD12B3"/>
    <w:rsid w:val="00BE37F9"/>
    <w:rsid w:val="00BE3BFF"/>
    <w:rsid w:val="00BF1659"/>
    <w:rsid w:val="00BF5AFA"/>
    <w:rsid w:val="00BF6F63"/>
    <w:rsid w:val="00C00D3B"/>
    <w:rsid w:val="00C151F9"/>
    <w:rsid w:val="00C15E43"/>
    <w:rsid w:val="00C177D8"/>
    <w:rsid w:val="00C30285"/>
    <w:rsid w:val="00C32758"/>
    <w:rsid w:val="00C34272"/>
    <w:rsid w:val="00C361F9"/>
    <w:rsid w:val="00C375C6"/>
    <w:rsid w:val="00C379CB"/>
    <w:rsid w:val="00C40197"/>
    <w:rsid w:val="00C44F55"/>
    <w:rsid w:val="00C45077"/>
    <w:rsid w:val="00C46E69"/>
    <w:rsid w:val="00C5029C"/>
    <w:rsid w:val="00C51542"/>
    <w:rsid w:val="00C52055"/>
    <w:rsid w:val="00C527FB"/>
    <w:rsid w:val="00C60628"/>
    <w:rsid w:val="00C6448B"/>
    <w:rsid w:val="00C64778"/>
    <w:rsid w:val="00C6597D"/>
    <w:rsid w:val="00C65A28"/>
    <w:rsid w:val="00C65AD9"/>
    <w:rsid w:val="00C70629"/>
    <w:rsid w:val="00C83498"/>
    <w:rsid w:val="00C92A28"/>
    <w:rsid w:val="00C93ACF"/>
    <w:rsid w:val="00C950EE"/>
    <w:rsid w:val="00CA1718"/>
    <w:rsid w:val="00CA425B"/>
    <w:rsid w:val="00CA61B5"/>
    <w:rsid w:val="00CB1C07"/>
    <w:rsid w:val="00CC5C02"/>
    <w:rsid w:val="00CC78CE"/>
    <w:rsid w:val="00CD6080"/>
    <w:rsid w:val="00CD6B1C"/>
    <w:rsid w:val="00CD7BCE"/>
    <w:rsid w:val="00CE2578"/>
    <w:rsid w:val="00CE6144"/>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1580"/>
    <w:rsid w:val="00D73832"/>
    <w:rsid w:val="00D73C5A"/>
    <w:rsid w:val="00D74CBB"/>
    <w:rsid w:val="00D816C0"/>
    <w:rsid w:val="00D81F12"/>
    <w:rsid w:val="00D82536"/>
    <w:rsid w:val="00D83757"/>
    <w:rsid w:val="00D84E74"/>
    <w:rsid w:val="00D90990"/>
    <w:rsid w:val="00DA01D3"/>
    <w:rsid w:val="00DA5D53"/>
    <w:rsid w:val="00DB039F"/>
    <w:rsid w:val="00DB70E0"/>
    <w:rsid w:val="00DC1653"/>
    <w:rsid w:val="00DC6B8E"/>
    <w:rsid w:val="00DD257D"/>
    <w:rsid w:val="00DE0E99"/>
    <w:rsid w:val="00DE465B"/>
    <w:rsid w:val="00DF10F1"/>
    <w:rsid w:val="00DF29CA"/>
    <w:rsid w:val="00DF7E42"/>
    <w:rsid w:val="00E0001B"/>
    <w:rsid w:val="00E045F0"/>
    <w:rsid w:val="00E050EB"/>
    <w:rsid w:val="00E0702D"/>
    <w:rsid w:val="00E12646"/>
    <w:rsid w:val="00E130C9"/>
    <w:rsid w:val="00E15FC0"/>
    <w:rsid w:val="00E17AF0"/>
    <w:rsid w:val="00E21499"/>
    <w:rsid w:val="00E224AE"/>
    <w:rsid w:val="00E2520D"/>
    <w:rsid w:val="00E27235"/>
    <w:rsid w:val="00E316E7"/>
    <w:rsid w:val="00E41E6B"/>
    <w:rsid w:val="00E43544"/>
    <w:rsid w:val="00E44C75"/>
    <w:rsid w:val="00E454F0"/>
    <w:rsid w:val="00E55F0E"/>
    <w:rsid w:val="00E56533"/>
    <w:rsid w:val="00E5688B"/>
    <w:rsid w:val="00E62ECC"/>
    <w:rsid w:val="00E66BD9"/>
    <w:rsid w:val="00E70A02"/>
    <w:rsid w:val="00E7643F"/>
    <w:rsid w:val="00E83E15"/>
    <w:rsid w:val="00E85157"/>
    <w:rsid w:val="00E86DCD"/>
    <w:rsid w:val="00E94934"/>
    <w:rsid w:val="00E971ED"/>
    <w:rsid w:val="00EA119B"/>
    <w:rsid w:val="00EA634B"/>
    <w:rsid w:val="00EA6648"/>
    <w:rsid w:val="00EA72E6"/>
    <w:rsid w:val="00EB2F28"/>
    <w:rsid w:val="00EB363F"/>
    <w:rsid w:val="00EB53D1"/>
    <w:rsid w:val="00EC3744"/>
    <w:rsid w:val="00EC7EC5"/>
    <w:rsid w:val="00ED00B7"/>
    <w:rsid w:val="00ED44D6"/>
    <w:rsid w:val="00ED57DB"/>
    <w:rsid w:val="00ED62FC"/>
    <w:rsid w:val="00ED63FA"/>
    <w:rsid w:val="00ED6E95"/>
    <w:rsid w:val="00EF1589"/>
    <w:rsid w:val="00EF2163"/>
    <w:rsid w:val="00EF2603"/>
    <w:rsid w:val="00EF3226"/>
    <w:rsid w:val="00F00FE3"/>
    <w:rsid w:val="00F12796"/>
    <w:rsid w:val="00F12AC2"/>
    <w:rsid w:val="00F15589"/>
    <w:rsid w:val="00F16768"/>
    <w:rsid w:val="00F24F8E"/>
    <w:rsid w:val="00F252CD"/>
    <w:rsid w:val="00F25E54"/>
    <w:rsid w:val="00F27C96"/>
    <w:rsid w:val="00F32F82"/>
    <w:rsid w:val="00F35380"/>
    <w:rsid w:val="00F45D5F"/>
    <w:rsid w:val="00F55149"/>
    <w:rsid w:val="00F558CD"/>
    <w:rsid w:val="00F6345C"/>
    <w:rsid w:val="00F63535"/>
    <w:rsid w:val="00F63F44"/>
    <w:rsid w:val="00F67B96"/>
    <w:rsid w:val="00F775C9"/>
    <w:rsid w:val="00F823C1"/>
    <w:rsid w:val="00F827E5"/>
    <w:rsid w:val="00F87178"/>
    <w:rsid w:val="00F87A27"/>
    <w:rsid w:val="00FA18C7"/>
    <w:rsid w:val="00FA3326"/>
    <w:rsid w:val="00FA4329"/>
    <w:rsid w:val="00FA5D05"/>
    <w:rsid w:val="00FB2698"/>
    <w:rsid w:val="00FB466B"/>
    <w:rsid w:val="00FC0BE1"/>
    <w:rsid w:val="00FC4942"/>
    <w:rsid w:val="00FD6C34"/>
    <w:rsid w:val="00FE3526"/>
    <w:rsid w:val="00FE4741"/>
    <w:rsid w:val="00FF317F"/>
    <w:rsid w:val="00FF59F8"/>
    <w:rsid w:val="1FFF04C6"/>
    <w:rsid w:val="2FEE09C5"/>
    <w:rsid w:val="451E01B6"/>
    <w:rsid w:val="7B7E8E8E"/>
    <w:rsid w:val="7DA4E309"/>
    <w:rsid w:val="B3BB070E"/>
    <w:rsid w:val="BCD77056"/>
    <w:rsid w:val="BF652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paragraph" w:customStyle="1" w:styleId="9">
    <w:name w:val="p0"/>
    <w:basedOn w:val="1"/>
    <w:qFormat/>
    <w:uiPriority w:val="0"/>
    <w:pPr>
      <w:widowControl/>
    </w:pPr>
    <w:rPr>
      <w:kern w:val="0"/>
      <w:sz w:val="30"/>
      <w:szCs w:val="21"/>
    </w:rPr>
  </w:style>
  <w:style w:type="paragraph" w:customStyle="1" w:styleId="10">
    <w:name w:val="纯文本1"/>
    <w:basedOn w:val="1"/>
    <w:qFormat/>
    <w:uiPriority w:val="0"/>
    <w:pPr>
      <w:adjustRightInd w:val="0"/>
    </w:pPr>
    <w:rPr>
      <w:rFonts w:hint="eastAsia" w:ascii="宋体" w:eastAsia="宋体"/>
      <w:kern w:val="0"/>
      <w:sz w:val="21"/>
      <w:szCs w:val="20"/>
    </w:rPr>
  </w:style>
  <w:style w:type="paragraph" w:customStyle="1" w:styleId="11">
    <w:name w:val="(文字) (文字)1 Char (文字) (文字) Char"/>
    <w:basedOn w:val="1"/>
    <w:qFormat/>
    <w:uiPriority w:val="0"/>
    <w:pPr>
      <w:adjustRightInd w:val="0"/>
      <w:spacing w:line="360" w:lineRule="auto"/>
    </w:pPr>
    <w:rPr>
      <w:rFonts w:eastAsia="宋体"/>
      <w:kern w:val="0"/>
      <w:sz w:val="24"/>
      <w:szCs w:val="20"/>
    </w:rPr>
  </w:style>
  <w:style w:type="paragraph" w:customStyle="1" w:styleId="12">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Pages>
  <Words>235</Words>
  <Characters>1346</Characters>
  <Lines>11</Lines>
  <Paragraphs>3</Paragraphs>
  <TotalTime>1</TotalTime>
  <ScaleCrop>false</ScaleCrop>
  <LinksUpToDate>false</LinksUpToDate>
  <CharactersWithSpaces>1578</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2024-06-18T19:13:00Z</dcterms:created>
  <dc:creator>微软用户</dc:creator>
  <cp:lastModifiedBy>admin1</cp:lastModifiedBy>
  <dcterms:modified xsi:type="dcterms:W3CDTF">2025-04-22T14:34:51Z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411EDB1CD22A499FBB00D4F312E379A8</vt:lpwstr>
  </property>
</Properties>
</file>