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8" w:lineRule="exact"/>
        <w:jc w:val="center"/>
        <w:rPr>
          <w:rFonts w:eastAsia="方正小标宋简体"/>
          <w:color w:val="000000"/>
          <w:sz w:val="36"/>
          <w:szCs w:val="36"/>
        </w:rPr>
      </w:pPr>
      <w:r>
        <w:rPr>
          <w:rFonts w:hint="eastAsia" w:eastAsia="方正小标宋简体"/>
          <w:color w:val="000000"/>
          <w:sz w:val="36"/>
          <w:szCs w:val="36"/>
        </w:rPr>
        <w:t>卫生巾（护垫）产品质量监督抽查实施细则</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Times New Roman" w:hAnsi="Times New Roman" w:cs="Times New Roman"/>
        </w:rPr>
      </w:pPr>
      <w:bookmarkStart w:id="0" w:name="_GoBack"/>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年版）</w:t>
      </w:r>
    </w:p>
    <w:bookmarkEnd w:id="0"/>
    <w:p>
      <w:pPr>
        <w:spacing w:line="578" w:lineRule="exact"/>
        <w:rPr>
          <w:rFonts w:eastAsia="黑体" w:cs="黑体"/>
          <w:color w:val="000000"/>
          <w:szCs w:val="32"/>
        </w:rPr>
      </w:pP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黑体" w:hAnsi="黑体" w:eastAsia="黑体" w:cs="黑体"/>
          <w:color w:val="000000"/>
          <w:sz w:val="28"/>
          <w:szCs w:val="28"/>
        </w:rPr>
      </w:pPr>
      <w:r>
        <w:rPr>
          <w:rFonts w:hint="eastAsia" w:ascii="黑体" w:hAnsi="黑体" w:eastAsia="黑体" w:cs="黑体"/>
          <w:color w:val="000000"/>
          <w:sz w:val="28"/>
          <w:szCs w:val="28"/>
          <w:lang w:eastAsia="zh-CN"/>
        </w:rPr>
        <w:t>一、</w:t>
      </w:r>
      <w:r>
        <w:rPr>
          <w:rFonts w:hint="eastAsia" w:ascii="黑体" w:hAnsi="黑体" w:eastAsia="黑体" w:cs="黑体"/>
          <w:color w:val="000000"/>
          <w:sz w:val="28"/>
          <w:szCs w:val="28"/>
        </w:rPr>
        <w:t>抽样方法</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以随机抽样的方式在被抽样生产者、销售者的待销产品中抽取。</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随机数一般可使用随机数表等方法产生。</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每批次抽取样品6包，其中3包作为检验样品，3包作为备用样品。</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eastAsia="宋体"/>
          <w:color w:val="000000"/>
          <w:sz w:val="21"/>
          <w:szCs w:val="21"/>
        </w:rPr>
      </w:pPr>
      <w:r>
        <w:rPr>
          <w:rFonts w:hint="eastAsia" w:ascii="黑体" w:hAnsi="黑体" w:eastAsia="黑体" w:cs="黑体"/>
          <w:color w:val="000000"/>
          <w:sz w:val="28"/>
          <w:szCs w:val="28"/>
          <w:lang w:eastAsia="zh-CN"/>
        </w:rPr>
        <w:t>二、检验依据</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3969"/>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序号</w:t>
            </w:r>
          </w:p>
        </w:tc>
        <w:tc>
          <w:tcPr>
            <w:tcW w:w="3969" w:type="dxa"/>
            <w:vAlign w:val="center"/>
          </w:tcPr>
          <w:p>
            <w:pPr>
              <w:snapToGrid w:val="0"/>
              <w:spacing w:line="440" w:lineRule="exact"/>
              <w:jc w:val="center"/>
              <w:rPr>
                <w:rFonts w:eastAsia="宋体"/>
                <w:color w:val="000000"/>
                <w:sz w:val="21"/>
                <w:szCs w:val="21"/>
              </w:rPr>
            </w:pPr>
            <w:r>
              <w:rPr>
                <w:rFonts w:eastAsia="宋体"/>
                <w:color w:val="000000"/>
                <w:sz w:val="21"/>
                <w:szCs w:val="21"/>
              </w:rPr>
              <w:t>检验项目</w:t>
            </w:r>
          </w:p>
        </w:tc>
        <w:tc>
          <w:tcPr>
            <w:tcW w:w="3828" w:type="dxa"/>
            <w:vAlign w:val="center"/>
          </w:tcPr>
          <w:p>
            <w:pPr>
              <w:snapToGrid w:val="0"/>
              <w:spacing w:line="440" w:lineRule="exact"/>
              <w:jc w:val="center"/>
              <w:rPr>
                <w:rFonts w:eastAsia="宋体"/>
                <w:color w:val="000000"/>
                <w:sz w:val="21"/>
                <w:szCs w:val="21"/>
              </w:rPr>
            </w:pPr>
            <w:r>
              <w:rPr>
                <w:rFonts w:eastAsia="宋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eastAsia="宋体"/>
                <w:color w:val="000000"/>
                <w:sz w:val="21"/>
                <w:szCs w:val="21"/>
              </w:rPr>
              <w:t>1</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细菌菌落总数</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2</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致病性化脓菌（绿脓杆菌、金黄色葡萄球菌、溶血性链球菌）</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3</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大肠菌群</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4</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真菌菌落总数</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 15979-2002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5</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pH值</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6</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吸水倍率</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7</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可迁移性荧光物质</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8</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甲醛含量</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9</w:t>
            </w:r>
          </w:p>
        </w:tc>
        <w:tc>
          <w:tcPr>
            <w:tcW w:w="3969"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偏差</w:t>
            </w:r>
          </w:p>
        </w:tc>
        <w:tc>
          <w:tcPr>
            <w:tcW w:w="3828" w:type="dxa"/>
            <w:vAlign w:val="center"/>
          </w:tcPr>
          <w:p>
            <w:pPr>
              <w:snapToGrid w:val="0"/>
              <w:spacing w:line="440" w:lineRule="exact"/>
              <w:jc w:val="center"/>
              <w:rPr>
                <w:rFonts w:eastAsia="宋体"/>
                <w:color w:val="000000"/>
                <w:sz w:val="21"/>
                <w:szCs w:val="21"/>
              </w:rPr>
            </w:pPr>
            <w:r>
              <w:rPr>
                <w:rFonts w:hint="eastAsia" w:eastAsia="宋体"/>
                <w:color w:val="000000"/>
                <w:sz w:val="21"/>
                <w:szCs w:val="21"/>
              </w:rPr>
              <w:t>GB/T 8939-2018</w:t>
            </w:r>
          </w:p>
        </w:tc>
      </w:tr>
    </w:tbl>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执行企业标准、团体标准、地方标准的产品，检验项目参照上述内容执行。</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三、判定规则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rPr>
      </w:pPr>
      <w:r>
        <w:rPr>
          <w:rFonts w:hint="eastAsia" w:ascii="楷体_GB2312" w:hAnsi="楷体_GB2312" w:eastAsia="楷体_GB2312" w:cs="楷体_GB2312"/>
          <w:color w:val="000000"/>
          <w:sz w:val="28"/>
          <w:szCs w:val="28"/>
          <w:lang w:eastAsia="zh-CN"/>
        </w:rPr>
        <w:t>（一）</w:t>
      </w:r>
      <w:r>
        <w:rPr>
          <w:rFonts w:hint="eastAsia" w:ascii="楷体_GB2312" w:hAnsi="楷体_GB2312" w:eastAsia="楷体_GB2312" w:cs="楷体_GB2312"/>
          <w:color w:val="000000"/>
          <w:sz w:val="28"/>
          <w:szCs w:val="28"/>
        </w:rPr>
        <w:t>依据标准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GB/T 8939-2018《卫生巾（护垫）》</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现行有效的企业标准和产品明示指标或其他相适应的产品标准。</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楷体_GB2312" w:hAnsi="楷体_GB2312" w:eastAsia="楷体_GB2312" w:cs="楷体_GB2312"/>
          <w:color w:val="000000"/>
          <w:sz w:val="28"/>
          <w:szCs w:val="28"/>
          <w:lang w:eastAsia="zh-CN"/>
        </w:rPr>
      </w:pPr>
      <w:r>
        <w:rPr>
          <w:rFonts w:hint="eastAsia" w:ascii="楷体_GB2312" w:hAnsi="楷体_GB2312" w:eastAsia="楷体_GB2312" w:cs="楷体_GB2312"/>
          <w:color w:val="000000"/>
          <w:sz w:val="28"/>
          <w:szCs w:val="28"/>
          <w:lang w:eastAsia="zh-CN"/>
        </w:rPr>
        <w:t>（二）判定原则</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若被检产品明示的质量要求高于本细则中检验项目依据的标准要求时，应按被检产品明示的质量要求判定。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若被检产品明示的质量要求低于或包含本细则中检验项目依据的推荐性标准要求时，应以被检产品明示的质量要求判定。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000000"/>
          <w:sz w:val="28"/>
          <w:szCs w:val="28"/>
        </w:rPr>
      </w:pPr>
      <w:r>
        <w:rPr>
          <w:rFonts w:hint="eastAsia" w:ascii="仿宋" w:hAnsi="仿宋" w:eastAsia="仿宋" w:cs="仿宋"/>
          <w:color w:val="000000"/>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rPr>
          <w:rFonts w:hint="eastAsia" w:ascii="仿宋" w:hAnsi="仿宋" w:eastAsia="仿宋" w:cs="仿宋"/>
          <w:color w:val="FF0000"/>
          <w:sz w:val="28"/>
          <w:szCs w:val="28"/>
        </w:rPr>
      </w:pPr>
      <w:r>
        <w:rPr>
          <w:rFonts w:hint="eastAsia" w:ascii="仿宋" w:hAnsi="仿宋" w:eastAsia="仿宋" w:cs="仿宋"/>
          <w:color w:val="000000"/>
          <w:sz w:val="28"/>
          <w:szCs w:val="28"/>
        </w:rPr>
        <w:t>若被检产品明示的质量要求缺少本细则中检验项目依据的推荐性标准要求时，该项目不参与判定。</w:t>
      </w:r>
    </w:p>
    <w:p>
      <w:pPr>
        <w:snapToGrid w:val="0"/>
        <w:spacing w:line="440" w:lineRule="exact"/>
        <w:ind w:firstLine="420" w:firstLineChars="200"/>
        <w:rPr>
          <w:rFonts w:eastAsia="宋体"/>
          <w:color w:val="000000"/>
          <w:sz w:val="21"/>
          <w:szCs w:val="21"/>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2"/>
      <w:lvlText w:val="%1."/>
      <w:lvlJc w:val="left"/>
      <w:pPr>
        <w:tabs>
          <w:tab w:val="left" w:pos="420"/>
        </w:tabs>
        <w:ind w:left="420" w:hanging="4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B03ADB"/>
    <w:rsid w:val="0000274A"/>
    <w:rsid w:val="00023EB9"/>
    <w:rsid w:val="00025243"/>
    <w:rsid w:val="00076888"/>
    <w:rsid w:val="00080074"/>
    <w:rsid w:val="00080B45"/>
    <w:rsid w:val="000A5AE2"/>
    <w:rsid w:val="000F579D"/>
    <w:rsid w:val="00106A76"/>
    <w:rsid w:val="00124879"/>
    <w:rsid w:val="00132DBF"/>
    <w:rsid w:val="00143F33"/>
    <w:rsid w:val="00152AF1"/>
    <w:rsid w:val="00152C63"/>
    <w:rsid w:val="0018045B"/>
    <w:rsid w:val="00192409"/>
    <w:rsid w:val="001A4839"/>
    <w:rsid w:val="001C37A1"/>
    <w:rsid w:val="001D16D8"/>
    <w:rsid w:val="001D5FC1"/>
    <w:rsid w:val="001E25CD"/>
    <w:rsid w:val="001E5D4E"/>
    <w:rsid w:val="001F3F23"/>
    <w:rsid w:val="001F4CD2"/>
    <w:rsid w:val="00201AA7"/>
    <w:rsid w:val="00212B84"/>
    <w:rsid w:val="0023033B"/>
    <w:rsid w:val="00231B4C"/>
    <w:rsid w:val="00246256"/>
    <w:rsid w:val="002724DE"/>
    <w:rsid w:val="002A64B6"/>
    <w:rsid w:val="00301072"/>
    <w:rsid w:val="00332057"/>
    <w:rsid w:val="00335206"/>
    <w:rsid w:val="00342176"/>
    <w:rsid w:val="00350804"/>
    <w:rsid w:val="00373DCF"/>
    <w:rsid w:val="003B11C0"/>
    <w:rsid w:val="003B2A4D"/>
    <w:rsid w:val="003B5B67"/>
    <w:rsid w:val="003B6CED"/>
    <w:rsid w:val="003C45BD"/>
    <w:rsid w:val="003C6E53"/>
    <w:rsid w:val="00454E06"/>
    <w:rsid w:val="004805EF"/>
    <w:rsid w:val="004D3EDB"/>
    <w:rsid w:val="00502214"/>
    <w:rsid w:val="00504CCD"/>
    <w:rsid w:val="00544273"/>
    <w:rsid w:val="005462F5"/>
    <w:rsid w:val="00567951"/>
    <w:rsid w:val="00580ADD"/>
    <w:rsid w:val="0059343D"/>
    <w:rsid w:val="00594D01"/>
    <w:rsid w:val="005A280B"/>
    <w:rsid w:val="005B31F2"/>
    <w:rsid w:val="005F1F85"/>
    <w:rsid w:val="005F3C99"/>
    <w:rsid w:val="00605167"/>
    <w:rsid w:val="00607628"/>
    <w:rsid w:val="00621D06"/>
    <w:rsid w:val="006328F4"/>
    <w:rsid w:val="006351DC"/>
    <w:rsid w:val="00676C9F"/>
    <w:rsid w:val="006A6233"/>
    <w:rsid w:val="006C1A91"/>
    <w:rsid w:val="007201A8"/>
    <w:rsid w:val="00721D53"/>
    <w:rsid w:val="00730C35"/>
    <w:rsid w:val="00766BE5"/>
    <w:rsid w:val="00771A12"/>
    <w:rsid w:val="007A417F"/>
    <w:rsid w:val="007B07E0"/>
    <w:rsid w:val="007D08B7"/>
    <w:rsid w:val="007D4367"/>
    <w:rsid w:val="0081385A"/>
    <w:rsid w:val="00827163"/>
    <w:rsid w:val="00890D4A"/>
    <w:rsid w:val="008936CB"/>
    <w:rsid w:val="00896D4C"/>
    <w:rsid w:val="008A1EE8"/>
    <w:rsid w:val="008E41E4"/>
    <w:rsid w:val="008E4481"/>
    <w:rsid w:val="008F073E"/>
    <w:rsid w:val="008F2077"/>
    <w:rsid w:val="00903E73"/>
    <w:rsid w:val="00905B12"/>
    <w:rsid w:val="00914BA9"/>
    <w:rsid w:val="0091626D"/>
    <w:rsid w:val="00916737"/>
    <w:rsid w:val="00995524"/>
    <w:rsid w:val="00A10EEB"/>
    <w:rsid w:val="00A13D1F"/>
    <w:rsid w:val="00A2577D"/>
    <w:rsid w:val="00A32074"/>
    <w:rsid w:val="00A53ABD"/>
    <w:rsid w:val="00A83DB2"/>
    <w:rsid w:val="00A85699"/>
    <w:rsid w:val="00AA0EA2"/>
    <w:rsid w:val="00AD40E0"/>
    <w:rsid w:val="00B47C68"/>
    <w:rsid w:val="00B53BE9"/>
    <w:rsid w:val="00B7170E"/>
    <w:rsid w:val="00BA7662"/>
    <w:rsid w:val="00BA7B01"/>
    <w:rsid w:val="00C43B6B"/>
    <w:rsid w:val="00C852C1"/>
    <w:rsid w:val="00CA727A"/>
    <w:rsid w:val="00CC61AB"/>
    <w:rsid w:val="00CC7344"/>
    <w:rsid w:val="00CD1ED6"/>
    <w:rsid w:val="00CE3AFC"/>
    <w:rsid w:val="00D23A78"/>
    <w:rsid w:val="00D40A1D"/>
    <w:rsid w:val="00D54FBA"/>
    <w:rsid w:val="00D9029B"/>
    <w:rsid w:val="00D92A3B"/>
    <w:rsid w:val="00D959C7"/>
    <w:rsid w:val="00DE47AB"/>
    <w:rsid w:val="00E03361"/>
    <w:rsid w:val="00E33DCF"/>
    <w:rsid w:val="00E66C92"/>
    <w:rsid w:val="00E86333"/>
    <w:rsid w:val="00EA30C7"/>
    <w:rsid w:val="00EC1E00"/>
    <w:rsid w:val="00EF7643"/>
    <w:rsid w:val="00F0762F"/>
    <w:rsid w:val="00F12B69"/>
    <w:rsid w:val="00F3623B"/>
    <w:rsid w:val="00F6328D"/>
    <w:rsid w:val="00F70B5E"/>
    <w:rsid w:val="00F71920"/>
    <w:rsid w:val="00F7475F"/>
    <w:rsid w:val="00FA4278"/>
    <w:rsid w:val="04C96CB1"/>
    <w:rsid w:val="0679257F"/>
    <w:rsid w:val="0A661326"/>
    <w:rsid w:val="0BFE0085"/>
    <w:rsid w:val="14A811C1"/>
    <w:rsid w:val="14B22FC0"/>
    <w:rsid w:val="14C94D0F"/>
    <w:rsid w:val="14DC4A04"/>
    <w:rsid w:val="18815DFF"/>
    <w:rsid w:val="1B0B03E1"/>
    <w:rsid w:val="1CB03ADB"/>
    <w:rsid w:val="1DDF6C22"/>
    <w:rsid w:val="1E2462E4"/>
    <w:rsid w:val="20EC42E8"/>
    <w:rsid w:val="2C8B1EB6"/>
    <w:rsid w:val="2E22383C"/>
    <w:rsid w:val="2F9F2AED"/>
    <w:rsid w:val="33305070"/>
    <w:rsid w:val="362F7A57"/>
    <w:rsid w:val="38F16460"/>
    <w:rsid w:val="3EA63DA8"/>
    <w:rsid w:val="3F736EC6"/>
    <w:rsid w:val="41C40667"/>
    <w:rsid w:val="434F0216"/>
    <w:rsid w:val="4570602F"/>
    <w:rsid w:val="47390F89"/>
    <w:rsid w:val="499F5EBD"/>
    <w:rsid w:val="49C9475C"/>
    <w:rsid w:val="4B10284A"/>
    <w:rsid w:val="4B5B1C0F"/>
    <w:rsid w:val="4BAA09C7"/>
    <w:rsid w:val="510F468F"/>
    <w:rsid w:val="53CD6333"/>
    <w:rsid w:val="572A45B5"/>
    <w:rsid w:val="57455456"/>
    <w:rsid w:val="582C61F0"/>
    <w:rsid w:val="597EF09C"/>
    <w:rsid w:val="5B3B30A1"/>
    <w:rsid w:val="5C722673"/>
    <w:rsid w:val="5C9E77E6"/>
    <w:rsid w:val="5F2909A2"/>
    <w:rsid w:val="5FFF8A06"/>
    <w:rsid w:val="60957AA9"/>
    <w:rsid w:val="60CC0484"/>
    <w:rsid w:val="624E1047"/>
    <w:rsid w:val="62671E79"/>
    <w:rsid w:val="669037FA"/>
    <w:rsid w:val="6A3E7729"/>
    <w:rsid w:val="6F736536"/>
    <w:rsid w:val="6FD76FBB"/>
    <w:rsid w:val="6FFEAE0E"/>
    <w:rsid w:val="71FE3C3E"/>
    <w:rsid w:val="7881476A"/>
    <w:rsid w:val="7A9B3937"/>
    <w:rsid w:val="7AAC0AF2"/>
    <w:rsid w:val="7BB5A437"/>
    <w:rsid w:val="7C546201"/>
    <w:rsid w:val="7CEC7AF9"/>
    <w:rsid w:val="7EBB42C0"/>
    <w:rsid w:val="7EC20718"/>
    <w:rsid w:val="7FEF5186"/>
    <w:rsid w:val="B9CB67E5"/>
    <w:rsid w:val="BFAFAB5F"/>
    <w:rsid w:val="CBE20EA3"/>
    <w:rsid w:val="CF6F6715"/>
    <w:rsid w:val="D7BB258B"/>
    <w:rsid w:val="DFBF9B0A"/>
    <w:rsid w:val="DFFBBB33"/>
    <w:rsid w:val="E7D7033B"/>
    <w:rsid w:val="F91D87E0"/>
    <w:rsid w:val="FA6E1E4E"/>
    <w:rsid w:val="FADE3DD2"/>
    <w:rsid w:val="FF7FB93C"/>
    <w:rsid w:val="FFEDF7F7"/>
    <w:rsid w:val="FFFF4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keepNext/>
      <w:keepLines/>
      <w:numPr>
        <w:ilvl w:val="0"/>
        <w:numId w:val="1"/>
      </w:numPr>
      <w:outlineLvl w:val="0"/>
    </w:pPr>
    <w:rPr>
      <w:rFonts w:eastAsia="黑体"/>
      <w:bCs/>
      <w:kern w:val="44"/>
      <w:sz w:val="30"/>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basedOn w:val="7"/>
    <w:link w:val="5"/>
    <w:qFormat/>
    <w:uiPriority w:val="0"/>
    <w:rPr>
      <w:rFonts w:eastAsia="仿宋_GB2312"/>
      <w:kern w:val="2"/>
      <w:sz w:val="18"/>
      <w:szCs w:val="18"/>
    </w:rPr>
  </w:style>
  <w:style w:type="character" w:customStyle="1" w:styleId="10">
    <w:name w:val="页脚 Char"/>
    <w:basedOn w:val="7"/>
    <w:link w:val="4"/>
    <w:qFormat/>
    <w:uiPriority w:val="0"/>
    <w:rPr>
      <w:rFonts w:eastAsia="仿宋_GB2312"/>
      <w:kern w:val="2"/>
      <w:sz w:val="18"/>
      <w:szCs w:val="18"/>
    </w:rPr>
  </w:style>
  <w:style w:type="character" w:customStyle="1" w:styleId="11">
    <w:name w:val="批注框文本 Char"/>
    <w:basedOn w:val="7"/>
    <w:link w:val="3"/>
    <w:qFormat/>
    <w:uiPriority w:val="0"/>
    <w:rPr>
      <w:rFonts w:eastAsia="仿宋_GB2312"/>
      <w:kern w:val="2"/>
      <w:sz w:val="18"/>
      <w:szCs w:val="18"/>
    </w:rPr>
  </w:style>
  <w:style w:type="paragraph" w:styleId="12">
    <w:name w:val="List Paragraph"/>
    <w:basedOn w:val="1"/>
    <w:unhideWhenUsed/>
    <w:qFormat/>
    <w:uiPriority w:val="99"/>
    <w:pPr>
      <w:ind w:firstLine="420" w:firstLineChars="200"/>
    </w:p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137</Words>
  <Characters>787</Characters>
  <Lines>6</Lines>
  <Paragraphs>1</Paragraphs>
  <TotalTime>0</TotalTime>
  <ScaleCrop>false</ScaleCrop>
  <LinksUpToDate>false</LinksUpToDate>
  <CharactersWithSpaces>923</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2025-04-15T10:07:00Z</dcterms:created>
  <dc:creator>HO(∩_∩)O</dc:creator>
  <cp:lastModifiedBy>admin1</cp:lastModifiedBy>
  <dcterms:modified xsi:type="dcterms:W3CDTF">2025-04-22T17:06:12Z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55D4D67DD2C946C79E1F7BA1ECF4A3B9</vt:lpwstr>
  </property>
</Properties>
</file>