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珠海市工程建设项目审批涉及缴费事项清单（</w:t>
      </w:r>
      <w:r>
        <w:rPr>
          <w:rFonts w:hint="eastAsia" w:ascii="方正小标宋简体" w:hAnsi="方正小标宋简体" w:eastAsia="方正小标宋简体" w:cs="方正小标宋简体"/>
          <w:sz w:val="44"/>
          <w:szCs w:val="44"/>
          <w:lang w:val="en-US" w:eastAsia="zh-CN"/>
        </w:rPr>
        <w:t>2025年版</w:t>
      </w:r>
      <w:r>
        <w:rPr>
          <w:rFonts w:hint="eastAsia" w:ascii="方正小标宋简体" w:hAnsi="方正小标宋简体" w:eastAsia="方正小标宋简体" w:cs="方正小标宋简体"/>
          <w:sz w:val="44"/>
          <w:szCs w:val="44"/>
          <w:lang w:eastAsia="zh-CN"/>
        </w:rPr>
        <w:t>）</w:t>
      </w:r>
    </w:p>
    <w:tbl>
      <w:tblPr>
        <w:tblStyle w:val="5"/>
        <w:tblpPr w:leftFromText="180" w:rightFromText="180" w:vertAnchor="page" w:horzAnchor="page" w:tblpX="1133" w:tblpY="2763"/>
        <w:tblOverlap w:val="never"/>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84"/>
        <w:gridCol w:w="1244"/>
        <w:gridCol w:w="847"/>
        <w:gridCol w:w="734"/>
        <w:gridCol w:w="1896"/>
        <w:gridCol w:w="3906"/>
        <w:gridCol w:w="3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24" w:type="dxa"/>
            <w:vAlign w:val="center"/>
          </w:tcPr>
          <w:p>
            <w:pPr>
              <w:spacing w:line="300" w:lineRule="exact"/>
              <w:jc w:val="center"/>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序号</w:t>
            </w:r>
          </w:p>
        </w:tc>
        <w:tc>
          <w:tcPr>
            <w:tcW w:w="1484" w:type="dxa"/>
            <w:vAlign w:val="center"/>
          </w:tcPr>
          <w:p>
            <w:pPr>
              <w:spacing w:line="300" w:lineRule="exact"/>
              <w:jc w:val="center"/>
              <w:rPr>
                <w:rFonts w:hint="eastAsia" w:ascii="宋体" w:hAnsi="宋体" w:eastAsia="宋体" w:cs="宋体"/>
                <w:b/>
                <w:bCs/>
                <w:color w:val="000000" w:themeColor="text1"/>
                <w:sz w:val="24"/>
                <w:szCs w:val="24"/>
                <w:vertAlign w:val="baseline"/>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涉及缴费的审批事项</w:t>
            </w:r>
          </w:p>
        </w:tc>
        <w:tc>
          <w:tcPr>
            <w:tcW w:w="1244" w:type="dxa"/>
            <w:vAlign w:val="center"/>
          </w:tcPr>
          <w:p>
            <w:pPr>
              <w:spacing w:line="300" w:lineRule="exact"/>
              <w:jc w:val="center"/>
              <w:rPr>
                <w:rFonts w:hint="eastAsia" w:ascii="宋体" w:hAnsi="宋体" w:eastAsia="宋体" w:cs="宋体"/>
                <w:b/>
                <w:bCs/>
                <w:color w:val="000000" w:themeColor="text1"/>
                <w:sz w:val="24"/>
                <w:szCs w:val="24"/>
                <w:vertAlign w:val="baseline"/>
                <w14:textFill>
                  <w14:solidFill>
                    <w14:schemeClr w14:val="tx1"/>
                  </w14:solidFill>
                </w14:textFill>
              </w:rPr>
            </w:pPr>
            <w:r>
              <w:rPr>
                <w:rFonts w:hint="eastAsia" w:ascii="宋体" w:hAnsi="宋体" w:eastAsia="宋体" w:cs="宋体"/>
                <w:b/>
                <w:bCs/>
                <w:color w:val="000000" w:themeColor="text1"/>
                <w:sz w:val="24"/>
                <w:szCs w:val="24"/>
                <w:vertAlign w:val="baseline"/>
                <w14:textFill>
                  <w14:solidFill>
                    <w14:schemeClr w14:val="tx1"/>
                  </w14:solidFill>
                </w14:textFill>
              </w:rPr>
              <w:t>缴费事项名称</w:t>
            </w:r>
          </w:p>
        </w:tc>
        <w:tc>
          <w:tcPr>
            <w:tcW w:w="847" w:type="dxa"/>
            <w:vAlign w:val="center"/>
          </w:tcPr>
          <w:p>
            <w:pPr>
              <w:spacing w:line="300" w:lineRule="exact"/>
              <w:jc w:val="center"/>
              <w:rPr>
                <w:rFonts w:hint="eastAsia" w:ascii="宋体" w:hAnsi="宋体" w:eastAsia="宋体" w:cs="宋体"/>
                <w:b/>
                <w:bCs/>
                <w:color w:val="000000" w:themeColor="text1"/>
                <w:sz w:val="24"/>
                <w:szCs w:val="24"/>
                <w:vertAlign w:val="baseline"/>
                <w14:textFill>
                  <w14:solidFill>
                    <w14:schemeClr w14:val="tx1"/>
                  </w14:solidFill>
                </w14:textFill>
              </w:rPr>
            </w:pPr>
            <w:r>
              <w:rPr>
                <w:rFonts w:hint="eastAsia" w:ascii="宋体" w:hAnsi="宋体" w:eastAsia="宋体" w:cs="宋体"/>
                <w:b/>
                <w:bCs/>
                <w:color w:val="000000" w:themeColor="text1"/>
                <w:sz w:val="24"/>
                <w:szCs w:val="24"/>
                <w:vertAlign w:val="baseline"/>
                <w14:textFill>
                  <w14:solidFill>
                    <w14:schemeClr w14:val="tx1"/>
                  </w14:solidFill>
                </w14:textFill>
              </w:rPr>
              <w:t>执收部门</w:t>
            </w:r>
          </w:p>
        </w:tc>
        <w:tc>
          <w:tcPr>
            <w:tcW w:w="734" w:type="dxa"/>
            <w:vAlign w:val="center"/>
          </w:tcPr>
          <w:p>
            <w:pPr>
              <w:spacing w:line="300" w:lineRule="exact"/>
              <w:jc w:val="center"/>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缴</w:t>
            </w:r>
            <w:r>
              <w:rPr>
                <w:rFonts w:hint="eastAsia" w:ascii="宋体" w:hAnsi="宋体" w:eastAsia="宋体" w:cs="宋体"/>
                <w:b/>
                <w:bCs/>
                <w:color w:val="000000" w:themeColor="text1"/>
                <w:sz w:val="24"/>
                <w:szCs w:val="24"/>
                <w:vertAlign w:val="baseline"/>
                <w14:textFill>
                  <w14:solidFill>
                    <w14:schemeClr w14:val="tx1"/>
                  </w14:solidFill>
                </w14:textFill>
              </w:rPr>
              <w:t>费</w:t>
            </w:r>
            <w:r>
              <w:rPr>
                <w:rFonts w:hint="eastAsia" w:ascii="宋体" w:hAnsi="宋体" w:eastAsia="宋体" w:cs="宋体"/>
                <w:b/>
                <w:bCs/>
                <w:color w:val="000000" w:themeColor="text1"/>
                <w:sz w:val="24"/>
                <w:szCs w:val="24"/>
                <w:vertAlign w:val="baseline"/>
                <w:lang w:eastAsia="zh-CN"/>
                <w14:textFill>
                  <w14:solidFill>
                    <w14:schemeClr w14:val="tx1"/>
                  </w14:solidFill>
                </w14:textFill>
              </w:rPr>
              <w:t>类型</w:t>
            </w:r>
          </w:p>
        </w:tc>
        <w:tc>
          <w:tcPr>
            <w:tcW w:w="1896" w:type="dxa"/>
            <w:vAlign w:val="center"/>
          </w:tcPr>
          <w:p>
            <w:pPr>
              <w:spacing w:line="300" w:lineRule="exact"/>
              <w:jc w:val="center"/>
              <w:rPr>
                <w:rFonts w:hint="eastAsia" w:ascii="宋体" w:hAnsi="宋体" w:eastAsia="宋体" w:cs="宋体"/>
                <w:b/>
                <w:bCs/>
                <w:color w:val="000000" w:themeColor="text1"/>
                <w:sz w:val="24"/>
                <w:szCs w:val="24"/>
                <w:vertAlign w:val="baseline"/>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缴费</w:t>
            </w:r>
            <w:r>
              <w:rPr>
                <w:rFonts w:hint="eastAsia" w:ascii="宋体" w:hAnsi="宋体" w:eastAsia="宋体" w:cs="宋体"/>
                <w:b/>
                <w:bCs/>
                <w:color w:val="000000" w:themeColor="text1"/>
                <w:sz w:val="24"/>
                <w:szCs w:val="24"/>
                <w:vertAlign w:val="baseline"/>
                <w14:textFill>
                  <w14:solidFill>
                    <w14:schemeClr w14:val="tx1"/>
                  </w14:solidFill>
                </w14:textFill>
              </w:rPr>
              <w:t>范围和</w:t>
            </w:r>
          </w:p>
          <w:p>
            <w:pPr>
              <w:spacing w:line="300" w:lineRule="exact"/>
              <w:jc w:val="center"/>
              <w:rPr>
                <w:rFonts w:hint="eastAsia" w:ascii="宋体" w:hAnsi="宋体" w:eastAsia="宋体" w:cs="宋体"/>
                <w:b/>
                <w:bCs/>
                <w:color w:val="000000" w:themeColor="text1"/>
                <w:sz w:val="24"/>
                <w:szCs w:val="24"/>
                <w:vertAlign w:val="baseline"/>
                <w14:textFill>
                  <w14:solidFill>
                    <w14:schemeClr w14:val="tx1"/>
                  </w14:solidFill>
                </w14:textFill>
              </w:rPr>
            </w:pPr>
            <w:r>
              <w:rPr>
                <w:rFonts w:hint="eastAsia" w:ascii="宋体" w:hAnsi="宋体" w:eastAsia="宋体" w:cs="宋体"/>
                <w:b/>
                <w:bCs/>
                <w:color w:val="000000" w:themeColor="text1"/>
                <w:sz w:val="24"/>
                <w:szCs w:val="24"/>
                <w:vertAlign w:val="baseline"/>
                <w14:textFill>
                  <w14:solidFill>
                    <w14:schemeClr w14:val="tx1"/>
                  </w14:solidFill>
                </w14:textFill>
              </w:rPr>
              <w:t>对象</w:t>
            </w:r>
          </w:p>
        </w:tc>
        <w:tc>
          <w:tcPr>
            <w:tcW w:w="3906" w:type="dxa"/>
            <w:vAlign w:val="center"/>
          </w:tcPr>
          <w:p>
            <w:pPr>
              <w:spacing w:line="300" w:lineRule="exact"/>
              <w:jc w:val="center"/>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14:textFill>
                  <w14:solidFill>
                    <w14:schemeClr w14:val="tx1"/>
                  </w14:solidFill>
                </w14:textFill>
              </w:rPr>
              <w:t>缴费依据和标准</w:t>
            </w:r>
          </w:p>
        </w:tc>
        <w:tc>
          <w:tcPr>
            <w:tcW w:w="3819" w:type="dxa"/>
            <w:vAlign w:val="center"/>
          </w:tcPr>
          <w:p>
            <w:pPr>
              <w:spacing w:line="300" w:lineRule="exact"/>
              <w:jc w:val="center"/>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14:textFill>
                  <w14:solidFill>
                    <w14:schemeClr w14:val="tx1"/>
                  </w14:solidFill>
                </w14:textFill>
              </w:rPr>
              <w:t>减免</w:t>
            </w:r>
            <w:r>
              <w:rPr>
                <w:rFonts w:hint="eastAsia" w:ascii="宋体" w:hAnsi="宋体" w:eastAsia="宋体" w:cs="宋体"/>
                <w:b/>
                <w:bCs/>
                <w:color w:val="000000" w:themeColor="text1"/>
                <w:sz w:val="24"/>
                <w:szCs w:val="24"/>
                <w:vertAlign w:val="baseline"/>
                <w:lang w:eastAsia="zh-CN"/>
                <w14:textFill>
                  <w14:solidFill>
                    <w14:schemeClr w14:val="tx1"/>
                  </w14:solidFill>
                </w14:textFill>
              </w:rPr>
              <w:t>等</w:t>
            </w:r>
            <w:r>
              <w:rPr>
                <w:rFonts w:hint="eastAsia" w:ascii="宋体" w:hAnsi="宋体" w:eastAsia="宋体" w:cs="宋体"/>
                <w:b/>
                <w:bCs/>
                <w:color w:val="000000" w:themeColor="text1"/>
                <w:sz w:val="24"/>
                <w:szCs w:val="24"/>
                <w:vertAlign w:val="baseline"/>
                <w14:textFill>
                  <w14:solidFill>
                    <w14:schemeClr w14:val="tx1"/>
                  </w14:solidFill>
                </w14:textFill>
              </w:rPr>
              <w:t>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524" w:type="dxa"/>
            <w:shd w:val="clear" w:color="auto" w:fill="auto"/>
            <w:vAlign w:val="center"/>
          </w:tcPr>
          <w:p>
            <w:pPr>
              <w:jc w:val="both"/>
              <w:rPr>
                <w:rFonts w:hint="default"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w:t>
            </w:r>
          </w:p>
        </w:tc>
        <w:tc>
          <w:tcPr>
            <w:tcW w:w="1484" w:type="dxa"/>
            <w:shd w:val="clear" w:color="auto" w:fill="auto"/>
            <w:vAlign w:val="center"/>
          </w:tcPr>
          <w:p>
            <w:pPr>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易地修建防空地下室的民用建筑项目许可</w:t>
            </w:r>
          </w:p>
          <w:p>
            <w:pPr>
              <w:keepNext w:val="0"/>
              <w:keepLines w:val="0"/>
              <w:widowControl/>
              <w:suppressLineNumbers w:val="0"/>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p>
        </w:tc>
        <w:tc>
          <w:tcPr>
            <w:tcW w:w="1244" w:type="dxa"/>
            <w:shd w:val="clear" w:color="auto" w:fill="auto"/>
            <w:vAlign w:val="center"/>
          </w:tcPr>
          <w:p>
            <w:pPr>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防空地下室易地建设费</w:t>
            </w:r>
          </w:p>
        </w:tc>
        <w:tc>
          <w:tcPr>
            <w:tcW w:w="847" w:type="dxa"/>
            <w:shd w:val="clear" w:color="auto" w:fill="auto"/>
            <w:vAlign w:val="center"/>
          </w:tcPr>
          <w:p>
            <w:pPr>
              <w:widowControl/>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国家税务总局珠海市税务局</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w:t>
            </w:r>
            <w:r>
              <w:rPr>
                <w:rFonts w:hint="eastAsia" w:ascii="仿宋" w:hAnsi="仿宋" w:eastAsia="仿宋" w:cs="仿宋"/>
                <w:color w:val="000000" w:themeColor="text1"/>
                <w:sz w:val="24"/>
                <w:szCs w:val="24"/>
                <w:vertAlign w:val="baseline"/>
                <w:lang w:eastAsia="zh-CN"/>
                <w14:textFill>
                  <w14:solidFill>
                    <w14:schemeClr w14:val="tx1"/>
                  </w14:solidFill>
                </w14:textFill>
              </w:rPr>
              <w:t>市、区人防部门核定</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w:t>
            </w:r>
          </w:p>
        </w:tc>
        <w:tc>
          <w:tcPr>
            <w:tcW w:w="734" w:type="dxa"/>
            <w:shd w:val="clear" w:color="auto" w:fill="auto"/>
            <w:vAlign w:val="center"/>
          </w:tcPr>
          <w:p>
            <w:pPr>
              <w:widowControl/>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行政事业性收费</w:t>
            </w:r>
          </w:p>
        </w:tc>
        <w:tc>
          <w:tcPr>
            <w:tcW w:w="1896" w:type="dxa"/>
            <w:shd w:val="clear" w:color="auto" w:fill="auto"/>
            <w:vAlign w:val="center"/>
          </w:tcPr>
          <w:p>
            <w:pPr>
              <w:widowControl/>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经批准确因</w:t>
            </w:r>
            <w:r>
              <w:rPr>
                <w:rFonts w:hint="eastAsia" w:ascii="仿宋" w:hAnsi="仿宋" w:eastAsia="仿宋" w:cs="仿宋"/>
                <w:color w:val="000000" w:themeColor="text1"/>
                <w:sz w:val="24"/>
                <w:szCs w:val="24"/>
                <w:vertAlign w:val="baseline"/>
                <w:lang w:eastAsia="zh-CN"/>
                <w14:textFill>
                  <w14:solidFill>
                    <w14:schemeClr w14:val="tx1"/>
                  </w14:solidFill>
                </w14:textFill>
              </w:rPr>
              <w:t>地</w:t>
            </w:r>
            <w:r>
              <w:rPr>
                <w:rFonts w:hint="eastAsia" w:ascii="仿宋" w:hAnsi="仿宋" w:eastAsia="仿宋" w:cs="仿宋"/>
                <w:color w:val="000000" w:themeColor="text1"/>
                <w:sz w:val="24"/>
                <w:szCs w:val="24"/>
                <w:vertAlign w:val="baseline"/>
                <w14:textFill>
                  <w14:solidFill>
                    <w14:schemeClr w14:val="tx1"/>
                  </w14:solidFill>
                </w14:textFill>
              </w:rPr>
              <w:t>质、地形、施工等客观因素影响，不能与地面建筑同步修建防空地下室的城市新建民用建筑的建设单位和个人</w:t>
            </w:r>
          </w:p>
        </w:tc>
        <w:tc>
          <w:tcPr>
            <w:tcW w:w="3906" w:type="dxa"/>
            <w:shd w:val="clear" w:color="auto" w:fill="auto"/>
            <w:vAlign w:val="center"/>
          </w:tcPr>
          <w:p>
            <w:pPr>
              <w:widowControl/>
              <w:jc w:val="both"/>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eastAsia="zh-CN"/>
                <w14:textFill>
                  <w14:solidFill>
                    <w14:schemeClr w14:val="tx1"/>
                  </w14:solidFill>
                </w14:textFill>
              </w:rPr>
              <w:t>缴费</w:t>
            </w:r>
            <w:r>
              <w:rPr>
                <w:rFonts w:hint="eastAsia" w:ascii="仿宋" w:hAnsi="仿宋" w:eastAsia="仿宋" w:cs="仿宋"/>
                <w:b/>
                <w:bCs/>
                <w:color w:val="000000" w:themeColor="text1"/>
                <w:sz w:val="24"/>
                <w:szCs w:val="24"/>
                <w:vertAlign w:val="baseline"/>
                <w14:textFill>
                  <w14:solidFill>
                    <w14:schemeClr w14:val="tx1"/>
                  </w14:solidFill>
                </w14:textFill>
              </w:rPr>
              <w:t>依据</w:t>
            </w:r>
            <w:r>
              <w:rPr>
                <w:rFonts w:hint="eastAsia" w:ascii="仿宋" w:hAnsi="仿宋" w:eastAsia="仿宋" w:cs="仿宋"/>
                <w:b/>
                <w:bCs/>
                <w:color w:val="000000" w:themeColor="text1"/>
                <w:sz w:val="24"/>
                <w:szCs w:val="24"/>
                <w:vertAlign w:val="baseline"/>
                <w:lang w:eastAsia="zh-CN"/>
                <w14:textFill>
                  <w14:solidFill>
                    <w14:schemeClr w14:val="tx1"/>
                  </w14:solidFill>
                </w14:textFill>
              </w:rPr>
              <w:t>：</w:t>
            </w:r>
            <w:r>
              <w:rPr>
                <w:rFonts w:hint="eastAsia" w:ascii="仿宋" w:hAnsi="仿宋" w:eastAsia="仿宋" w:cs="仿宋"/>
                <w:color w:val="000000" w:themeColor="text1"/>
                <w:sz w:val="24"/>
                <w:szCs w:val="24"/>
                <w:vertAlign w:val="baseline"/>
                <w:lang w:eastAsia="zh-CN"/>
                <w14:textFill>
                  <w14:solidFill>
                    <w14:schemeClr w14:val="tx1"/>
                  </w14:solidFill>
                </w14:textFill>
              </w:rPr>
              <w:t>计价格【2000】474号，</w:t>
            </w:r>
            <w:r>
              <w:rPr>
                <w:rFonts w:hint="eastAsia" w:ascii="仿宋" w:hAnsi="仿宋" w:eastAsia="仿宋" w:cs="仿宋"/>
                <w:color w:val="000000" w:themeColor="text1"/>
                <w:sz w:val="24"/>
                <w:szCs w:val="24"/>
                <w:vertAlign w:val="baseline"/>
                <w14:textFill>
                  <w14:solidFill>
                    <w14:schemeClr w14:val="tx1"/>
                  </w14:solidFill>
                </w14:textFill>
              </w:rPr>
              <w:t>财税〔2014〕77号，粤发改发电〔2014〕34号，粤财综〔2014〕89号，粤财办明电〔2015〕4号，粤发改价格〔2016〕180号,粤发改价格函〔2019〕649号，粤财政法〔2020〕50号，粤发改价格〔2020〕435号，财税〔2020〕58号，珠发改价格〔2021〕2号</w:t>
            </w:r>
            <w:r>
              <w:rPr>
                <w:rFonts w:hint="eastAsia" w:ascii="仿宋" w:hAnsi="仿宋" w:eastAsia="仿宋" w:cs="仿宋"/>
                <w:color w:val="000000" w:themeColor="text1"/>
                <w:sz w:val="24"/>
                <w:szCs w:val="24"/>
                <w:vertAlign w:val="baseline"/>
                <w:lang w:eastAsia="zh-CN"/>
                <w14:textFill>
                  <w14:solidFill>
                    <w14:schemeClr w14:val="tx1"/>
                  </w14:solidFill>
                </w14:textFill>
              </w:rPr>
              <w:t>，粤建质函〔2024〕770号。</w:t>
            </w:r>
          </w:p>
          <w:p>
            <w:pPr>
              <w:widowControl/>
              <w:jc w:val="both"/>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b/>
                <w:bCs/>
                <w:color w:val="000000" w:themeColor="text1"/>
                <w:sz w:val="24"/>
                <w:szCs w:val="24"/>
                <w:vertAlign w:val="baseline"/>
                <w:lang w:eastAsia="zh-CN"/>
                <w14:textFill>
                  <w14:solidFill>
                    <w14:schemeClr w14:val="tx1"/>
                  </w14:solidFill>
                </w14:textFill>
              </w:rPr>
              <w:t>缴费标准：</w:t>
            </w:r>
            <w:r>
              <w:rPr>
                <w:rFonts w:hint="eastAsia" w:ascii="仿宋" w:hAnsi="仿宋" w:eastAsia="仿宋" w:cs="仿宋"/>
                <w:color w:val="000000" w:themeColor="text1"/>
                <w:sz w:val="24"/>
                <w:szCs w:val="24"/>
                <w:vertAlign w:val="baseline"/>
                <w:lang w:eastAsia="zh-CN"/>
                <w14:textFill>
                  <w14:solidFill>
                    <w14:schemeClr w14:val="tx1"/>
                  </w14:solidFill>
                </w14:textFill>
              </w:rPr>
              <w:t>我市防空地下室易地建设费收费标准为1600元/平方米，其中：地面总建筑面积2000平方米（含）以下的民用建筑[10层（含）以上或基础埋深达3米（含）以上的除外]收费标准为800元/平方米。</w:t>
            </w:r>
          </w:p>
          <w:p>
            <w:pPr>
              <w:widowControl/>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p>
        </w:tc>
        <w:tc>
          <w:tcPr>
            <w:tcW w:w="3819" w:type="dxa"/>
            <w:shd w:val="clear" w:color="auto" w:fill="auto"/>
            <w:vAlign w:val="top"/>
          </w:tcPr>
          <w:p>
            <w:pPr>
              <w:jc w:val="both"/>
              <w:rPr>
                <w:rFonts w:hint="eastAsia" w:ascii="仿宋" w:hAnsi="仿宋" w:eastAsia="仿宋" w:cs="仿宋"/>
                <w:b/>
                <w:bCs/>
                <w:color w:val="000000" w:themeColor="text1"/>
                <w:sz w:val="24"/>
                <w:szCs w:val="24"/>
                <w:lang w:val="en-US" w:eastAsia="zh-CN"/>
                <w14:textFill>
                  <w14:solidFill>
                    <w14:schemeClr w14:val="tx1"/>
                  </w14:solidFill>
                </w14:textFill>
              </w:rPr>
            </w:pPr>
          </w:p>
          <w:p>
            <w:pPr>
              <w:jc w:val="both"/>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可减免的情形：</w:t>
            </w:r>
          </w:p>
          <w:p>
            <w:pPr>
              <w:pStyle w:val="9"/>
              <w:jc w:val="both"/>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1.以下项目免征易地建设费：廉租房、公租房、经济适用房、棚户区改造及旧住宅区整治项目；非营利性养老机构、医疗机构建设项目；易地扶贫搬迁项目（因地质原因无法修建的）；社区养老、托育、家政服务建设项目（因地质原因无法修建的）；临时民用建筑、危房翻新（不增加面积）及因灾害原面积修复的民用建筑；农民利用集体土地新建或翻建自用住房（仅收权属证书工本费）；军队离休退休干部安置住房建设。</w:t>
            </w:r>
          </w:p>
          <w:p>
            <w:pPr>
              <w:keepNext w:val="0"/>
              <w:keepLines w:val="0"/>
              <w:widowControl/>
              <w:suppressLineNumbers w:val="0"/>
              <w:jc w:val="both"/>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2.以下项目减半征收易地建设费：营利性养老机构、医疗机构建设项目；幼儿园、学校教学楼、残疾人服务设施等民用建筑。</w:t>
            </w:r>
          </w:p>
          <w:p>
            <w:pPr>
              <w:keepNext w:val="0"/>
              <w:keepLines w:val="0"/>
              <w:widowControl/>
              <w:suppressLineNumbers w:val="0"/>
              <w:jc w:val="both"/>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3.其他规定：上述收费优惠政策重叠的，按合并后最优惠标准执行；国家对防空地下室易地建设费减免有新规定的，从其规定。</w:t>
            </w:r>
          </w:p>
          <w:p>
            <w:pPr>
              <w:keepNext w:val="0"/>
              <w:keepLines w:val="0"/>
              <w:widowControl/>
              <w:suppressLineNumbers w:val="0"/>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bCs/>
                <w:sz w:val="24"/>
                <w:szCs w:val="24"/>
                <w:vertAlign w:val="baseline"/>
                <w:lang w:val="en-US" w:eastAsia="zh-CN"/>
              </w:rPr>
              <w:t>珠海政策：</w:t>
            </w:r>
            <w:r>
              <w:rPr>
                <w:rFonts w:hint="eastAsia" w:ascii="仿宋" w:hAnsi="仿宋" w:eastAsia="仿宋" w:cs="仿宋"/>
                <w:sz w:val="24"/>
                <w:szCs w:val="24"/>
                <w:vertAlign w:val="baseline"/>
                <w:lang w:val="en-US" w:eastAsia="zh-CN"/>
              </w:rPr>
              <w:t>《关于进一步推进工程建设项目审批提速增效的若干措施》（珠建法〔2022〕10号）明确，</w:t>
            </w:r>
            <w:r>
              <w:rPr>
                <w:rFonts w:hint="eastAsia" w:ascii="仿宋" w:hAnsi="仿宋" w:eastAsia="仿宋" w:cs="仿宋"/>
                <w:sz w:val="24"/>
                <w:szCs w:val="24"/>
                <w:vertAlign w:val="baseline"/>
                <w:lang w:val="en-US" w:eastAsia="en-US"/>
              </w:rPr>
              <w:t>易地修建防空地下室的民用建筑项目许可</w:t>
            </w:r>
            <w:r>
              <w:rPr>
                <w:rFonts w:hint="eastAsia" w:ascii="仿宋" w:hAnsi="仿宋" w:eastAsia="仿宋" w:cs="仿宋"/>
                <w:sz w:val="24"/>
                <w:szCs w:val="24"/>
                <w:vertAlign w:val="baseline"/>
                <w:lang w:val="en-US" w:eastAsia="zh-CN"/>
              </w:rPr>
              <w:t>实行容缺后补，</w:t>
            </w:r>
            <w:r>
              <w:rPr>
                <w:rFonts w:hint="eastAsia" w:ascii="仿宋" w:hAnsi="仿宋" w:eastAsia="仿宋" w:cs="仿宋"/>
                <w:sz w:val="24"/>
                <w:szCs w:val="24"/>
                <w:vertAlign w:val="baseline"/>
                <w:lang w:val="en-US" w:eastAsia="en-US"/>
              </w:rPr>
              <w:t>建设单位</w:t>
            </w:r>
            <w:r>
              <w:rPr>
                <w:rFonts w:hint="eastAsia" w:ascii="仿宋" w:hAnsi="仿宋" w:eastAsia="仿宋" w:cs="仿宋"/>
                <w:sz w:val="24"/>
                <w:szCs w:val="24"/>
                <w:vertAlign w:val="baseline"/>
                <w:lang w:val="en-US" w:eastAsia="zh-CN"/>
              </w:rPr>
              <w:t>可</w:t>
            </w:r>
            <w:r>
              <w:rPr>
                <w:rFonts w:hint="eastAsia" w:ascii="仿宋" w:hAnsi="仿宋" w:eastAsia="仿宋" w:cs="仿宋"/>
                <w:sz w:val="24"/>
                <w:szCs w:val="24"/>
                <w:vertAlign w:val="baseline"/>
                <w:lang w:val="en-US" w:eastAsia="en-US"/>
              </w:rPr>
              <w:t>承诺</w:t>
            </w:r>
            <w:r>
              <w:rPr>
                <w:rFonts w:hint="eastAsia" w:ascii="仿宋" w:hAnsi="仿宋" w:eastAsia="仿宋" w:cs="仿宋"/>
                <w:sz w:val="24"/>
                <w:szCs w:val="24"/>
                <w:vertAlign w:val="baseline"/>
                <w:lang w:val="en-US" w:eastAsia="zh-CN"/>
              </w:rPr>
              <w:t>在</w:t>
            </w:r>
            <w:r>
              <w:rPr>
                <w:rFonts w:hint="eastAsia" w:ascii="仿宋" w:hAnsi="仿宋" w:eastAsia="仿宋" w:cs="仿宋"/>
                <w:sz w:val="24"/>
                <w:szCs w:val="24"/>
                <w:vertAlign w:val="baseline"/>
                <w:lang w:val="en-US" w:eastAsia="en-US"/>
              </w:rPr>
              <w:t>非税收入缴款</w:t>
            </w:r>
            <w:r>
              <w:rPr>
                <w:rFonts w:hint="eastAsia" w:ascii="仿宋" w:hAnsi="仿宋" w:eastAsia="仿宋" w:cs="仿宋"/>
                <w:sz w:val="24"/>
                <w:szCs w:val="24"/>
                <w:vertAlign w:val="baseline"/>
                <w:lang w:val="en-US" w:eastAsia="zh-CN"/>
              </w:rPr>
              <w:t>通</w:t>
            </w:r>
            <w:r>
              <w:rPr>
                <w:rFonts w:hint="eastAsia" w:ascii="仿宋" w:hAnsi="仿宋" w:eastAsia="仿宋" w:cs="仿宋"/>
                <w:sz w:val="24"/>
                <w:szCs w:val="24"/>
                <w:vertAlign w:val="baseline"/>
                <w:lang w:val="en-US" w:eastAsia="en-US"/>
              </w:rPr>
              <w:t>知书开具</w:t>
            </w:r>
            <w:r>
              <w:rPr>
                <w:rFonts w:hint="eastAsia" w:ascii="仿宋" w:hAnsi="仿宋" w:eastAsia="仿宋" w:cs="仿宋"/>
                <w:sz w:val="24"/>
                <w:szCs w:val="24"/>
                <w:vertAlign w:val="baseline"/>
                <w:lang w:val="en-US" w:eastAsia="zh-CN"/>
              </w:rPr>
              <w:t>之</w:t>
            </w:r>
            <w:r>
              <w:rPr>
                <w:rFonts w:hint="eastAsia" w:ascii="仿宋" w:hAnsi="仿宋" w:eastAsia="仿宋" w:cs="仿宋"/>
                <w:sz w:val="24"/>
                <w:szCs w:val="24"/>
                <w:vertAlign w:val="baseline"/>
                <w:lang w:val="en-US" w:eastAsia="en-US"/>
              </w:rPr>
              <w:t>日起60日内缴交防空地下室易地建设</w:t>
            </w:r>
            <w:r>
              <w:rPr>
                <w:rFonts w:hint="eastAsia" w:ascii="仿宋" w:hAnsi="仿宋" w:eastAsia="仿宋" w:cs="仿宋"/>
                <w:sz w:val="24"/>
                <w:szCs w:val="24"/>
                <w:vertAlign w:val="baseline"/>
                <w:lang w:val="en-US" w:eastAsia="zh-CN"/>
              </w:rPr>
              <w:t>费</w:t>
            </w:r>
            <w:r>
              <w:rPr>
                <w:rFonts w:hint="eastAsia" w:ascii="仿宋" w:hAnsi="仿宋" w:eastAsia="仿宋" w:cs="仿宋"/>
                <w:sz w:val="24"/>
                <w:szCs w:val="24"/>
                <w:vertAlign w:val="baseline"/>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524" w:type="dxa"/>
            <w:shd w:val="clear" w:color="auto" w:fill="auto"/>
            <w:vAlign w:val="center"/>
          </w:tcPr>
          <w:p>
            <w:pPr>
              <w:jc w:val="both"/>
              <w:rPr>
                <w:rFonts w:hint="default"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2</w:t>
            </w:r>
          </w:p>
        </w:tc>
        <w:tc>
          <w:tcPr>
            <w:tcW w:w="1484" w:type="dxa"/>
            <w:shd w:val="clear" w:color="auto" w:fill="auto"/>
            <w:vAlign w:val="center"/>
          </w:tcPr>
          <w:p>
            <w:pPr>
              <w:jc w:val="both"/>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val="en-US" w:eastAsia="zh-CN"/>
              </w:rPr>
              <w:t>建设工程规划类许可证核发（建筑类）-社会投资类项目</w:t>
            </w:r>
          </w:p>
          <w:p>
            <w:pPr>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p>
        </w:tc>
        <w:tc>
          <w:tcPr>
            <w:tcW w:w="1244" w:type="dxa"/>
            <w:shd w:val="clear" w:color="auto" w:fill="auto"/>
            <w:vAlign w:val="center"/>
          </w:tcPr>
          <w:p>
            <w:pPr>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vertAlign w:val="baseline"/>
                <w:lang w:eastAsia="zh-CN"/>
              </w:rPr>
              <w:t>城市基础设施配套费</w:t>
            </w:r>
          </w:p>
        </w:tc>
        <w:tc>
          <w:tcPr>
            <w:tcW w:w="847" w:type="dxa"/>
            <w:shd w:val="clear" w:color="auto" w:fill="auto"/>
            <w:vAlign w:val="center"/>
          </w:tcPr>
          <w:p>
            <w:pPr>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vertAlign w:val="baseline"/>
                <w:lang w:eastAsia="zh-CN"/>
              </w:rPr>
              <w:t>自然资源部门</w:t>
            </w:r>
          </w:p>
        </w:tc>
        <w:tc>
          <w:tcPr>
            <w:tcW w:w="734" w:type="dxa"/>
            <w:shd w:val="clear" w:color="auto" w:fill="auto"/>
            <w:vAlign w:val="center"/>
          </w:tcPr>
          <w:p>
            <w:pPr>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vertAlign w:val="baseline"/>
                <w:lang w:eastAsia="zh-CN"/>
              </w:rPr>
              <w:t>政府性基金</w:t>
            </w:r>
          </w:p>
        </w:tc>
        <w:tc>
          <w:tcPr>
            <w:tcW w:w="1896" w:type="dxa"/>
            <w:shd w:val="clear" w:color="auto" w:fill="auto"/>
            <w:vAlign w:val="center"/>
          </w:tcPr>
          <w:p>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凡在我市城市规划区范围内自</w:t>
            </w:r>
            <w:r>
              <w:rPr>
                <w:rFonts w:hint="eastAsia" w:ascii="仿宋" w:hAnsi="仿宋" w:eastAsia="仿宋" w:cs="仿宋"/>
                <w:sz w:val="24"/>
                <w:szCs w:val="24"/>
                <w:vertAlign w:val="baseline"/>
                <w:lang w:eastAsia="zh-CN"/>
              </w:rPr>
              <w:t>《珠海市人民政府关于征收城市基础设施配套费的通知》(珠府函</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eastAsia="zh-CN"/>
              </w:rPr>
              <w:t>2015</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eastAsia="zh-CN"/>
              </w:rPr>
              <w:t>106号)</w:t>
            </w:r>
            <w:r>
              <w:rPr>
                <w:rFonts w:hint="eastAsia" w:ascii="仿宋" w:hAnsi="仿宋" w:eastAsia="仿宋" w:cs="仿宋"/>
                <w:sz w:val="24"/>
                <w:szCs w:val="24"/>
                <w:vertAlign w:val="baseline"/>
                <w:lang w:val="en-US" w:eastAsia="zh-CN"/>
              </w:rPr>
              <w:t>发布实施后新出让用地的新建(含扩建)房屋建筑工程项目，由建设单位和个人(私人自建自住的住宅除外，以下统称建设单位)在办理建设工程规划报建时缴交城市基础设施配套费。</w:t>
            </w:r>
          </w:p>
          <w:p>
            <w:pPr>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3906" w:type="dxa"/>
            <w:shd w:val="clear" w:color="auto" w:fill="auto"/>
            <w:vAlign w:val="center"/>
          </w:tcPr>
          <w:p>
            <w:pPr>
              <w:keepNext w:val="0"/>
              <w:keepLines w:val="0"/>
              <w:widowControl/>
              <w:suppressLineNumbers w:val="0"/>
              <w:jc w:val="both"/>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bCs/>
                <w:color w:val="000000" w:themeColor="text1"/>
                <w:sz w:val="24"/>
                <w:szCs w:val="24"/>
                <w:vertAlign w:val="baseline"/>
                <w14:textFill>
                  <w14:solidFill>
                    <w14:schemeClr w14:val="tx1"/>
                  </w14:solidFill>
                </w14:textFill>
              </w:rPr>
              <w:t>缴费依据和标准</w:t>
            </w:r>
            <w:r>
              <w:rPr>
                <w:rFonts w:hint="eastAsia" w:ascii="仿宋" w:hAnsi="仿宋" w:eastAsia="仿宋" w:cs="仿宋"/>
                <w:b/>
                <w:bCs/>
                <w:color w:val="000000" w:themeColor="text1"/>
                <w:sz w:val="24"/>
                <w:szCs w:val="24"/>
                <w:vertAlign w:val="baseline"/>
                <w:lang w:eastAsia="zh-CN"/>
                <w14:textFill>
                  <w14:solidFill>
                    <w14:schemeClr w14:val="tx1"/>
                  </w14:solidFill>
                </w14:textFill>
              </w:rPr>
              <w:t>：</w:t>
            </w:r>
          </w:p>
          <w:p>
            <w:pPr>
              <w:keepNext w:val="0"/>
              <w:keepLines w:val="0"/>
              <w:widowControl/>
              <w:suppressLineNumbers w:val="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根据《广东省物价局 广东省财政厅关于调低城市基础设施配套费的通知》(粤价〔2003〕160号)、《珠海市人民政府关于征收城市基础设施配套费的通知》(珠府函</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eastAsia="zh-CN"/>
              </w:rPr>
              <w:t>2015</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eastAsia="zh-CN"/>
              </w:rPr>
              <w:t>106号)以及《</w:t>
            </w:r>
            <w:r>
              <w:rPr>
                <w:rFonts w:hint="eastAsia" w:ascii="仿宋" w:hAnsi="仿宋" w:eastAsia="仿宋" w:cs="仿宋"/>
                <w:sz w:val="24"/>
                <w:szCs w:val="24"/>
                <w:vertAlign w:val="baseline"/>
                <w:lang w:val="en-US" w:eastAsia="zh-CN"/>
              </w:rPr>
              <w:t>关于发布2024年珠海市城市基础设施配套费征收标准的通知》（珠建〔2023〕86号），2024年单位建筑面积收费标准为工业类75元/m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vertAlign w:val="baseline"/>
                <w:lang w:val="en-US" w:eastAsia="zh-CN"/>
              </w:rPr>
              <w:t>、非工业类143元/m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vertAlign w:val="baseline"/>
                <w:lang w:val="en-US" w:eastAsia="zh-CN"/>
              </w:rPr>
              <w:t>、临时建筑12元/m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vertAlign w:val="baseline"/>
                <w:lang w:val="en-US" w:eastAsia="zh-CN"/>
              </w:rPr>
              <w:t xml:space="preserve">，上述标准经市人民政府同意,于2024年1月1日起实施。      </w:t>
            </w:r>
          </w:p>
          <w:p>
            <w:pPr>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3819" w:type="dxa"/>
            <w:shd w:val="clear" w:color="auto" w:fill="auto"/>
            <w:vAlign w:val="center"/>
          </w:tcPr>
          <w:p>
            <w:pPr>
              <w:keepNext w:val="0"/>
              <w:keepLines w:val="0"/>
              <w:widowControl/>
              <w:suppressLineNumbers w:val="0"/>
              <w:jc w:val="both"/>
              <w:rPr>
                <w:rFonts w:hint="eastAsia" w:ascii="仿宋" w:hAnsi="仿宋" w:eastAsia="仿宋" w:cs="仿宋"/>
                <w:b/>
                <w:bCs/>
                <w:sz w:val="24"/>
                <w:szCs w:val="24"/>
                <w:vertAlign w:val="baseline"/>
                <w:lang w:val="en-US" w:eastAsia="zh-CN"/>
              </w:rPr>
            </w:pPr>
          </w:p>
          <w:p>
            <w:pPr>
              <w:keepNext w:val="0"/>
              <w:keepLines w:val="0"/>
              <w:widowControl/>
              <w:suppressLineNumbers w:val="0"/>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可减免的情形：</w:t>
            </w:r>
          </w:p>
          <w:p>
            <w:pPr>
              <w:keepNext w:val="0"/>
              <w:keepLines w:val="0"/>
              <w:widowControl/>
              <w:suppressLineNumbers w:val="0"/>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lang w:eastAsia="zh-CN"/>
              </w:rPr>
              <w:t>《国务院办公厅关于保障性安居工程建设和管理的指导意见》（国办发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eastAsia="zh-CN"/>
              </w:rPr>
              <w:t>2011</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eastAsia="zh-CN"/>
              </w:rPr>
              <w:t>45号）规定的经济适用住房、公共租赁住房、棚户区改造安置住房住宅部分面积，免征</w:t>
            </w:r>
            <w:r>
              <w:rPr>
                <w:rFonts w:hint="eastAsia" w:ascii="仿宋" w:hAnsi="仿宋" w:eastAsia="仿宋" w:cs="仿宋"/>
                <w:sz w:val="24"/>
                <w:szCs w:val="24"/>
                <w:vertAlign w:val="baseline"/>
                <w:lang w:val="en-US" w:eastAsia="zh-CN"/>
              </w:rPr>
              <w:t>城市基础设施</w:t>
            </w:r>
            <w:r>
              <w:rPr>
                <w:rFonts w:hint="eastAsia" w:ascii="仿宋" w:hAnsi="仿宋" w:eastAsia="仿宋" w:cs="仿宋"/>
                <w:sz w:val="24"/>
                <w:szCs w:val="24"/>
                <w:vertAlign w:val="baseline"/>
                <w:lang w:eastAsia="zh-CN"/>
              </w:rPr>
              <w:t>配套费。</w:t>
            </w:r>
          </w:p>
          <w:p>
            <w:pPr>
              <w:keepNext w:val="0"/>
              <w:keepLines w:val="0"/>
              <w:widowControl/>
              <w:suppressLineNumbers w:val="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2.《国务院办公厅关于加快发展保障性租赁住房的意见》（国办发〔2021〕22号）明确，对保障性租赁住房项目免收城市基础设施配套费。</w:t>
            </w:r>
          </w:p>
          <w:p>
            <w:pPr>
              <w:keepNext w:val="0"/>
              <w:keepLines w:val="0"/>
              <w:widowControl/>
              <w:suppressLineNumbers w:val="0"/>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lang w:eastAsia="zh-CN"/>
              </w:rPr>
              <w:t>.《财政部关于免征全国中小学校舍安全工程建</w:t>
            </w:r>
            <w:r>
              <w:rPr>
                <w:rFonts w:hint="eastAsia" w:ascii="仿宋" w:hAnsi="仿宋" w:eastAsia="仿宋" w:cs="仿宋"/>
                <w:sz w:val="24"/>
                <w:szCs w:val="24"/>
                <w:vertAlign w:val="baseline"/>
                <w:lang w:val="en-US" w:eastAsia="zh-CN"/>
              </w:rPr>
              <w:t>设</w:t>
            </w:r>
            <w:r>
              <w:rPr>
                <w:rFonts w:hint="eastAsia" w:ascii="仿宋" w:hAnsi="仿宋" w:eastAsia="仿宋" w:cs="仿宋"/>
                <w:sz w:val="24"/>
                <w:szCs w:val="24"/>
                <w:vertAlign w:val="baseline"/>
                <w:lang w:eastAsia="zh-CN"/>
              </w:rPr>
              <w:t>有关政府性基金的通知》（</w:t>
            </w:r>
            <w:r>
              <w:rPr>
                <w:rFonts w:hint="eastAsia" w:ascii="仿宋" w:hAnsi="仿宋" w:eastAsia="仿宋" w:cs="仿宋"/>
                <w:sz w:val="24"/>
                <w:szCs w:val="24"/>
                <w:vertAlign w:val="baseline"/>
                <w:lang w:val="en-US" w:eastAsia="zh-CN"/>
              </w:rPr>
              <w:t>财综〔</w:t>
            </w:r>
            <w:r>
              <w:rPr>
                <w:rFonts w:hint="eastAsia" w:ascii="仿宋" w:hAnsi="仿宋" w:eastAsia="仿宋" w:cs="仿宋"/>
                <w:sz w:val="24"/>
                <w:szCs w:val="24"/>
                <w:vertAlign w:val="baseline"/>
                <w:lang w:eastAsia="zh-CN"/>
              </w:rPr>
              <w:t>2010</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eastAsia="zh-CN"/>
              </w:rPr>
              <w:t>54号）</w:t>
            </w:r>
            <w:r>
              <w:rPr>
                <w:rFonts w:hint="eastAsia" w:ascii="仿宋" w:hAnsi="仿宋" w:eastAsia="仿宋" w:cs="仿宋"/>
                <w:sz w:val="24"/>
                <w:szCs w:val="24"/>
                <w:vertAlign w:val="baseline"/>
                <w:lang w:val="en-US" w:eastAsia="zh-CN"/>
              </w:rPr>
              <w:t>规</w:t>
            </w:r>
            <w:r>
              <w:rPr>
                <w:rFonts w:hint="eastAsia" w:ascii="仿宋" w:hAnsi="仿宋" w:eastAsia="仿宋" w:cs="仿宋"/>
                <w:sz w:val="24"/>
                <w:szCs w:val="24"/>
                <w:vertAlign w:val="baseline"/>
                <w:lang w:eastAsia="zh-CN"/>
              </w:rPr>
              <w:t>定的城乡公办和民办、教育系统和非教育系统的所有中小学“校舍安全工程”建设，免征</w:t>
            </w:r>
            <w:r>
              <w:rPr>
                <w:rFonts w:hint="eastAsia" w:ascii="仿宋" w:hAnsi="仿宋" w:eastAsia="仿宋" w:cs="仿宋"/>
                <w:sz w:val="24"/>
                <w:szCs w:val="24"/>
                <w:vertAlign w:val="baseline"/>
                <w:lang w:val="en-US" w:eastAsia="zh-CN"/>
              </w:rPr>
              <w:t>城市基础设施</w:t>
            </w:r>
            <w:r>
              <w:rPr>
                <w:rFonts w:hint="eastAsia" w:ascii="仿宋" w:hAnsi="仿宋" w:eastAsia="仿宋" w:cs="仿宋"/>
                <w:sz w:val="24"/>
                <w:szCs w:val="24"/>
                <w:vertAlign w:val="baseline"/>
                <w:lang w:eastAsia="zh-CN"/>
              </w:rPr>
              <w:t>配套费。</w:t>
            </w:r>
          </w:p>
          <w:p>
            <w:pPr>
              <w:keepNext w:val="0"/>
              <w:keepLines w:val="0"/>
              <w:widowControl/>
              <w:suppressLineNumbers w:val="0"/>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4</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关于加快推进健康与养老服务工程建设的通知》（发改投资〔2014〕2091号）明确的有关项目，各地方要减免城市基础设施配套费等规费</w:t>
            </w:r>
            <w:r>
              <w:rPr>
                <w:rFonts w:hint="eastAsia" w:ascii="仿宋" w:hAnsi="仿宋" w:eastAsia="仿宋" w:cs="仿宋"/>
                <w:sz w:val="24"/>
                <w:szCs w:val="24"/>
                <w:vertAlign w:val="baseline"/>
                <w:lang w:eastAsia="zh-CN"/>
              </w:rPr>
              <w:t>。</w:t>
            </w:r>
          </w:p>
          <w:p>
            <w:pPr>
              <w:keepNext w:val="0"/>
              <w:keepLines w:val="0"/>
              <w:widowControl/>
              <w:suppressLineNumbers w:val="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5.《财政部 税务总局 发展改革委 民政部 商务部 卫生健康委公告2019年第76号》明确，用于提供社区养老、托育、家政服务的建设项目，免征城市基础设施配套费。</w:t>
            </w:r>
          </w:p>
          <w:p>
            <w:pPr>
              <w:keepNext w:val="0"/>
              <w:keepLines w:val="0"/>
              <w:widowControl/>
              <w:suppressLineNumbers w:val="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sz w:val="24"/>
                <w:szCs w:val="24"/>
                <w:vertAlign w:val="baseline"/>
                <w:lang w:val="en-US" w:eastAsia="zh-CN"/>
              </w:rPr>
              <w:t>珠海政策：</w:t>
            </w:r>
            <w:r>
              <w:rPr>
                <w:rFonts w:hint="eastAsia" w:ascii="仿宋" w:hAnsi="仿宋" w:eastAsia="仿宋" w:cs="仿宋"/>
                <w:sz w:val="24"/>
                <w:szCs w:val="24"/>
                <w:vertAlign w:val="baseline"/>
                <w:lang w:val="en-US" w:eastAsia="zh-CN"/>
              </w:rPr>
              <w:t>《关于进一步推进工程建设项目审批提速增效的若干措施》（珠建法〔2022〕10号）明确，</w:t>
            </w:r>
            <w:r>
              <w:rPr>
                <w:rFonts w:hint="eastAsia" w:ascii="仿宋" w:hAnsi="仿宋" w:eastAsia="仿宋" w:cs="仿宋"/>
                <w:sz w:val="24"/>
                <w:szCs w:val="24"/>
                <w:vertAlign w:val="baseline"/>
                <w:lang w:val="en-US" w:eastAsia="en-US"/>
              </w:rPr>
              <w:t>建设工程规划许可证</w:t>
            </w:r>
            <w:r>
              <w:rPr>
                <w:rFonts w:hint="eastAsia" w:ascii="仿宋" w:hAnsi="仿宋" w:eastAsia="仿宋" w:cs="仿宋"/>
                <w:sz w:val="24"/>
                <w:szCs w:val="24"/>
                <w:vertAlign w:val="baseline"/>
                <w:lang w:val="en-US" w:eastAsia="zh-CN"/>
              </w:rPr>
              <w:t>核发实行容缺后补，</w:t>
            </w:r>
            <w:r>
              <w:rPr>
                <w:rFonts w:hint="eastAsia" w:ascii="仿宋" w:hAnsi="仿宋" w:eastAsia="仿宋" w:cs="仿宋"/>
                <w:sz w:val="24"/>
                <w:szCs w:val="24"/>
                <w:vertAlign w:val="baseline"/>
                <w:lang w:val="en-US" w:eastAsia="en-US"/>
              </w:rPr>
              <w:t>建设单位</w:t>
            </w:r>
            <w:r>
              <w:rPr>
                <w:rFonts w:hint="eastAsia" w:ascii="仿宋" w:hAnsi="仿宋" w:eastAsia="仿宋" w:cs="仿宋"/>
                <w:sz w:val="24"/>
                <w:szCs w:val="24"/>
                <w:vertAlign w:val="baseline"/>
                <w:lang w:val="en-US" w:eastAsia="zh-CN"/>
              </w:rPr>
              <w:t>可</w:t>
            </w:r>
            <w:r>
              <w:rPr>
                <w:rFonts w:hint="eastAsia" w:ascii="仿宋" w:hAnsi="仿宋" w:eastAsia="仿宋" w:cs="仿宋"/>
                <w:sz w:val="24"/>
                <w:szCs w:val="24"/>
                <w:vertAlign w:val="baseline"/>
                <w:lang w:val="en-US" w:eastAsia="en-US"/>
              </w:rPr>
              <w:t>承诺</w:t>
            </w:r>
            <w:r>
              <w:rPr>
                <w:rFonts w:hint="eastAsia" w:ascii="仿宋" w:hAnsi="仿宋" w:eastAsia="仿宋" w:cs="仿宋"/>
                <w:sz w:val="24"/>
                <w:szCs w:val="24"/>
                <w:vertAlign w:val="baseline"/>
                <w:lang w:val="en-US" w:eastAsia="zh-CN"/>
              </w:rPr>
              <w:t>在</w:t>
            </w:r>
            <w:r>
              <w:rPr>
                <w:rFonts w:hint="eastAsia" w:ascii="仿宋" w:hAnsi="仿宋" w:eastAsia="仿宋" w:cs="仿宋"/>
                <w:sz w:val="24"/>
                <w:szCs w:val="24"/>
                <w:vertAlign w:val="baseline"/>
                <w:lang w:val="en-US" w:eastAsia="en-US"/>
              </w:rPr>
              <w:t>非税收入缴款</w:t>
            </w:r>
            <w:r>
              <w:rPr>
                <w:rFonts w:hint="eastAsia" w:ascii="仿宋" w:hAnsi="仿宋" w:eastAsia="仿宋" w:cs="仿宋"/>
                <w:sz w:val="24"/>
                <w:szCs w:val="24"/>
                <w:vertAlign w:val="baseline"/>
                <w:lang w:val="en-US" w:eastAsia="zh-CN"/>
              </w:rPr>
              <w:t>通</w:t>
            </w:r>
            <w:r>
              <w:rPr>
                <w:rFonts w:hint="eastAsia" w:ascii="仿宋" w:hAnsi="仿宋" w:eastAsia="仿宋" w:cs="仿宋"/>
                <w:sz w:val="24"/>
                <w:szCs w:val="24"/>
                <w:vertAlign w:val="baseline"/>
                <w:lang w:val="en-US" w:eastAsia="en-US"/>
              </w:rPr>
              <w:t>知书开具</w:t>
            </w:r>
            <w:r>
              <w:rPr>
                <w:rFonts w:hint="eastAsia" w:ascii="仿宋" w:hAnsi="仿宋" w:eastAsia="仿宋" w:cs="仿宋"/>
                <w:sz w:val="24"/>
                <w:szCs w:val="24"/>
                <w:vertAlign w:val="baseline"/>
                <w:lang w:val="en-US" w:eastAsia="zh-CN"/>
              </w:rPr>
              <w:t>之</w:t>
            </w:r>
            <w:r>
              <w:rPr>
                <w:rFonts w:hint="eastAsia" w:ascii="仿宋" w:hAnsi="仿宋" w:eastAsia="仿宋" w:cs="仿宋"/>
                <w:sz w:val="24"/>
                <w:szCs w:val="24"/>
                <w:vertAlign w:val="baseline"/>
                <w:lang w:val="en-US" w:eastAsia="en-US"/>
              </w:rPr>
              <w:t>日起60日内缴交城市基础设施配套费。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524" w:type="dxa"/>
            <w:shd w:val="clear" w:color="auto" w:fill="auto"/>
            <w:vAlign w:val="center"/>
          </w:tcPr>
          <w:p>
            <w:pPr>
              <w:jc w:val="left"/>
              <w:rPr>
                <w:rFonts w:hint="default"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3</w:t>
            </w:r>
          </w:p>
        </w:tc>
        <w:tc>
          <w:tcPr>
            <w:tcW w:w="1484" w:type="dxa"/>
            <w:shd w:val="clear" w:color="auto" w:fill="auto"/>
            <w:vAlign w:val="center"/>
          </w:tcPr>
          <w:p>
            <w:pPr>
              <w:jc w:val="left"/>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vertAlign w:val="baseline"/>
                <w14:textFill>
                  <w14:solidFill>
                    <w14:schemeClr w14:val="tx1"/>
                  </w14:solidFill>
                </w14:textFill>
              </w:rPr>
              <w:t>生产建设项目水土保持方案审批</w:t>
            </w:r>
          </w:p>
        </w:tc>
        <w:tc>
          <w:tcPr>
            <w:tcW w:w="1244" w:type="dxa"/>
            <w:shd w:val="clear" w:color="auto" w:fill="auto"/>
            <w:vAlign w:val="center"/>
          </w:tcPr>
          <w:p>
            <w:pPr>
              <w:jc w:val="lef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水土保持补偿费</w:t>
            </w:r>
          </w:p>
          <w:p>
            <w:pPr>
              <w:jc w:val="left"/>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p>
        </w:tc>
        <w:tc>
          <w:tcPr>
            <w:tcW w:w="847" w:type="dxa"/>
            <w:shd w:val="clear" w:color="auto" w:fill="auto"/>
            <w:vAlign w:val="center"/>
          </w:tcPr>
          <w:p>
            <w:pPr>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水务、税务部门</w:t>
            </w:r>
          </w:p>
        </w:tc>
        <w:tc>
          <w:tcPr>
            <w:tcW w:w="734" w:type="dxa"/>
            <w:shd w:val="clear" w:color="auto" w:fill="auto"/>
            <w:vAlign w:val="center"/>
          </w:tcPr>
          <w:p>
            <w:pPr>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 w:eastAsia="zh-CN"/>
                <w14:textFill>
                  <w14:solidFill>
                    <w14:schemeClr w14:val="tx1"/>
                  </w14:solidFill>
                </w14:textFill>
              </w:rPr>
              <w:t>行政事业性收费</w:t>
            </w:r>
          </w:p>
        </w:tc>
        <w:tc>
          <w:tcPr>
            <w:tcW w:w="189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根据《</w:t>
            </w:r>
            <w:r>
              <w:rPr>
                <w:rFonts w:hint="eastAsia" w:ascii="仿宋" w:hAnsi="仿宋" w:eastAsia="仿宋" w:cs="仿宋"/>
                <w:color w:val="000000" w:themeColor="text1"/>
                <w:sz w:val="24"/>
                <w:szCs w:val="24"/>
                <w14:textFill>
                  <w14:solidFill>
                    <w14:schemeClr w14:val="tx1"/>
                  </w14:solidFill>
                </w14:textFill>
              </w:rPr>
              <w:t>财政部 发展改革委 水利部 人民银行关于印发</w:t>
            </w:r>
            <w:r>
              <w:rPr>
                <w:rFonts w:hint="eastAsia" w:ascii="仿宋" w:hAnsi="仿宋" w:eastAsia="仿宋" w:cs="仿宋"/>
                <w:color w:val="000000" w:themeColor="text1"/>
                <w:sz w:val="24"/>
                <w:szCs w:val="24"/>
                <w:lang w:val="en"/>
                <w14:textFill>
                  <w14:solidFill>
                    <w14:schemeClr w14:val="tx1"/>
                  </w14:solidFill>
                </w14:textFill>
              </w:rPr>
              <w:t>&lt;</w:t>
            </w:r>
            <w:r>
              <w:rPr>
                <w:rFonts w:hint="eastAsia" w:ascii="仿宋" w:hAnsi="仿宋" w:eastAsia="仿宋" w:cs="仿宋"/>
                <w:color w:val="000000" w:themeColor="text1"/>
                <w:sz w:val="24"/>
                <w:szCs w:val="24"/>
                <w14:textFill>
                  <w14:solidFill>
                    <w14:schemeClr w14:val="tx1"/>
                  </w14:solidFill>
                </w14:textFill>
              </w:rPr>
              <w:t>水土保持补偿费征收使用管理办法</w:t>
            </w:r>
            <w:r>
              <w:rPr>
                <w:rFonts w:hint="eastAsia" w:ascii="仿宋" w:hAnsi="仿宋" w:eastAsia="仿宋" w:cs="仿宋"/>
                <w:color w:val="000000" w:themeColor="text1"/>
                <w:sz w:val="24"/>
                <w:szCs w:val="24"/>
                <w:lang w:val="en-US" w:eastAsia="zh-CN"/>
                <w14:textFill>
                  <w14:solidFill>
                    <w14:schemeClr w14:val="tx1"/>
                  </w14:solidFill>
                </w14:textFill>
              </w:rPr>
              <w:t>&gt;</w:t>
            </w:r>
            <w:r>
              <w:rPr>
                <w:rFonts w:hint="eastAsia" w:ascii="仿宋" w:hAnsi="仿宋" w:eastAsia="仿宋" w:cs="仿宋"/>
                <w:color w:val="000000" w:themeColor="text1"/>
                <w:sz w:val="24"/>
                <w:szCs w:val="24"/>
                <w14:textFill>
                  <w14:solidFill>
                    <w14:schemeClr w14:val="tx1"/>
                  </w14:solidFill>
                </w14:textFill>
              </w:rPr>
              <w:t>的通知</w:t>
            </w:r>
            <w:r>
              <w:rPr>
                <w:rFonts w:hint="eastAsia" w:ascii="仿宋" w:hAnsi="仿宋" w:eastAsia="仿宋" w:cs="仿宋"/>
                <w:color w:val="000000" w:themeColor="text1"/>
                <w:sz w:val="24"/>
                <w:szCs w:val="24"/>
                <w:vertAlign w:val="baselin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财综</w:t>
            </w: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eastAsia" w:ascii="仿宋" w:hAnsi="仿宋" w:eastAsia="仿宋" w:cs="仿宋"/>
                <w:i w:val="0"/>
                <w:iCs w:val="0"/>
                <w:caps w:val="0"/>
                <w:color w:val="000000" w:themeColor="text1"/>
                <w:spacing w:val="0"/>
                <w:kern w:val="2"/>
                <w:sz w:val="24"/>
                <w:szCs w:val="24"/>
                <w:shd w:val="clear"/>
                <w:lang w:val="en-US" w:eastAsia="zh-CN" w:bidi="ar"/>
                <w14:textFill>
                  <w14:solidFill>
                    <w14:schemeClr w14:val="tx1"/>
                  </w14:solidFill>
                </w14:textFill>
              </w:rPr>
              <w:t>2014</w:t>
            </w: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8号</w:t>
            </w:r>
            <w:r>
              <w:rPr>
                <w:rFonts w:hint="eastAsia" w:ascii="仿宋" w:hAnsi="仿宋" w:eastAsia="仿宋" w:cs="仿宋"/>
                <w:color w:val="000000" w:themeColor="text1"/>
                <w:sz w:val="24"/>
                <w:szCs w:val="24"/>
                <w:vertAlign w:val="baseline"/>
                <w:lang w:eastAsia="zh-CN"/>
                <w14:textFill>
                  <w14:solidFill>
                    <w14:schemeClr w14:val="tx1"/>
                  </w14:solidFill>
                </w14:textFill>
              </w:rPr>
              <w:t>）第五条规定：</w:t>
            </w:r>
            <w:r>
              <w:rPr>
                <w:rFonts w:hint="eastAsia" w:ascii="仿宋" w:hAnsi="仿宋" w:eastAsia="仿宋" w:cs="仿宋"/>
                <w:color w:val="000000" w:themeColor="text1"/>
                <w:sz w:val="24"/>
                <w:szCs w:val="24"/>
                <w14:textFill>
                  <w14:solidFill>
                    <w14:schemeClr w14:val="tx1"/>
                  </w14:solidFill>
                </w14:textFill>
              </w:rPr>
              <w:t>在山区、丘陵区、风沙区以及水土保持规划确定的容易发生水土流失的其他区域开办生产建设项目或者从事其他生产建设活动，损坏水土保持设施、地貌植被，不能恢复原有水土保持功能的单位和个人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以下简称缴纳义务人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，应当缴纳水土保持补偿费。</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前款所称其他生产建设活动包括</w:t>
            </w:r>
            <w:r>
              <w:rPr>
                <w:rFonts w:hint="eastAsia" w:ascii="仿宋" w:hAnsi="仿宋" w:eastAsia="仿宋" w:cs="仿宋"/>
                <w:color w:val="000000" w:themeColor="text1"/>
                <w:sz w:val="24"/>
                <w:szCs w:val="24"/>
                <w:lang w:eastAsia="zh-CN"/>
                <w14:textFill>
                  <w14:solidFill>
                    <w14:schemeClr w14:val="tx1"/>
                  </w14:solidFill>
                </w14:textFill>
              </w:rPr>
              <w:t>：</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w:t>
            </w:r>
            <w:r>
              <w:rPr>
                <w:rFonts w:hint="eastAsia" w:ascii="仿宋" w:hAnsi="仿宋" w:eastAsia="仿宋" w:cs="仿宋"/>
                <w:color w:val="000000" w:themeColor="text1"/>
                <w:sz w:val="24"/>
                <w:szCs w:val="24"/>
                <w14:textFill>
                  <w14:solidFill>
                    <w14:schemeClr w14:val="tx1"/>
                  </w14:solidFill>
                </w14:textFill>
              </w:rPr>
              <w:t>取土、挖砂、采石</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不含河道采砂</w:t>
            </w:r>
            <w:r>
              <w:rPr>
                <w:rFonts w:hint="eastAsia" w:ascii="仿宋" w:hAnsi="仿宋" w:eastAsia="仿宋" w:cs="仿宋"/>
                <w:color w:val="000000" w:themeColor="text1"/>
                <w:sz w:val="24"/>
                <w:szCs w:val="24"/>
                <w:lang w:eastAsia="zh-CN"/>
                <w14:textFill>
                  <w14:solidFill>
                    <w14:schemeClr w14:val="tx1"/>
                  </w14:solidFill>
                </w14:textFill>
              </w:rPr>
              <w:t>）；</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烧制砖、瓦、瓷、石灰</w:t>
            </w:r>
            <w:r>
              <w:rPr>
                <w:rFonts w:hint="eastAsia" w:ascii="仿宋" w:hAnsi="仿宋" w:eastAsia="仿宋" w:cs="仿宋"/>
                <w:color w:val="000000" w:themeColor="text1"/>
                <w:sz w:val="24"/>
                <w:szCs w:val="24"/>
                <w:lang w:eastAsia="zh-CN"/>
                <w14:textFill>
                  <w14:solidFill>
                    <w14:schemeClr w14:val="tx1"/>
                  </w14:solidFill>
                </w14:textFill>
              </w:rPr>
              <w:t>；</w:t>
            </w:r>
          </w:p>
          <w:p>
            <w:pPr>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排放废弃土、石、渣。</w:t>
            </w:r>
          </w:p>
        </w:tc>
        <w:tc>
          <w:tcPr>
            <w:tcW w:w="3906" w:type="dxa"/>
            <w:shd w:val="clear" w:color="auto" w:fill="auto"/>
            <w:vAlign w:val="center"/>
          </w:tcPr>
          <w:p>
            <w:pPr>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vertAlign w:val="baseline"/>
                <w14:textFill>
                  <w14:solidFill>
                    <w14:schemeClr w14:val="tx1"/>
                  </w14:solidFill>
                </w14:textFill>
              </w:rPr>
              <w:t>缴费依据和标准</w:t>
            </w:r>
            <w:r>
              <w:rPr>
                <w:rFonts w:hint="eastAsia" w:ascii="仿宋" w:hAnsi="仿宋" w:eastAsia="仿宋" w:cs="仿宋"/>
                <w:b/>
                <w:bCs/>
                <w:color w:val="000000" w:themeColor="text1"/>
                <w:sz w:val="24"/>
                <w:szCs w:val="24"/>
                <w:vertAlign w:val="baseline"/>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根据《</w:t>
            </w:r>
            <w:r>
              <w:rPr>
                <w:rFonts w:hint="eastAsia" w:ascii="仿宋" w:hAnsi="仿宋" w:eastAsia="仿宋" w:cs="仿宋"/>
                <w:color w:val="000000" w:themeColor="text1"/>
                <w:sz w:val="24"/>
                <w:szCs w:val="24"/>
                <w14:textFill>
                  <w14:solidFill>
                    <w14:schemeClr w14:val="tx1"/>
                  </w14:solidFill>
                </w14:textFill>
              </w:rPr>
              <w:t>广东省发展和改革委员会 广东省财政厅 广东省水利厅关于规范水土保持补偿费征收标准的通知</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粤发改价格</w:t>
            </w: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2021</w:t>
            </w: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231号</w:t>
            </w:r>
            <w:r>
              <w:rPr>
                <w:rFonts w:hint="eastAsia" w:ascii="仿宋" w:hAnsi="仿宋" w:eastAsia="仿宋" w:cs="仿宋"/>
                <w:color w:val="000000" w:themeColor="text1"/>
                <w:sz w:val="24"/>
                <w:szCs w:val="24"/>
                <w:lang w:eastAsia="zh-CN"/>
                <w14:textFill>
                  <w14:solidFill>
                    <w14:schemeClr w14:val="tx1"/>
                  </w14:solidFill>
                </w14:textFill>
              </w:rPr>
              <w:t>），水土保持补偿费征收标准如下：</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w:t>
            </w:r>
            <w:r>
              <w:rPr>
                <w:rFonts w:hint="eastAsia" w:ascii="仿宋" w:hAnsi="仿宋" w:eastAsia="仿宋" w:cs="仿宋"/>
                <w:color w:val="000000" w:themeColor="text1"/>
                <w:sz w:val="24"/>
                <w:szCs w:val="24"/>
                <w14:textFill>
                  <w14:solidFill>
                    <w14:schemeClr w14:val="tx1"/>
                  </w14:solidFill>
                </w14:textFill>
              </w:rPr>
              <w:t>对一般性生产建设项目，按照征占用土地面积一次性计征，每平方米0.6元</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不足1平方米的按1平方米计，下同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其中</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属水利水电工程建设项目的，水库淹没区不在水土保持补偿费计征范围之内。</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开采矿产资源方面。</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1.建设期间，按照征占用土地面积一次性计征，每平方米0.6元。</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2.开采期间，按照以下方式计征：</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开采石油、天然气的，按照油、气生产井</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不包括水井、勘探井</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占地面积每平方米每年1.0元征收。其中，每口油、气生产井占地按不超过2000平方米计算</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对丛式井每增加一口井，增加计征面积按不超过400平方米计算。</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开采石油、天然气以外的矿产资源，按照开采量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采掘、勘探井</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每立方米1.0元</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不足1立方米的按1立方米计，下同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征收。</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取土、挖砂</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河道采砂除外</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、采石以及烧制砖、瓦、瓷、石灰的，按照取土、挖砂、采石量每立方米0.3元征收。缴纳义务人已按前两种方式缴纳水土保持补偿费的，不再重复计征。</w:t>
            </w:r>
          </w:p>
          <w:p>
            <w:pPr>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（四）</w:t>
            </w:r>
            <w:r>
              <w:rPr>
                <w:rFonts w:hint="eastAsia" w:ascii="仿宋" w:hAnsi="仿宋" w:eastAsia="仿宋" w:cs="仿宋"/>
                <w:color w:val="000000" w:themeColor="text1"/>
                <w:sz w:val="24"/>
                <w:szCs w:val="24"/>
                <w14:textFill>
                  <w14:solidFill>
                    <w14:schemeClr w14:val="tx1"/>
                  </w14:solidFill>
                </w14:textFill>
              </w:rPr>
              <w:t>排放废弃土、石、渣的，按照土、石、渣量每立方米0.3元征收。缴纳义务人已按前三种方式缴纳水土保持补偿费的，不再重复计征。</w:t>
            </w:r>
          </w:p>
        </w:tc>
        <w:tc>
          <w:tcPr>
            <w:tcW w:w="3819" w:type="dxa"/>
            <w:shd w:val="clear" w:color="auto" w:fill="auto"/>
            <w:vAlign w:val="top"/>
          </w:tcPr>
          <w:p>
            <w:pPr>
              <w:jc w:val="both"/>
              <w:rPr>
                <w:rFonts w:hint="eastAsia" w:ascii="仿宋" w:hAnsi="仿宋" w:eastAsia="仿宋" w:cs="仿宋"/>
                <w:b/>
                <w:bCs/>
                <w:color w:val="000000" w:themeColor="text1"/>
                <w:sz w:val="24"/>
                <w:szCs w:val="24"/>
                <w:lang w:val="en-US" w:eastAsia="zh-CN"/>
                <w14:textFill>
                  <w14:solidFill>
                    <w14:schemeClr w14:val="tx1"/>
                  </w14:solidFill>
                </w14:textFill>
              </w:rPr>
            </w:pPr>
          </w:p>
          <w:p>
            <w:pPr>
              <w:jc w:val="both"/>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可减免的情形：</w:t>
            </w:r>
          </w:p>
          <w:p>
            <w:pPr>
              <w:keepNext w:val="0"/>
              <w:keepLines w:val="0"/>
              <w:widowControl/>
              <w:suppressLineNumbers w:val="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根据《</w:t>
            </w:r>
            <w:r>
              <w:rPr>
                <w:rFonts w:hint="eastAsia" w:ascii="仿宋" w:hAnsi="仿宋" w:eastAsia="仿宋" w:cs="仿宋"/>
                <w:color w:val="000000" w:themeColor="text1"/>
                <w:sz w:val="24"/>
                <w:szCs w:val="24"/>
                <w14:textFill>
                  <w14:solidFill>
                    <w14:schemeClr w14:val="tx1"/>
                  </w14:solidFill>
                </w14:textFill>
              </w:rPr>
              <w:t>财政部 发展改革委 水利部 人民银行关于印发</w:t>
            </w:r>
            <w:r>
              <w:rPr>
                <w:rFonts w:hint="eastAsia" w:ascii="仿宋" w:hAnsi="仿宋" w:eastAsia="仿宋" w:cs="仿宋"/>
                <w:color w:val="000000" w:themeColor="text1"/>
                <w:sz w:val="24"/>
                <w:szCs w:val="24"/>
                <w:lang w:val="en-US" w:eastAsia="zh-CN"/>
                <w14:textFill>
                  <w14:solidFill>
                    <w14:schemeClr w14:val="tx1"/>
                  </w14:solidFill>
                </w14:textFill>
              </w:rPr>
              <w:t>&lt;</w:t>
            </w:r>
            <w:r>
              <w:rPr>
                <w:rFonts w:hint="eastAsia" w:ascii="仿宋" w:hAnsi="仿宋" w:eastAsia="仿宋" w:cs="仿宋"/>
                <w:color w:val="000000" w:themeColor="text1"/>
                <w:sz w:val="24"/>
                <w:szCs w:val="24"/>
                <w14:textFill>
                  <w14:solidFill>
                    <w14:schemeClr w14:val="tx1"/>
                  </w14:solidFill>
                </w14:textFill>
              </w:rPr>
              <w:t>水土保持补偿费征收使用管理办法</w:t>
            </w:r>
            <w:r>
              <w:rPr>
                <w:rFonts w:hint="eastAsia" w:ascii="仿宋" w:hAnsi="仿宋" w:eastAsia="仿宋" w:cs="仿宋"/>
                <w:color w:val="000000" w:themeColor="text1"/>
                <w:sz w:val="24"/>
                <w:szCs w:val="24"/>
                <w:lang w:val="en-US" w:eastAsia="zh-CN"/>
                <w14:textFill>
                  <w14:solidFill>
                    <w14:schemeClr w14:val="tx1"/>
                  </w14:solidFill>
                </w14:textFill>
              </w:rPr>
              <w:t>&gt;</w:t>
            </w:r>
            <w:r>
              <w:rPr>
                <w:rFonts w:hint="eastAsia" w:ascii="仿宋" w:hAnsi="仿宋" w:eastAsia="仿宋" w:cs="仿宋"/>
                <w:color w:val="000000" w:themeColor="text1"/>
                <w:sz w:val="24"/>
                <w:szCs w:val="24"/>
                <w14:textFill>
                  <w14:solidFill>
                    <w14:schemeClr w14:val="tx1"/>
                  </w14:solidFill>
                </w14:textFill>
              </w:rPr>
              <w:t>的通知</w:t>
            </w:r>
            <w:r>
              <w:rPr>
                <w:rFonts w:hint="eastAsia" w:ascii="仿宋" w:hAnsi="仿宋" w:eastAsia="仿宋" w:cs="仿宋"/>
                <w:color w:val="000000" w:themeColor="text1"/>
                <w:sz w:val="24"/>
                <w:szCs w:val="24"/>
                <w:vertAlign w:val="baselin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财综</w:t>
            </w: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eastAsia" w:ascii="仿宋" w:hAnsi="仿宋" w:eastAsia="仿宋" w:cs="仿宋"/>
                <w:i w:val="0"/>
                <w:iCs w:val="0"/>
                <w:caps w:val="0"/>
                <w:color w:val="000000" w:themeColor="text1"/>
                <w:spacing w:val="0"/>
                <w:kern w:val="2"/>
                <w:sz w:val="24"/>
                <w:szCs w:val="24"/>
                <w:shd w:val="clear"/>
                <w:lang w:val="en-US" w:eastAsia="zh-CN" w:bidi="ar"/>
                <w14:textFill>
                  <w14:solidFill>
                    <w14:schemeClr w14:val="tx1"/>
                  </w14:solidFill>
                </w14:textFill>
              </w:rPr>
              <w:t>2014</w:t>
            </w: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8号</w:t>
            </w:r>
            <w:r>
              <w:rPr>
                <w:rFonts w:hint="eastAsia" w:ascii="仿宋" w:hAnsi="仿宋" w:eastAsia="仿宋" w:cs="仿宋"/>
                <w:color w:val="000000" w:themeColor="text1"/>
                <w:sz w:val="24"/>
                <w:szCs w:val="24"/>
                <w:vertAlign w:val="baseline"/>
                <w:lang w:eastAsia="zh-CN"/>
                <w14:textFill>
                  <w14:solidFill>
                    <w14:schemeClr w14:val="tx1"/>
                  </w14:solidFill>
                </w14:textFill>
              </w:rPr>
              <w:t>）第十一条规定，</w:t>
            </w:r>
            <w:r>
              <w:rPr>
                <w:rFonts w:hint="eastAsia" w:ascii="仿宋" w:hAnsi="仿宋" w:eastAsia="仿宋" w:cs="仿宋"/>
                <w:color w:val="000000" w:themeColor="text1"/>
                <w:sz w:val="24"/>
                <w:szCs w:val="24"/>
                <w14:textFill>
                  <w14:solidFill>
                    <w14:schemeClr w14:val="tx1"/>
                  </w14:solidFill>
                </w14:textFill>
              </w:rPr>
              <w:t>下列情形免征水土保持补偿费：</w:t>
            </w:r>
          </w:p>
          <w:p>
            <w:pPr>
              <w:keepNext w:val="0"/>
              <w:keepLines w:val="0"/>
              <w:widowControl/>
              <w:suppressLineNumbers w:val="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w:t>
            </w:r>
            <w:r>
              <w:rPr>
                <w:rFonts w:hint="eastAsia" w:ascii="仿宋" w:hAnsi="仿宋" w:eastAsia="仿宋" w:cs="仿宋"/>
                <w:color w:val="000000" w:themeColor="text1"/>
                <w:sz w:val="24"/>
                <w:szCs w:val="24"/>
                <w14:textFill>
                  <w14:solidFill>
                    <w14:schemeClr w14:val="tx1"/>
                  </w14:solidFill>
                </w14:textFill>
              </w:rPr>
              <w:t>建设学校、幼儿园、医院、养老服务设施、孤儿院、福利院等公益性工程项目的</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widowControl/>
              <w:suppressLineNumbers w:val="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农民依法利用农村集体土地新建、翻建自用住房的</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widowControl/>
              <w:suppressLineNumbers w:val="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按照相关规划开展小型农田水利建设、田间土地整治建设和农村集中供水工程建设的</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widowControl/>
              <w:suppressLineNumbers w:val="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（四）</w:t>
            </w:r>
            <w:r>
              <w:rPr>
                <w:rFonts w:hint="eastAsia" w:ascii="仿宋" w:hAnsi="仿宋" w:eastAsia="仿宋" w:cs="仿宋"/>
                <w:color w:val="000000" w:themeColor="text1"/>
                <w:sz w:val="24"/>
                <w:szCs w:val="24"/>
                <w14:textFill>
                  <w14:solidFill>
                    <w14:schemeClr w14:val="tx1"/>
                  </w14:solidFill>
                </w14:textFill>
              </w:rPr>
              <w:t>建设保障性安居工程、市政生态环境保护基础设施项目的</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widowControl/>
              <w:suppressLineNumbers w:val="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（五）</w:t>
            </w:r>
            <w:r>
              <w:rPr>
                <w:rFonts w:hint="eastAsia" w:ascii="仿宋" w:hAnsi="仿宋" w:eastAsia="仿宋" w:cs="仿宋"/>
                <w:color w:val="000000" w:themeColor="text1"/>
                <w:sz w:val="24"/>
                <w:szCs w:val="24"/>
                <w14:textFill>
                  <w14:solidFill>
                    <w14:schemeClr w14:val="tx1"/>
                  </w14:solidFill>
                </w14:textFill>
              </w:rPr>
              <w:t>建设军事设施的</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widowControl/>
              <w:suppressLineNumbers w:val="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（六）</w:t>
            </w:r>
            <w:r>
              <w:rPr>
                <w:rFonts w:hint="eastAsia" w:ascii="仿宋" w:hAnsi="仿宋" w:eastAsia="仿宋" w:cs="仿宋"/>
                <w:color w:val="000000" w:themeColor="text1"/>
                <w:sz w:val="24"/>
                <w:szCs w:val="24"/>
                <w14:textFill>
                  <w14:solidFill>
                    <w14:schemeClr w14:val="tx1"/>
                  </w14:solidFill>
                </w14:textFill>
              </w:rPr>
              <w:t>按照水土保持规划开展水土流失治理活动的</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widowControl/>
              <w:suppressLineNumbers w:val="0"/>
              <w:jc w:val="both"/>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（七）</w:t>
            </w:r>
            <w:r>
              <w:rPr>
                <w:rFonts w:hint="eastAsia" w:ascii="仿宋" w:hAnsi="仿宋" w:eastAsia="仿宋" w:cs="仿宋"/>
                <w:color w:val="000000" w:themeColor="text1"/>
                <w:sz w:val="24"/>
                <w:szCs w:val="24"/>
                <w14:textFill>
                  <w14:solidFill>
                    <w14:schemeClr w14:val="tx1"/>
                  </w14:solidFill>
                </w14:textFill>
              </w:rPr>
              <w:t>法律、行政法规和国务院规定免征水土保持补偿费的其他情形</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524" w:type="dxa"/>
            <w:shd w:val="clear" w:color="auto" w:fill="auto"/>
            <w:vAlign w:val="center"/>
          </w:tcPr>
          <w:p>
            <w:pPr>
              <w:jc w:val="left"/>
              <w:rPr>
                <w:rFonts w:hint="default"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4</w:t>
            </w:r>
          </w:p>
        </w:tc>
        <w:tc>
          <w:tcPr>
            <w:tcW w:w="1484" w:type="dxa"/>
            <w:shd w:val="clear" w:color="auto" w:fill="auto"/>
            <w:vAlign w:val="center"/>
          </w:tcPr>
          <w:p>
            <w:pPr>
              <w:jc w:val="left"/>
              <w:rPr>
                <w:rFonts w:hint="eastAsia" w:ascii="仿宋" w:hAnsi="仿宋" w:eastAsia="仿宋" w:cs="仿宋"/>
                <w:color w:val="000000" w:themeColor="text1"/>
                <w:kern w:val="2"/>
                <w:sz w:val="24"/>
                <w:szCs w:val="24"/>
                <w:highlight w:val="none"/>
                <w:vertAlign w:val="baseline"/>
                <w:lang w:val="e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vertAlign w:val="baseline"/>
                <w:lang w:val="en" w:eastAsia="zh-CN" w:bidi="ar-SA"/>
                <w14:textFill>
                  <w14:solidFill>
                    <w14:schemeClr w14:val="tx1"/>
                  </w14:solidFill>
                </w14:textFill>
              </w:rPr>
              <w:t>建设工程永久占用林地审核</w:t>
            </w:r>
          </w:p>
        </w:tc>
        <w:tc>
          <w:tcPr>
            <w:tcW w:w="1244" w:type="dxa"/>
            <w:shd w:val="clear" w:color="auto" w:fill="auto"/>
            <w:vAlign w:val="center"/>
          </w:tcPr>
          <w:p>
            <w:pPr>
              <w:keepNext w:val="0"/>
              <w:keepLines w:val="0"/>
              <w:widowControl/>
              <w:suppressLineNumbers w:val="0"/>
              <w:jc w:val="lef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森林植被恢复费</w:t>
            </w:r>
          </w:p>
          <w:p>
            <w:pPr>
              <w:jc w:val="left"/>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p>
        </w:tc>
        <w:tc>
          <w:tcPr>
            <w:tcW w:w="847" w:type="dxa"/>
            <w:shd w:val="clear" w:color="auto" w:fill="auto"/>
            <w:vAlign w:val="center"/>
          </w:tcPr>
          <w:p>
            <w:pPr>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自然资源部门</w:t>
            </w:r>
          </w:p>
        </w:tc>
        <w:tc>
          <w:tcPr>
            <w:tcW w:w="734" w:type="dxa"/>
            <w:shd w:val="clear" w:color="auto" w:fill="auto"/>
            <w:vAlign w:val="center"/>
          </w:tcPr>
          <w:p>
            <w:pPr>
              <w:jc w:val="left"/>
              <w:rPr>
                <w:rFonts w:hint="eastAsia" w:ascii="仿宋" w:hAnsi="仿宋" w:eastAsia="仿宋" w:cs="仿宋"/>
                <w:color w:val="000000" w:themeColor="text1"/>
                <w:kern w:val="2"/>
                <w:sz w:val="24"/>
                <w:szCs w:val="24"/>
                <w:vertAlign w:val="baseline"/>
                <w:lang w:val="en"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政府性基金</w:t>
            </w:r>
          </w:p>
        </w:tc>
        <w:tc>
          <w:tcPr>
            <w:tcW w:w="1896" w:type="dxa"/>
            <w:shd w:val="clear" w:color="auto" w:fill="auto"/>
            <w:vAlign w:val="center"/>
          </w:tcPr>
          <w:p>
            <w:pPr>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凡在我市申请建设项目使用林地审批的单位和个人在办理建设项目使用林地审批时缴纳森林植被恢复费</w:t>
            </w:r>
          </w:p>
        </w:tc>
        <w:tc>
          <w:tcPr>
            <w:tcW w:w="3906" w:type="dxa"/>
            <w:shd w:val="clear" w:color="auto" w:fill="auto"/>
            <w:vAlign w:val="center"/>
          </w:tcPr>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vertAlign w:val="baseline"/>
                <w14:textFill>
                  <w14:solidFill>
                    <w14:schemeClr w14:val="tx1"/>
                  </w14:solidFill>
                </w14:textFill>
              </w:rPr>
              <w:t>缴费依据和标准</w:t>
            </w:r>
            <w:r>
              <w:rPr>
                <w:rFonts w:hint="eastAsia" w:ascii="仿宋" w:hAnsi="仿宋" w:eastAsia="仿宋" w:cs="仿宋"/>
                <w:b/>
                <w:bCs/>
                <w:color w:val="000000" w:themeColor="text1"/>
                <w:sz w:val="24"/>
                <w:szCs w:val="24"/>
                <w:vertAlign w:val="baselin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根据《关于调整森林植被恢复费征收标准的通知》（粤财农〔2017〕54号）、《财政部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国家林业局关于调整森林植被恢复费征收标准引导节约集约利用林地的通知》(财税〔2015〕122号)以及《国家林业和草原局公告》（2023年第13号）规定：</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（一）郁闭度0.2以上的乔木林地(含采伐迹地、火烧迹地)、竹林地、苗圃地，每平方米20元;灌木林地、疏林地、未成林造林地，每平方米12元;宜林地，每平方米6元。</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(二)国家和省级公益林林地，按照第(一)款规定征收标准2倍征收。</w:t>
            </w:r>
          </w:p>
          <w:p>
            <w:pPr>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(三)城市规划区的林地，按照第(一)(二)款规定征收标准2倍征收</w:t>
            </w:r>
            <w:r>
              <w:rPr>
                <w:rFonts w:hint="eastAsia" w:ascii="仿宋" w:hAnsi="仿宋" w:eastAsia="仿宋" w:cs="仿宋"/>
                <w:color w:val="000000" w:themeColor="text1"/>
                <w:sz w:val="24"/>
                <w:szCs w:val="24"/>
                <w:lang w:eastAsia="zh-CN"/>
                <w14:textFill>
                  <w14:solidFill>
                    <w14:schemeClr w14:val="tx1"/>
                  </w14:solidFill>
                </w14:textFill>
              </w:rPr>
              <w:t>。</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城市规划区外的林地，按占用征收林地建设项目性质实行不同征收标准。属于公共基础设施、公共事业和国防建设项目的，按照第(一)、(二)款规定征收标准征收;属于经营性建设项目的，按照第(一)、(二)款规定征收标准2倍征收。</w:t>
            </w:r>
          </w:p>
          <w:p>
            <w:pPr>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临时使用林地项目，不需要缴纳森林植被恢复费</w:t>
            </w:r>
            <w:r>
              <w:rPr>
                <w:rFonts w:hint="eastAsia" w:ascii="仿宋" w:hAnsi="仿宋" w:eastAsia="仿宋" w:cs="仿宋"/>
                <w:color w:val="000000" w:themeColor="text1"/>
                <w:sz w:val="24"/>
                <w:szCs w:val="24"/>
                <w:lang w:eastAsia="zh-CN"/>
                <w14:textFill>
                  <w14:solidFill>
                    <w14:schemeClr w14:val="tx1"/>
                  </w14:solidFill>
                </w14:textFill>
              </w:rPr>
              <w:t>。</w:t>
            </w:r>
          </w:p>
        </w:tc>
        <w:tc>
          <w:tcPr>
            <w:tcW w:w="3819" w:type="dxa"/>
            <w:shd w:val="clear" w:color="auto" w:fill="auto"/>
            <w:vAlign w:val="top"/>
          </w:tcPr>
          <w:p>
            <w:pPr>
              <w:jc w:val="both"/>
              <w:rPr>
                <w:rFonts w:hint="eastAsia" w:ascii="仿宋" w:hAnsi="仿宋" w:eastAsia="仿宋" w:cs="仿宋"/>
                <w:b/>
                <w:bCs/>
                <w:color w:val="000000" w:themeColor="text1"/>
                <w:sz w:val="24"/>
                <w:szCs w:val="24"/>
                <w:lang w:val="en-US" w:eastAsia="zh-CN"/>
                <w14:textFill>
                  <w14:solidFill>
                    <w14:schemeClr w14:val="tx1"/>
                  </w14:solidFill>
                </w14:textFill>
              </w:rPr>
            </w:pPr>
          </w:p>
          <w:p>
            <w:pPr>
              <w:jc w:val="both"/>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可减免的情形：</w:t>
            </w:r>
          </w:p>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按照《财政部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国家林业局关于调整森林植被恢复费征收标准引导节约集约利用林地的通知》(财税〔2015〕122号)规定，对农村居民按规定标准建设住宅，农村集体经济组织修建乡村道路、学校、幼儿园、敬老院、福利院、卫生院等社会公益项目以及保障性安居工程，免征森林植被恢复费。</w:t>
            </w:r>
          </w:p>
          <w:p>
            <w:pPr>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国家林业和草原局公告（2023年第13号）（临时使用林地不再收取森林植被恢复费）</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0" w:hRule="atLeast"/>
        </w:trPr>
        <w:tc>
          <w:tcPr>
            <w:tcW w:w="524" w:type="dxa"/>
            <w:vAlign w:val="center"/>
          </w:tcPr>
          <w:p>
            <w:pPr>
              <w:jc w:val="left"/>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5</w:t>
            </w:r>
          </w:p>
        </w:tc>
        <w:tc>
          <w:tcPr>
            <w:tcW w:w="1484" w:type="dxa"/>
            <w:vAlign w:val="center"/>
          </w:tcPr>
          <w:p>
            <w:pPr>
              <w:spacing w:line="300" w:lineRule="exact"/>
              <w:jc w:val="both"/>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t>占用、挖掘城市道路审批</w:t>
            </w:r>
          </w:p>
        </w:tc>
        <w:tc>
          <w:tcPr>
            <w:tcW w:w="1244" w:type="dxa"/>
            <w:vAlign w:val="center"/>
          </w:tcPr>
          <w:p>
            <w:pPr>
              <w:keepNext w:val="0"/>
              <w:keepLines w:val="0"/>
              <w:widowControl/>
              <w:suppressLineNumbers w:val="0"/>
              <w:spacing w:line="300" w:lineRule="exact"/>
              <w:jc w:val="both"/>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aps w:val="0"/>
                <w:color w:val="000000" w:themeColor="text1"/>
                <w:spacing w:val="0"/>
                <w:kern w:val="2"/>
                <w:sz w:val="24"/>
                <w:szCs w:val="24"/>
                <w:highlight w:val="none"/>
                <w:shd w:val="clear" w:fill="auto"/>
                <w:lang w:val="en-US" w:eastAsia="zh-CN" w:bidi="ar"/>
                <w14:textFill>
                  <w14:solidFill>
                    <w14:schemeClr w14:val="tx1"/>
                  </w14:solidFill>
                </w14:textFill>
              </w:rPr>
              <w:t>城市道路占用、挖掘修复费</w:t>
            </w:r>
          </w:p>
        </w:tc>
        <w:tc>
          <w:tcPr>
            <w:tcW w:w="847" w:type="dxa"/>
            <w:vAlign w:val="center"/>
          </w:tcPr>
          <w:p>
            <w:pPr>
              <w:spacing w:line="300" w:lineRule="exact"/>
              <w:jc w:val="left"/>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区城管审批部门</w:t>
            </w:r>
          </w:p>
        </w:tc>
        <w:tc>
          <w:tcPr>
            <w:tcW w:w="734" w:type="dxa"/>
            <w:vAlign w:val="center"/>
          </w:tcPr>
          <w:p>
            <w:pPr>
              <w:spacing w:line="300" w:lineRule="exact"/>
              <w:jc w:val="both"/>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行政事业性收费</w:t>
            </w:r>
          </w:p>
        </w:tc>
        <w:tc>
          <w:tcPr>
            <w:tcW w:w="1896" w:type="dxa"/>
            <w:vAlign w:val="center"/>
          </w:tcPr>
          <w:p>
            <w:pPr>
              <w:spacing w:line="300" w:lineRule="exact"/>
              <w:jc w:val="both"/>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i w:val="0"/>
                <w:iCs w:val="0"/>
                <w:caps w:val="0"/>
                <w:color w:val="000000" w:themeColor="text1"/>
                <w:spacing w:val="0"/>
                <w:kern w:val="2"/>
                <w:sz w:val="24"/>
                <w:szCs w:val="24"/>
                <w:shd w:val="clear" w:fill="auto"/>
                <w:lang w:val="en-US" w:eastAsia="zh-CN" w:bidi="ar"/>
                <w14:textFill>
                  <w14:solidFill>
                    <w14:schemeClr w14:val="tx1"/>
                  </w14:solidFill>
                </w14:textFill>
              </w:rPr>
              <w:t>占用城市规划区内道路的单位和个人收取;</w:t>
            </w:r>
            <w:r>
              <w:rPr>
                <w:rFonts w:hint="eastAsia" w:ascii="仿宋" w:hAnsi="仿宋" w:eastAsia="仿宋" w:cs="仿宋"/>
                <w:color w:val="000000" w:themeColor="text1"/>
                <w:sz w:val="24"/>
                <w:szCs w:val="24"/>
                <w:vertAlign w:val="baseline"/>
                <w:lang w:eastAsia="zh-CN"/>
                <w14:textFill>
                  <w14:solidFill>
                    <w14:schemeClr w14:val="tx1"/>
                  </w14:solidFill>
                </w14:textFill>
              </w:rPr>
              <w:t>对挖掘由城市道路行政主管部门管理的城市道路收取修复费</w:t>
            </w:r>
          </w:p>
        </w:tc>
        <w:tc>
          <w:tcPr>
            <w:tcW w:w="3906" w:type="dxa"/>
            <w:vAlign w:val="center"/>
          </w:tcPr>
          <w:p>
            <w:pPr>
              <w:spacing w:line="300" w:lineRule="exact"/>
              <w:jc w:val="both"/>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缴费依据：</w:t>
            </w:r>
          </w:p>
          <w:p>
            <w:pPr>
              <w:spacing w:line="300" w:lineRule="exact"/>
              <w:jc w:val="both"/>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r>
              <w:rPr>
                <w:rFonts w:hint="eastAsia" w:ascii="仿宋" w:hAnsi="仿宋" w:eastAsia="仿宋" w:cs="仿宋"/>
                <w:color w:val="000000" w:themeColor="text1"/>
                <w:sz w:val="24"/>
                <w:szCs w:val="24"/>
                <w:vertAlign w:val="baseline"/>
                <w14:textFill>
                  <w14:solidFill>
                    <w14:schemeClr w14:val="tx1"/>
                  </w14:solidFill>
                </w14:textFill>
              </w:rPr>
              <w:t>《城市道路管理条例》</w:t>
            </w:r>
            <w:r>
              <w:rPr>
                <w:rFonts w:hint="eastAsia" w:ascii="仿宋" w:hAnsi="仿宋" w:eastAsia="仿宋" w:cs="仿宋"/>
                <w:color w:val="000000" w:themeColor="text1"/>
                <w:sz w:val="24"/>
                <w:szCs w:val="24"/>
                <w:vertAlign w:val="baseline"/>
                <w:lang w:eastAsia="zh-CN"/>
                <w14:textFill>
                  <w14:solidFill>
                    <w14:schemeClr w14:val="tx1"/>
                  </w14:solidFill>
                </w14:textFill>
              </w:rPr>
              <w:t>（</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国务院令第198号</w:t>
            </w:r>
            <w:r>
              <w:rPr>
                <w:rFonts w:hint="eastAsia" w:ascii="仿宋" w:hAnsi="仿宋" w:eastAsia="仿宋" w:cs="仿宋"/>
                <w:color w:val="000000" w:themeColor="text1"/>
                <w:sz w:val="24"/>
                <w:szCs w:val="24"/>
                <w:vertAlign w:val="baseline"/>
                <w:lang w:eastAsia="zh-CN"/>
                <w14:textFill>
                  <w14:solidFill>
                    <w14:schemeClr w14:val="tx1"/>
                  </w14:solidFill>
                </w14:textFill>
              </w:rPr>
              <w:t>）；</w:t>
            </w:r>
          </w:p>
          <w:p>
            <w:pPr>
              <w:spacing w:line="300" w:lineRule="exact"/>
              <w:jc w:val="both"/>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2.《建设部、财政部、国家物价局关于印发〈城市道路占用挖掘收费管理办法〉的通知》（建城〔1993〕410号）；</w:t>
            </w:r>
          </w:p>
          <w:p>
            <w:pPr>
              <w:spacing w:line="300" w:lineRule="exact"/>
              <w:jc w:val="both"/>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3.《财政部、国家发展改革委关于重新发布中央管理的住房城乡建设部门行政事业性收费项目的通知》（财税〔2015〕68号）；</w:t>
            </w:r>
          </w:p>
          <w:p>
            <w:pPr>
              <w:spacing w:line="300" w:lineRule="exact"/>
              <w:jc w:val="both"/>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4.《广东省物价局、广东省财政厅、广东省公安厅、广东省建设委员会关于城市道路临时占用费和挖掘修复费问题的通知》（粤价〔1996〕104号）；</w:t>
            </w:r>
          </w:p>
          <w:p>
            <w:pPr>
              <w:spacing w:line="300" w:lineRule="exact"/>
              <w:jc w:val="both"/>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5.《广东省物价局、广东省财政厅、广东省公安厅、广东省建设委员会关于城市道路临时占用费收取问题的通知》（粤价〔1997〕33号）；</w:t>
            </w:r>
          </w:p>
          <w:p>
            <w:pPr>
              <w:spacing w:line="300" w:lineRule="exact"/>
              <w:jc w:val="both"/>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6.《关于城市道路临时占用费和挖掘修复费有关问题的复函》（粤价函〔2013〕686号）；</w:t>
            </w:r>
          </w:p>
          <w:p>
            <w:pPr>
              <w:spacing w:line="300" w:lineRule="exact"/>
              <w:jc w:val="both"/>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7.《广东省全国性行政事业性收费目录清单（截至2023年12月27日）》；</w:t>
            </w:r>
          </w:p>
          <w:p>
            <w:pPr>
              <w:spacing w:line="300" w:lineRule="exact"/>
              <w:jc w:val="both"/>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8.《国务院办公厅关于支持多渠道灵活就业的意见》（国办发〔2020〕27号）；</w:t>
            </w:r>
          </w:p>
          <w:p>
            <w:pPr>
              <w:spacing w:line="300" w:lineRule="exact"/>
              <w:jc w:val="both"/>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9.《</w:t>
            </w:r>
            <w:r>
              <w:rPr>
                <w:rFonts w:hint="eastAsia" w:ascii="仿宋" w:hAnsi="仿宋" w:eastAsia="仿宋" w:cs="仿宋"/>
                <w:color w:val="000000" w:themeColor="text1"/>
                <w:sz w:val="24"/>
                <w:szCs w:val="24"/>
                <w:vertAlign w:val="baseline"/>
                <w14:textFill>
                  <w14:solidFill>
                    <w14:schemeClr w14:val="tx1"/>
                  </w14:solidFill>
                </w14:textFill>
              </w:rPr>
              <w:t>广东省住房和城乡建设厅关于印发</w:t>
            </w:r>
            <w:r>
              <w:rPr>
                <w:rFonts w:hint="eastAsia" w:ascii="仿宋" w:hAnsi="仿宋" w:eastAsia="仿宋" w:cs="仿宋"/>
                <w:color w:val="000000" w:themeColor="text1"/>
                <w:sz w:val="24"/>
                <w:szCs w:val="24"/>
                <w:vertAlign w:val="baseline"/>
                <w:lang w:eastAsia="zh-CN"/>
                <w14:textFill>
                  <w14:solidFill>
                    <w14:schemeClr w14:val="tx1"/>
                  </w14:solidFill>
                </w14:textFill>
              </w:rPr>
              <w:t>〈</w:t>
            </w:r>
            <w:r>
              <w:rPr>
                <w:rFonts w:hint="eastAsia" w:ascii="仿宋" w:hAnsi="仿宋" w:eastAsia="仿宋" w:cs="仿宋"/>
                <w:color w:val="000000" w:themeColor="text1"/>
                <w:sz w:val="24"/>
                <w:szCs w:val="24"/>
                <w:vertAlign w:val="baseline"/>
                <w14:textFill>
                  <w14:solidFill>
                    <w14:schemeClr w14:val="tx1"/>
                  </w14:solidFill>
                </w14:textFill>
              </w:rPr>
              <w:t>广东省城市道路挖掘修复收费标准（2024年修订）</w:t>
            </w:r>
            <w:r>
              <w:rPr>
                <w:rFonts w:hint="eastAsia" w:ascii="仿宋" w:hAnsi="仿宋" w:eastAsia="仿宋" w:cs="仿宋"/>
                <w:color w:val="000000" w:themeColor="text1"/>
                <w:sz w:val="24"/>
                <w:szCs w:val="24"/>
                <w:vertAlign w:val="baseline"/>
                <w:lang w:eastAsia="zh-CN"/>
                <w14:textFill>
                  <w14:solidFill>
                    <w14:schemeClr w14:val="tx1"/>
                  </w14:solidFill>
                </w14:textFill>
              </w:rPr>
              <w:t>〉</w:t>
            </w:r>
            <w:r>
              <w:rPr>
                <w:rFonts w:hint="eastAsia" w:ascii="仿宋" w:hAnsi="仿宋" w:eastAsia="仿宋" w:cs="仿宋"/>
                <w:color w:val="000000" w:themeColor="text1"/>
                <w:sz w:val="24"/>
                <w:szCs w:val="24"/>
                <w:vertAlign w:val="baseline"/>
                <w14:textFill>
                  <w14:solidFill>
                    <w14:schemeClr w14:val="tx1"/>
                  </w14:solidFill>
                </w14:textFill>
              </w:rPr>
              <w:t>的通知</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粤建城</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〔2024〕73号）。</w:t>
            </w:r>
          </w:p>
          <w:p>
            <w:pPr>
              <w:spacing w:line="300" w:lineRule="exact"/>
              <w:jc w:val="both"/>
              <w:rPr>
                <w:rFonts w:hint="eastAsia" w:ascii="仿宋" w:hAnsi="仿宋" w:eastAsia="仿宋" w:cs="仿宋"/>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kern w:val="0"/>
                <w:sz w:val="24"/>
                <w:szCs w:val="24"/>
                <w:shd w:val="clear" w:fill="FFFFFF"/>
                <w:lang w:val="en-US" w:eastAsia="zh-CN" w:bidi="ar"/>
                <w14:textFill>
                  <w14:solidFill>
                    <w14:schemeClr w14:val="tx1"/>
                  </w14:solidFill>
                </w14:textFill>
              </w:rPr>
              <w:t>缴费标准：</w:t>
            </w:r>
          </w:p>
          <w:p>
            <w:pPr>
              <w:spacing w:line="300" w:lineRule="exact"/>
              <w:jc w:val="both"/>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1.城市道路临时占用费标准：营业性占用，每天每平方米不超过1.00元；基建或其他占用，每天每平方米不超过0.50元；对经批准占道经营的免征城市道路占用费。</w:t>
            </w:r>
          </w:p>
          <w:p>
            <w:pPr>
              <w:spacing w:line="300" w:lineRule="exact"/>
              <w:jc w:val="both"/>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2.城市道路挖掘修复收费标准：按《</w:t>
            </w:r>
            <w:r>
              <w:rPr>
                <w:rFonts w:hint="eastAsia" w:ascii="仿宋" w:hAnsi="仿宋" w:eastAsia="仿宋" w:cs="仿宋"/>
                <w:color w:val="000000" w:themeColor="text1"/>
                <w:sz w:val="24"/>
                <w:szCs w:val="24"/>
                <w:vertAlign w:val="baseline"/>
                <w14:textFill>
                  <w14:solidFill>
                    <w14:schemeClr w14:val="tx1"/>
                  </w14:solidFill>
                </w14:textFill>
              </w:rPr>
              <w:t>广东省住房和城乡建设厅关于印发</w:t>
            </w:r>
            <w:r>
              <w:rPr>
                <w:rFonts w:hint="eastAsia" w:ascii="仿宋" w:hAnsi="仿宋" w:eastAsia="仿宋" w:cs="仿宋"/>
                <w:color w:val="000000" w:themeColor="text1"/>
                <w:sz w:val="24"/>
                <w:szCs w:val="24"/>
                <w:vertAlign w:val="baseline"/>
                <w:lang w:eastAsia="zh-CN"/>
                <w14:textFill>
                  <w14:solidFill>
                    <w14:schemeClr w14:val="tx1"/>
                  </w14:solidFill>
                </w14:textFill>
              </w:rPr>
              <w:t>〈</w:t>
            </w:r>
            <w:r>
              <w:rPr>
                <w:rFonts w:hint="eastAsia" w:ascii="仿宋" w:hAnsi="仿宋" w:eastAsia="仿宋" w:cs="仿宋"/>
                <w:color w:val="000000" w:themeColor="text1"/>
                <w:sz w:val="24"/>
                <w:szCs w:val="24"/>
                <w:vertAlign w:val="baseline"/>
                <w14:textFill>
                  <w14:solidFill>
                    <w14:schemeClr w14:val="tx1"/>
                  </w14:solidFill>
                </w14:textFill>
              </w:rPr>
              <w:t>广东省城市道路挖掘修复收费标准</w:t>
            </w:r>
            <w:r>
              <w:rPr>
                <w:rFonts w:hint="eastAsia" w:ascii="仿宋" w:hAnsi="仿宋" w:eastAsia="仿宋" w:cs="仿宋"/>
                <w:color w:val="auto"/>
                <w:sz w:val="24"/>
                <w:szCs w:val="24"/>
                <w:vertAlign w:val="baseline"/>
              </w:rPr>
              <w:t>（2024年修订）</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的通知</w:t>
            </w:r>
            <w:r>
              <w:rPr>
                <w:rFonts w:hint="eastAsia" w:ascii="仿宋" w:hAnsi="仿宋" w:eastAsia="仿宋" w:cs="仿宋"/>
                <w:color w:val="auto"/>
                <w:sz w:val="24"/>
                <w:szCs w:val="24"/>
                <w:vertAlign w:val="baseline"/>
                <w:lang w:val="en-US" w:eastAsia="zh-CN"/>
              </w:rPr>
              <w:t>》执行；挖掘道路的单位和个人按要求自行修复的，不收城市道路挖掘修复费。</w:t>
            </w:r>
          </w:p>
        </w:tc>
        <w:tc>
          <w:tcPr>
            <w:tcW w:w="3819" w:type="dxa"/>
            <w:vAlign w:val="center"/>
          </w:tcPr>
          <w:p>
            <w:pPr>
              <w:keepNext w:val="0"/>
              <w:keepLines w:val="0"/>
              <w:widowControl/>
              <w:suppressLineNumbers w:val="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p>
        </w:tc>
      </w:tr>
    </w:tbl>
    <w:p>
      <w:pPr>
        <w:jc w:val="left"/>
        <w:rPr>
          <w:rFonts w:hint="eastAsia" w:ascii="仿宋" w:hAnsi="仿宋" w:eastAsia="仿宋" w:cs="仿宋"/>
          <w:sz w:val="28"/>
          <w:szCs w:val="28"/>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WM3M2E5MjBkMmIwZDAxMzM2OWQ0ODRmZGEzZWQifQ=="/>
  </w:docVars>
  <w:rsids>
    <w:rsidRoot w:val="00000000"/>
    <w:rsid w:val="1075707E"/>
    <w:rsid w:val="13111303"/>
    <w:rsid w:val="13AB5331"/>
    <w:rsid w:val="16070E41"/>
    <w:rsid w:val="18594186"/>
    <w:rsid w:val="1A3537BA"/>
    <w:rsid w:val="1ABF083D"/>
    <w:rsid w:val="1DB7ABB5"/>
    <w:rsid w:val="1EF547F8"/>
    <w:rsid w:val="1FAD6275"/>
    <w:rsid w:val="1FB6FE55"/>
    <w:rsid w:val="22FC5AF3"/>
    <w:rsid w:val="2CFFD3D4"/>
    <w:rsid w:val="2E54056F"/>
    <w:rsid w:val="2FBF6B11"/>
    <w:rsid w:val="305207F9"/>
    <w:rsid w:val="3377D186"/>
    <w:rsid w:val="36EE2B1B"/>
    <w:rsid w:val="36FE2EFF"/>
    <w:rsid w:val="374D36BA"/>
    <w:rsid w:val="3987775A"/>
    <w:rsid w:val="3AD66F2B"/>
    <w:rsid w:val="3B2F108E"/>
    <w:rsid w:val="3BB9C93F"/>
    <w:rsid w:val="3BEB6B7A"/>
    <w:rsid w:val="3C2F0D84"/>
    <w:rsid w:val="3CF785C2"/>
    <w:rsid w:val="3D7644A2"/>
    <w:rsid w:val="3E0E2B13"/>
    <w:rsid w:val="3EFDC16C"/>
    <w:rsid w:val="3F6FD64C"/>
    <w:rsid w:val="3F7E2016"/>
    <w:rsid w:val="3FEF55FE"/>
    <w:rsid w:val="3FFD8012"/>
    <w:rsid w:val="44FBB642"/>
    <w:rsid w:val="47566E6D"/>
    <w:rsid w:val="47BFDAEB"/>
    <w:rsid w:val="493B1BEC"/>
    <w:rsid w:val="4B6F1521"/>
    <w:rsid w:val="4DF7B080"/>
    <w:rsid w:val="4EF5DCE8"/>
    <w:rsid w:val="4FBAFB6B"/>
    <w:rsid w:val="4FE758D0"/>
    <w:rsid w:val="503E6050"/>
    <w:rsid w:val="51272F2C"/>
    <w:rsid w:val="56605C79"/>
    <w:rsid w:val="56EFF3C7"/>
    <w:rsid w:val="57F362D8"/>
    <w:rsid w:val="58B451EB"/>
    <w:rsid w:val="58D44CEC"/>
    <w:rsid w:val="5B232CFF"/>
    <w:rsid w:val="5B6B163A"/>
    <w:rsid w:val="5DBF1DE9"/>
    <w:rsid w:val="5E7E58F2"/>
    <w:rsid w:val="5EF73061"/>
    <w:rsid w:val="5F3E2DD6"/>
    <w:rsid w:val="5FBB2201"/>
    <w:rsid w:val="5FDC1D38"/>
    <w:rsid w:val="5FEEFC00"/>
    <w:rsid w:val="5FFD57E8"/>
    <w:rsid w:val="6175325A"/>
    <w:rsid w:val="61FF4186"/>
    <w:rsid w:val="639B4273"/>
    <w:rsid w:val="63F12DF7"/>
    <w:rsid w:val="6567EB3F"/>
    <w:rsid w:val="65EF1C8D"/>
    <w:rsid w:val="65EFCB53"/>
    <w:rsid w:val="65FE97F4"/>
    <w:rsid w:val="66BBB066"/>
    <w:rsid w:val="675F9C36"/>
    <w:rsid w:val="6767547C"/>
    <w:rsid w:val="68F4AE0C"/>
    <w:rsid w:val="69A10921"/>
    <w:rsid w:val="69FE9039"/>
    <w:rsid w:val="6A5E1536"/>
    <w:rsid w:val="6ACE63A5"/>
    <w:rsid w:val="6AFDE1AE"/>
    <w:rsid w:val="6BFB0D0E"/>
    <w:rsid w:val="6CCDFAB7"/>
    <w:rsid w:val="6CFDA7E5"/>
    <w:rsid w:val="6D78152A"/>
    <w:rsid w:val="6DCB2493"/>
    <w:rsid w:val="6DFB3402"/>
    <w:rsid w:val="6EA7E193"/>
    <w:rsid w:val="6EDD53D8"/>
    <w:rsid w:val="6F7F131E"/>
    <w:rsid w:val="6FBFAED2"/>
    <w:rsid w:val="6FEF73B6"/>
    <w:rsid w:val="6FFD8F54"/>
    <w:rsid w:val="6FFFC57F"/>
    <w:rsid w:val="715A546F"/>
    <w:rsid w:val="720A7FF1"/>
    <w:rsid w:val="72FF6ADD"/>
    <w:rsid w:val="738CDD11"/>
    <w:rsid w:val="73B58827"/>
    <w:rsid w:val="73BD0669"/>
    <w:rsid w:val="73F66F63"/>
    <w:rsid w:val="73FFE612"/>
    <w:rsid w:val="75479FFD"/>
    <w:rsid w:val="75BFCC6A"/>
    <w:rsid w:val="76F62F58"/>
    <w:rsid w:val="77779A9E"/>
    <w:rsid w:val="77DBDD45"/>
    <w:rsid w:val="77EFAFBF"/>
    <w:rsid w:val="77F2B193"/>
    <w:rsid w:val="77FD6A71"/>
    <w:rsid w:val="77FF7347"/>
    <w:rsid w:val="77FF90AE"/>
    <w:rsid w:val="78F8A6E9"/>
    <w:rsid w:val="797F0C8E"/>
    <w:rsid w:val="79D735D1"/>
    <w:rsid w:val="79EFE91A"/>
    <w:rsid w:val="7A33D663"/>
    <w:rsid w:val="7ABFDD0B"/>
    <w:rsid w:val="7B1F4E83"/>
    <w:rsid w:val="7B6B9C50"/>
    <w:rsid w:val="7BBE89F0"/>
    <w:rsid w:val="7BE337E9"/>
    <w:rsid w:val="7BF1A33A"/>
    <w:rsid w:val="7BFF0105"/>
    <w:rsid w:val="7CEF48C2"/>
    <w:rsid w:val="7CFF22D1"/>
    <w:rsid w:val="7D226A51"/>
    <w:rsid w:val="7D3D47D1"/>
    <w:rsid w:val="7D5D851E"/>
    <w:rsid w:val="7D7F2DB6"/>
    <w:rsid w:val="7DDFCDB5"/>
    <w:rsid w:val="7DE7A5FE"/>
    <w:rsid w:val="7DFC2A0B"/>
    <w:rsid w:val="7E3C66EB"/>
    <w:rsid w:val="7E54CE77"/>
    <w:rsid w:val="7E7BEE4C"/>
    <w:rsid w:val="7ED51DFE"/>
    <w:rsid w:val="7ED7218D"/>
    <w:rsid w:val="7EDB5475"/>
    <w:rsid w:val="7EEDBCD7"/>
    <w:rsid w:val="7EF4B8F8"/>
    <w:rsid w:val="7EFDA4D2"/>
    <w:rsid w:val="7EFFAEF0"/>
    <w:rsid w:val="7F2FC937"/>
    <w:rsid w:val="7F5D77E8"/>
    <w:rsid w:val="7F6E2782"/>
    <w:rsid w:val="7F7D58EC"/>
    <w:rsid w:val="7F7EBE55"/>
    <w:rsid w:val="7F7FCA34"/>
    <w:rsid w:val="7F952576"/>
    <w:rsid w:val="7FB3BA3F"/>
    <w:rsid w:val="7FBF235C"/>
    <w:rsid w:val="7FBFC40C"/>
    <w:rsid w:val="7FBFCEEF"/>
    <w:rsid w:val="7FD3020D"/>
    <w:rsid w:val="7FDFBB1B"/>
    <w:rsid w:val="7FED4605"/>
    <w:rsid w:val="7FED777D"/>
    <w:rsid w:val="7FEFCD53"/>
    <w:rsid w:val="7FF42097"/>
    <w:rsid w:val="7FF73F63"/>
    <w:rsid w:val="7FF759C8"/>
    <w:rsid w:val="7FFB7666"/>
    <w:rsid w:val="7FFFD27E"/>
    <w:rsid w:val="90FFF171"/>
    <w:rsid w:val="96498CFC"/>
    <w:rsid w:val="97D81BF3"/>
    <w:rsid w:val="9AFEC093"/>
    <w:rsid w:val="9CFAF6A3"/>
    <w:rsid w:val="9D4B5CFF"/>
    <w:rsid w:val="9FFFA222"/>
    <w:rsid w:val="A9FE0B6A"/>
    <w:rsid w:val="ADCB1EC5"/>
    <w:rsid w:val="AE6FB889"/>
    <w:rsid w:val="AEFF357B"/>
    <w:rsid w:val="AFB649E2"/>
    <w:rsid w:val="AFB7D5B1"/>
    <w:rsid w:val="B0F6D653"/>
    <w:rsid w:val="B1BD4787"/>
    <w:rsid w:val="B5F6C213"/>
    <w:rsid w:val="B6FBFFEC"/>
    <w:rsid w:val="B7603DDD"/>
    <w:rsid w:val="B7AE070E"/>
    <w:rsid w:val="B7F6642C"/>
    <w:rsid w:val="B7FEDC49"/>
    <w:rsid w:val="B8FC549D"/>
    <w:rsid w:val="BA7B23C6"/>
    <w:rsid w:val="BAEA690F"/>
    <w:rsid w:val="BDDD1750"/>
    <w:rsid w:val="BE7BACB4"/>
    <w:rsid w:val="BEBECE18"/>
    <w:rsid w:val="BF6203F3"/>
    <w:rsid w:val="BFB64BB9"/>
    <w:rsid w:val="BFD8B39F"/>
    <w:rsid w:val="BFEEBCFF"/>
    <w:rsid w:val="BFFB12EB"/>
    <w:rsid w:val="BFFD4CE6"/>
    <w:rsid w:val="BFFFC253"/>
    <w:rsid w:val="C23D2116"/>
    <w:rsid w:val="C3FC2ECC"/>
    <w:rsid w:val="C7FDF905"/>
    <w:rsid w:val="CD914385"/>
    <w:rsid w:val="CEF4C56B"/>
    <w:rsid w:val="CFB85EE6"/>
    <w:rsid w:val="CFF7331C"/>
    <w:rsid w:val="D3377656"/>
    <w:rsid w:val="D4FB8232"/>
    <w:rsid w:val="D749D7FA"/>
    <w:rsid w:val="D7D69FDD"/>
    <w:rsid w:val="D7FF4A39"/>
    <w:rsid w:val="DA6954A6"/>
    <w:rsid w:val="DB8F587E"/>
    <w:rsid w:val="DBEC9E90"/>
    <w:rsid w:val="DBFE0E10"/>
    <w:rsid w:val="DD575C06"/>
    <w:rsid w:val="DDF736E5"/>
    <w:rsid w:val="DEBDB00E"/>
    <w:rsid w:val="DEFF0EFB"/>
    <w:rsid w:val="DF7FB3A7"/>
    <w:rsid w:val="DF9ED850"/>
    <w:rsid w:val="DFB3B3C0"/>
    <w:rsid w:val="DFF61BAF"/>
    <w:rsid w:val="DFFE340F"/>
    <w:rsid w:val="E1FEB477"/>
    <w:rsid w:val="E3FB9FFE"/>
    <w:rsid w:val="E5F57DCC"/>
    <w:rsid w:val="E6B40246"/>
    <w:rsid w:val="E6FE8923"/>
    <w:rsid w:val="E7EFE2D4"/>
    <w:rsid w:val="EB6B9F43"/>
    <w:rsid w:val="EBBE1A50"/>
    <w:rsid w:val="EBF76856"/>
    <w:rsid w:val="ED2F8F42"/>
    <w:rsid w:val="EEEEA119"/>
    <w:rsid w:val="EF382A5C"/>
    <w:rsid w:val="EFBEDE21"/>
    <w:rsid w:val="EFCDBD73"/>
    <w:rsid w:val="EFD496CB"/>
    <w:rsid w:val="EFF36CCB"/>
    <w:rsid w:val="F3FEAD9A"/>
    <w:rsid w:val="F6C6A62D"/>
    <w:rsid w:val="F75B1D94"/>
    <w:rsid w:val="F77AC0D2"/>
    <w:rsid w:val="F7CECE16"/>
    <w:rsid w:val="F7F3DEE9"/>
    <w:rsid w:val="F7FD10AC"/>
    <w:rsid w:val="F7FE01BA"/>
    <w:rsid w:val="F975E7A3"/>
    <w:rsid w:val="F97F8964"/>
    <w:rsid w:val="F9FAA142"/>
    <w:rsid w:val="F9FF2AFF"/>
    <w:rsid w:val="FB7FD427"/>
    <w:rsid w:val="FB9FEB7B"/>
    <w:rsid w:val="FBDECB8F"/>
    <w:rsid w:val="FBFA4A97"/>
    <w:rsid w:val="FBFEE69E"/>
    <w:rsid w:val="FCCB273F"/>
    <w:rsid w:val="FCEF4618"/>
    <w:rsid w:val="FCFF600E"/>
    <w:rsid w:val="FD7522D5"/>
    <w:rsid w:val="FD784992"/>
    <w:rsid w:val="FDFE4A60"/>
    <w:rsid w:val="FDFFC1FB"/>
    <w:rsid w:val="FE734873"/>
    <w:rsid w:val="FEDF5004"/>
    <w:rsid w:val="FEFD82C2"/>
    <w:rsid w:val="FF3C0391"/>
    <w:rsid w:val="FF3F524B"/>
    <w:rsid w:val="FF3F7BB6"/>
    <w:rsid w:val="FF561411"/>
    <w:rsid w:val="FF76B62F"/>
    <w:rsid w:val="FF934D6F"/>
    <w:rsid w:val="FF95608B"/>
    <w:rsid w:val="FFABB16A"/>
    <w:rsid w:val="FFADAF86"/>
    <w:rsid w:val="FFBF33BC"/>
    <w:rsid w:val="FFBFBF29"/>
    <w:rsid w:val="FFCF97AD"/>
    <w:rsid w:val="FFD79EF2"/>
    <w:rsid w:val="FFDFE364"/>
    <w:rsid w:val="FFFB16B2"/>
    <w:rsid w:val="FFFE26ED"/>
    <w:rsid w:val="FFFFF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NormalCharacter"/>
    <w:qFormat/>
    <w:uiPriority w:val="0"/>
    <w:rPr>
      <w:rFonts w:ascii="Calibri" w:hAnsi="Calibri" w:eastAsia="宋体" w:cs="Times New Roman"/>
      <w:kern w:val="2"/>
      <w:sz w:val="21"/>
      <w:szCs w:val="22"/>
      <w:lang w:val="en-US" w:eastAsia="zh-CN" w:bidi="ar-SA"/>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22</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2024-11-18T22:14:00Z</dcterms:created>
  <dc:creator>Administrator</dc:creator>
  <cp:lastModifiedBy>laitingting</cp:lastModifiedBy>
  <dcterms:modified xsi:type="dcterms:W3CDTF">2025-05-23T09:31:14Z</dcterms:modified>
  <dc:title>珠海市工程建设项目审批涉及缴费事项清单（征求意见稿）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F0F258FA740BB084CFFB1A680B7160D5</vt:lpwstr>
  </property>
</Properties>
</file>