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E4ED9">
      <w:pPr>
        <w:keepNext w:val="0"/>
        <w:keepLines w:val="0"/>
        <w:pageBreakBefore w:val="0"/>
        <w:kinsoku/>
        <w:overflowPunct/>
        <w:topLinePunct w:val="0"/>
        <w:autoSpaceDE/>
        <w:autoSpaceDN/>
        <w:bidi w:val="0"/>
        <w:adjustRightInd w:val="0"/>
        <w:snapToGrid w:val="0"/>
        <w:spacing w:line="579" w:lineRule="exact"/>
        <w:textAlignment w:val="auto"/>
        <w:rPr>
          <w:rFonts w:hint="eastAsia" w:ascii="黑体" w:hAnsi="黑体" w:eastAsia="黑体" w:cs="黑体"/>
          <w:b w:val="0"/>
          <w:kern w:val="2"/>
          <w:sz w:val="32"/>
          <w:szCs w:val="32"/>
          <w:lang w:val="en-US" w:eastAsia="zh-CN" w:bidi="ar-SA"/>
        </w:rPr>
      </w:pPr>
      <w:r>
        <w:rPr>
          <w:rFonts w:hint="eastAsia" w:ascii="黑体" w:hAnsi="黑体" w:eastAsia="黑体" w:cs="黑体"/>
          <w:b w:val="0"/>
          <w:kern w:val="2"/>
          <w:sz w:val="32"/>
          <w:szCs w:val="32"/>
          <w:lang w:val="en-US" w:eastAsia="zh-CN" w:bidi="ar-SA"/>
        </w:rPr>
        <w:t>附件3</w:t>
      </w:r>
    </w:p>
    <w:p w14:paraId="30749307">
      <w:pPr>
        <w:keepNext w:val="0"/>
        <w:keepLines w:val="0"/>
        <w:pageBreakBefore w:val="0"/>
        <w:kinsoku/>
        <w:overflowPunct/>
        <w:topLinePunct w:val="0"/>
        <w:autoSpaceDE/>
        <w:autoSpaceDN/>
        <w:bidi w:val="0"/>
        <w:adjustRightInd w:val="0"/>
        <w:snapToGrid w:val="0"/>
        <w:spacing w:line="579" w:lineRule="exact"/>
        <w:textAlignment w:val="auto"/>
        <w:rPr>
          <w:rFonts w:hint="eastAsia" w:ascii="黑体" w:hAnsi="黑体" w:eastAsia="黑体" w:cs="黑体"/>
          <w:b w:val="0"/>
          <w:kern w:val="2"/>
          <w:sz w:val="32"/>
          <w:szCs w:val="32"/>
          <w:lang w:val="en-US" w:eastAsia="zh-CN" w:bidi="ar-SA"/>
        </w:rPr>
      </w:pPr>
    </w:p>
    <w:p w14:paraId="4CFC3AD2">
      <w:pPr>
        <w:keepNext w:val="0"/>
        <w:keepLines w:val="0"/>
        <w:pageBreakBefore w:val="0"/>
        <w:kinsoku/>
        <w:overflowPunct/>
        <w:topLinePunct w:val="0"/>
        <w:autoSpaceDE/>
        <w:autoSpaceDN/>
        <w:bidi w:val="0"/>
        <w:adjustRightInd w:val="0"/>
        <w:snapToGrid w:val="0"/>
        <w:spacing w:line="579" w:lineRule="exact"/>
        <w:jc w:val="center"/>
        <w:textAlignment w:val="auto"/>
        <w:rPr>
          <w:rFonts w:ascii="Times New Roman" w:hAnsi="Times New Roman" w:eastAsia="方正小标宋简体"/>
          <w:sz w:val="44"/>
          <w:szCs w:val="44"/>
        </w:rPr>
      </w:pPr>
      <w:r>
        <w:rPr>
          <w:rFonts w:ascii="Times New Roman" w:hAnsi="Times New Roman" w:eastAsia="方正小标宋简体"/>
          <w:sz w:val="44"/>
          <w:szCs w:val="44"/>
        </w:rPr>
        <w:t>2025年寒假致</w:t>
      </w:r>
      <w:r>
        <w:rPr>
          <w:rFonts w:hint="eastAsia" w:ascii="Times New Roman" w:hAnsi="Times New Roman" w:eastAsia="方正小标宋简体"/>
          <w:sz w:val="44"/>
          <w:szCs w:val="44"/>
          <w:lang w:eastAsia="zh-CN"/>
        </w:rPr>
        <w:t>全市</w:t>
      </w:r>
      <w:r>
        <w:rPr>
          <w:rFonts w:ascii="Times New Roman" w:hAnsi="Times New Roman" w:eastAsia="方正小标宋简体"/>
          <w:sz w:val="44"/>
          <w:szCs w:val="44"/>
        </w:rPr>
        <w:t>校外培训机构的告知书</w:t>
      </w:r>
    </w:p>
    <w:p w14:paraId="730513D9">
      <w:pPr>
        <w:keepNext w:val="0"/>
        <w:keepLines w:val="0"/>
        <w:pageBreakBefore w:val="0"/>
        <w:kinsoku/>
        <w:overflowPunct/>
        <w:topLinePunct w:val="0"/>
        <w:autoSpaceDE/>
        <w:autoSpaceDN/>
        <w:bidi w:val="0"/>
        <w:adjustRightInd w:val="0"/>
        <w:snapToGrid w:val="0"/>
        <w:spacing w:line="579" w:lineRule="exact"/>
        <w:jc w:val="center"/>
        <w:textAlignment w:val="auto"/>
        <w:rPr>
          <w:rFonts w:ascii="Times New Roman" w:hAnsi="Times New Roman" w:eastAsia="仿宋_GB2312"/>
          <w:sz w:val="32"/>
          <w:szCs w:val="32"/>
        </w:rPr>
      </w:pPr>
    </w:p>
    <w:p w14:paraId="6CA7154A">
      <w:pPr>
        <w:pStyle w:val="2"/>
        <w:keepNext w:val="0"/>
        <w:keepLines w:val="0"/>
        <w:pageBreakBefore w:val="0"/>
        <w:widowControl/>
        <w:kinsoku/>
        <w:wordWrap w:val="0"/>
        <w:overflowPunct/>
        <w:topLinePunct w:val="0"/>
        <w:autoSpaceDE/>
        <w:autoSpaceDN/>
        <w:bidi w:val="0"/>
        <w:adjustRightInd w:val="0"/>
        <w:snapToGrid w:val="0"/>
        <w:spacing w:before="0" w:beforeAutospacing="0" w:after="0" w:afterAutospacing="0" w:line="579" w:lineRule="exact"/>
        <w:jc w:val="both"/>
        <w:textAlignment w:val="auto"/>
        <w:rPr>
          <w:rFonts w:ascii="Times New Roman" w:hAnsi="Times New Roman" w:eastAsia="仿宋_GB2312"/>
          <w:sz w:val="32"/>
          <w:szCs w:val="32"/>
        </w:rPr>
      </w:pPr>
      <w:r>
        <w:rPr>
          <w:rFonts w:ascii="Times New Roman" w:hAnsi="Times New Roman" w:eastAsia="仿宋_GB2312"/>
          <w:sz w:val="32"/>
          <w:szCs w:val="32"/>
        </w:rPr>
        <w:t>各校外培训机构及相关从业人员：</w:t>
      </w:r>
    </w:p>
    <w:p w14:paraId="47898120">
      <w:pPr>
        <w:pStyle w:val="2"/>
        <w:keepNext w:val="0"/>
        <w:keepLines w:val="0"/>
        <w:pageBreakBefore w:val="0"/>
        <w:widowControl/>
        <w:kinsoku/>
        <w:wordWrap w:val="0"/>
        <w:overflowPunct/>
        <w:topLinePunct w:val="0"/>
        <w:autoSpaceDE/>
        <w:autoSpaceDN/>
        <w:bidi w:val="0"/>
        <w:adjustRightInd w:val="0"/>
        <w:snapToGrid w:val="0"/>
        <w:spacing w:before="0" w:beforeAutospacing="0" w:after="0" w:afterAutospacing="0" w:line="579"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“双减”政策实施以来，我</w:t>
      </w:r>
      <w:r>
        <w:rPr>
          <w:rFonts w:hint="eastAsia" w:ascii="Times New Roman" w:hAnsi="Times New Roman" w:eastAsia="仿宋_GB2312"/>
          <w:sz w:val="32"/>
          <w:szCs w:val="32"/>
          <w:lang w:val="en-US" w:eastAsia="zh-CN"/>
        </w:rPr>
        <w:t>市</w:t>
      </w:r>
      <w:r>
        <w:rPr>
          <w:rFonts w:ascii="Times New Roman" w:hAnsi="Times New Roman" w:eastAsia="仿宋_GB2312"/>
          <w:sz w:val="32"/>
          <w:szCs w:val="32"/>
        </w:rPr>
        <w:t>绝大多数校外培训机构主动配合、积极落实政策要求，</w:t>
      </w:r>
      <w:r>
        <w:rPr>
          <w:rFonts w:hint="eastAsia" w:ascii="Times New Roman" w:hAnsi="Times New Roman" w:eastAsia="仿宋_GB2312"/>
          <w:sz w:val="32"/>
          <w:szCs w:val="32"/>
          <w:lang w:eastAsia="zh-CN"/>
        </w:rPr>
        <w:t>全市</w:t>
      </w:r>
      <w:r>
        <w:rPr>
          <w:rFonts w:ascii="Times New Roman" w:hAnsi="Times New Roman" w:eastAsia="仿宋_GB2312"/>
          <w:sz w:val="32"/>
          <w:szCs w:val="32"/>
        </w:rPr>
        <w:t>校外培训治理工作取得积极进展。2025年寒假将至，为持续巩固我</w:t>
      </w:r>
      <w:r>
        <w:rPr>
          <w:rFonts w:hint="eastAsia" w:ascii="Times New Roman" w:hAnsi="Times New Roman" w:eastAsia="仿宋_GB2312"/>
          <w:sz w:val="32"/>
          <w:szCs w:val="32"/>
          <w:lang w:val="en-US" w:eastAsia="zh-CN"/>
        </w:rPr>
        <w:t>市</w:t>
      </w:r>
      <w:r>
        <w:rPr>
          <w:rFonts w:ascii="Times New Roman" w:hAnsi="Times New Roman" w:eastAsia="仿宋_GB2312"/>
          <w:sz w:val="32"/>
          <w:szCs w:val="32"/>
        </w:rPr>
        <w:t>“双减”工作成果，进一步规范校外培训行为，推动校外培训服务规范发展，确保孩子们度过一个健康快乐的假期，我们向</w:t>
      </w:r>
      <w:r>
        <w:rPr>
          <w:rFonts w:hint="eastAsia" w:ascii="Times New Roman" w:hAnsi="Times New Roman" w:eastAsia="仿宋_GB2312"/>
          <w:sz w:val="32"/>
          <w:szCs w:val="32"/>
          <w:lang w:eastAsia="zh-CN"/>
        </w:rPr>
        <w:t>全市</w:t>
      </w:r>
      <w:r>
        <w:rPr>
          <w:rFonts w:hint="eastAsia" w:ascii="Times New Roman" w:hAnsi="Times New Roman" w:eastAsia="仿宋_GB2312"/>
          <w:sz w:val="32"/>
          <w:szCs w:val="32"/>
        </w:rPr>
        <w:t>面向3岁以上学龄前儿童和中小学生开展非学历培训的校外</w:t>
      </w:r>
      <w:r>
        <w:rPr>
          <w:rFonts w:ascii="Times New Roman" w:hAnsi="Times New Roman" w:eastAsia="仿宋_GB2312"/>
          <w:sz w:val="32"/>
          <w:szCs w:val="32"/>
        </w:rPr>
        <w:t>培训机构</w:t>
      </w:r>
      <w:r>
        <w:rPr>
          <w:rFonts w:hint="eastAsia" w:ascii="Times New Roman" w:hAnsi="Times New Roman" w:eastAsia="仿宋_GB2312"/>
          <w:sz w:val="32"/>
          <w:szCs w:val="32"/>
        </w:rPr>
        <w:t>（以下简称“校外培训机构”）</w:t>
      </w:r>
      <w:r>
        <w:rPr>
          <w:rFonts w:ascii="Times New Roman" w:hAnsi="Times New Roman" w:eastAsia="仿宋_GB2312"/>
          <w:sz w:val="32"/>
          <w:szCs w:val="32"/>
        </w:rPr>
        <w:t>及相关从业人员发出如下提醒：</w:t>
      </w:r>
    </w:p>
    <w:p w14:paraId="36753BDE">
      <w:pPr>
        <w:pStyle w:val="2"/>
        <w:keepNext w:val="0"/>
        <w:keepLines w:val="0"/>
        <w:pageBreakBefore w:val="0"/>
        <w:widowControl/>
        <w:kinsoku/>
        <w:wordWrap w:val="0"/>
        <w:overflowPunct/>
        <w:topLinePunct w:val="0"/>
        <w:autoSpaceDE/>
        <w:autoSpaceDN/>
        <w:bidi w:val="0"/>
        <w:adjustRightInd w:val="0"/>
        <w:snapToGrid w:val="0"/>
        <w:spacing w:before="0" w:beforeAutospacing="0" w:after="0" w:afterAutospacing="0" w:line="579" w:lineRule="exact"/>
        <w:ind w:firstLine="640" w:firstLineChars="200"/>
        <w:jc w:val="both"/>
        <w:textAlignment w:val="auto"/>
        <w:rPr>
          <w:rStyle w:val="5"/>
          <w:rFonts w:ascii="Times New Roman" w:hAnsi="Times New Roman" w:eastAsia="仿宋_GB2312"/>
          <w:b w:val="0"/>
          <w:sz w:val="32"/>
          <w:szCs w:val="32"/>
        </w:rPr>
      </w:pPr>
      <w:r>
        <w:rPr>
          <w:rStyle w:val="5"/>
          <w:rFonts w:ascii="Times New Roman" w:hAnsi="Times New Roman" w:eastAsia="黑体"/>
          <w:b w:val="0"/>
          <w:bCs/>
          <w:sz w:val="32"/>
          <w:szCs w:val="32"/>
        </w:rPr>
        <w:t>一、开展培训必须具备办学资质。</w:t>
      </w:r>
      <w:r>
        <w:rPr>
          <w:rFonts w:ascii="Times New Roman" w:hAnsi="Times New Roman" w:eastAsia="仿宋_GB2312"/>
          <w:sz w:val="32"/>
          <w:szCs w:val="32"/>
        </w:rPr>
        <w:t>根据《中华人民共和国民办教育促进法》《中华人民共和国民办教育促进法实施条例》《校外培训行政处罚暂行办法》等法律法规要求，校外培训机构必须经审批机关审批颁发《中华人民共和国民办学校办学许可证》并登记获得《营业执照》或《民办非企业单位登记证书》</w:t>
      </w:r>
      <w:r>
        <w:rPr>
          <w:rFonts w:hint="eastAsia" w:ascii="Times New Roman" w:hAnsi="Times New Roman" w:eastAsia="仿宋_GB2312"/>
          <w:sz w:val="32"/>
          <w:szCs w:val="32"/>
        </w:rPr>
        <w:t>、做到“证照齐全”</w:t>
      </w:r>
      <w:r>
        <w:rPr>
          <w:rFonts w:ascii="Times New Roman" w:hAnsi="Times New Roman" w:eastAsia="仿宋_GB2312"/>
          <w:sz w:val="32"/>
          <w:szCs w:val="32"/>
        </w:rPr>
        <w:t>后，方可开展培训。机构在筹设期内不得招生，不得以正在申请办证为由招揽学员。校外培训机构须全部纳入全国校外教育培训监管与服务综合平台（网址：https://xwpx.eduyun.cn/）监管，并按要求完成各项工作。</w:t>
      </w:r>
    </w:p>
    <w:p w14:paraId="248CAA8E">
      <w:pPr>
        <w:pStyle w:val="2"/>
        <w:keepNext w:val="0"/>
        <w:keepLines w:val="0"/>
        <w:pageBreakBefore w:val="0"/>
        <w:widowControl/>
        <w:kinsoku/>
        <w:wordWrap w:val="0"/>
        <w:overflowPunct/>
        <w:topLinePunct w:val="0"/>
        <w:autoSpaceDE/>
        <w:autoSpaceDN/>
        <w:bidi w:val="0"/>
        <w:adjustRightInd w:val="0"/>
        <w:snapToGrid w:val="0"/>
        <w:spacing w:beforeAutospacing="0" w:after="150" w:afterAutospacing="0" w:line="579" w:lineRule="exact"/>
        <w:ind w:firstLine="640" w:firstLineChars="200"/>
        <w:jc w:val="both"/>
        <w:textAlignment w:val="auto"/>
        <w:rPr>
          <w:rFonts w:ascii="Times New Roman" w:hAnsi="Times New Roman" w:eastAsia="仿宋_GB2312"/>
          <w:sz w:val="32"/>
          <w:szCs w:val="32"/>
        </w:rPr>
      </w:pPr>
      <w:r>
        <w:rPr>
          <w:rStyle w:val="5"/>
          <w:rFonts w:ascii="Times New Roman" w:hAnsi="Times New Roman" w:eastAsia="黑体"/>
          <w:b w:val="0"/>
          <w:bCs/>
          <w:sz w:val="32"/>
          <w:szCs w:val="32"/>
        </w:rPr>
        <w:t>二、不得违规开展学科类培训。</w:t>
      </w:r>
      <w:r>
        <w:rPr>
          <w:rFonts w:hint="eastAsia" w:ascii="Times New Roman" w:hAnsi="Times New Roman" w:eastAsia="仿宋_GB2312"/>
          <w:sz w:val="32"/>
          <w:szCs w:val="32"/>
        </w:rPr>
        <w:t>落实</w:t>
      </w:r>
      <w:r>
        <w:rPr>
          <w:rFonts w:ascii="Times New Roman" w:hAnsi="Times New Roman" w:eastAsia="仿宋_GB2312"/>
          <w:sz w:val="32"/>
          <w:szCs w:val="32"/>
        </w:rPr>
        <w:t>《中华人民共和国未成年人保护法》及</w:t>
      </w:r>
      <w:r>
        <w:rPr>
          <w:rFonts w:hint="eastAsia" w:ascii="Times New Roman" w:hAnsi="Times New Roman" w:eastAsia="仿宋_GB2312"/>
          <w:sz w:val="32"/>
          <w:szCs w:val="32"/>
        </w:rPr>
        <w:t>义务教育</w:t>
      </w:r>
      <w:r>
        <w:rPr>
          <w:rFonts w:ascii="Times New Roman" w:hAnsi="Times New Roman" w:eastAsia="仿宋_GB2312"/>
          <w:sz w:val="32"/>
          <w:szCs w:val="32"/>
        </w:rPr>
        <w:t>“双减”政策</w:t>
      </w:r>
      <w:r>
        <w:rPr>
          <w:rFonts w:hint="eastAsia" w:ascii="Times New Roman" w:hAnsi="Times New Roman" w:eastAsia="仿宋_GB2312"/>
          <w:sz w:val="32"/>
          <w:szCs w:val="32"/>
        </w:rPr>
        <w:t>要求</w:t>
      </w:r>
      <w:r>
        <w:rPr>
          <w:rFonts w:ascii="Times New Roman" w:hAnsi="Times New Roman" w:eastAsia="仿宋_GB2312"/>
          <w:sz w:val="32"/>
          <w:szCs w:val="32"/>
        </w:rPr>
        <w:t>，校外培训机构不得占用国家法定节假日、休息日及寒暑假期组织学科类培训。寒假期间，任何形式的学科类校外培训都属于违法违规行为。任何机构或个人不得以住家教师、众筹私教、国学素养、思维训练等名义开展“一对一”“一对多”等隐形变异学科培训，不得接受寒假期间学科类培训报名。</w:t>
      </w:r>
    </w:p>
    <w:p w14:paraId="6026FD5F">
      <w:pPr>
        <w:pStyle w:val="2"/>
        <w:keepNext w:val="0"/>
        <w:keepLines w:val="0"/>
        <w:pageBreakBefore w:val="0"/>
        <w:widowControl/>
        <w:kinsoku/>
        <w:wordWrap w:val="0"/>
        <w:overflowPunct/>
        <w:topLinePunct w:val="0"/>
        <w:autoSpaceDE/>
        <w:autoSpaceDN/>
        <w:bidi w:val="0"/>
        <w:adjustRightInd w:val="0"/>
        <w:snapToGrid w:val="0"/>
        <w:spacing w:beforeAutospacing="0" w:after="150" w:afterAutospacing="0" w:line="579" w:lineRule="exact"/>
        <w:ind w:firstLine="640" w:firstLineChars="200"/>
        <w:jc w:val="both"/>
        <w:textAlignment w:val="auto"/>
        <w:rPr>
          <w:rFonts w:ascii="Times New Roman" w:hAnsi="Times New Roman" w:eastAsia="仿宋_GB2312"/>
          <w:sz w:val="32"/>
          <w:szCs w:val="32"/>
        </w:rPr>
      </w:pPr>
      <w:r>
        <w:rPr>
          <w:rStyle w:val="5"/>
          <w:rFonts w:ascii="Times New Roman" w:hAnsi="Times New Roman" w:eastAsia="黑体"/>
          <w:b w:val="0"/>
          <w:bCs/>
          <w:sz w:val="32"/>
          <w:szCs w:val="32"/>
        </w:rPr>
        <w:t>三、规范收取培训费用。</w:t>
      </w:r>
      <w:r>
        <w:rPr>
          <w:rFonts w:ascii="Times New Roman" w:hAnsi="Times New Roman" w:eastAsia="仿宋_GB2312"/>
          <w:sz w:val="32"/>
          <w:szCs w:val="32"/>
        </w:rPr>
        <w:t>校外培训机构要持续强化机构内部管理，不得一次性收取或以充值、次卡等形式变相收取时间跨度超过3个月或60课时的费用，且不得超过5000元，</w:t>
      </w:r>
      <w:r>
        <w:rPr>
          <w:rFonts w:ascii="Times New Roman" w:hAnsi="Times New Roman" w:eastAsia="仿宋_GB2312"/>
          <w:color w:val="000000"/>
          <w:sz w:val="32"/>
          <w:szCs w:val="32"/>
        </w:rPr>
        <w:t>收费项目与标准要按要求公示</w:t>
      </w:r>
      <w:r>
        <w:rPr>
          <w:rFonts w:ascii="Times New Roman" w:hAnsi="Times New Roman" w:eastAsia="仿宋_GB2312"/>
          <w:sz w:val="32"/>
          <w:szCs w:val="32"/>
        </w:rPr>
        <w:t>。</w:t>
      </w:r>
      <w:r>
        <w:rPr>
          <w:rFonts w:ascii="Times New Roman" w:hAnsi="Times New Roman" w:eastAsia="仿宋_GB2312"/>
          <w:color w:val="000000"/>
          <w:sz w:val="32"/>
          <w:szCs w:val="32"/>
        </w:rPr>
        <w:t>采用预收费模式的校外培训机构，其预先收取的培训服务费（含以现金形式收取）应当全部进入本机构培训收费专用专户，与其自有资金实行分账管理。各从业人员不要混淆个人账户与培训机构账户，不得使用个人账户收取应当由机构收取的费用。</w:t>
      </w:r>
      <w:r>
        <w:rPr>
          <w:rFonts w:ascii="Times New Roman" w:hAnsi="Times New Roman" w:eastAsia="仿宋_GB2312"/>
          <w:sz w:val="32"/>
          <w:szCs w:val="32"/>
        </w:rPr>
        <w:t>校外培训机构与培训对象或其监护人签订培训服务合同，应使用由教育部和市场监管总局联合制定的《中小学生校外培训服务合同（示范文本）》（2021年修订版），并据实开具发票。广东省鼓励校外培训机构采</w:t>
      </w:r>
      <w:r>
        <w:rPr>
          <w:rFonts w:hint="eastAsia" w:ascii="仿宋_GB2312" w:hAnsi="仿宋_GB2312" w:eastAsia="仿宋_GB2312" w:cs="仿宋_GB2312"/>
          <w:sz w:val="32"/>
          <w:szCs w:val="32"/>
        </w:rPr>
        <w:t>取</w:t>
      </w:r>
      <w:r>
        <w:rPr>
          <w:rFonts w:hint="eastAsia" w:ascii="仿宋_GB2312" w:hAnsi="仿宋_GB2312" w:eastAsia="仿宋_GB2312" w:cs="仿宋_GB2312"/>
          <w:b/>
          <w:bCs/>
          <w:sz w:val="32"/>
          <w:szCs w:val="32"/>
        </w:rPr>
        <w:t>“先学后付”</w:t>
      </w:r>
      <w:r>
        <w:rPr>
          <w:rFonts w:hint="eastAsia" w:ascii="仿宋_GB2312" w:hAnsi="仿宋_GB2312" w:eastAsia="仿宋_GB2312" w:cs="仿宋_GB2312"/>
          <w:sz w:val="32"/>
          <w:szCs w:val="32"/>
        </w:rPr>
        <w:t>收费模</w:t>
      </w:r>
      <w:r>
        <w:rPr>
          <w:rFonts w:ascii="Times New Roman" w:hAnsi="Times New Roman" w:eastAsia="仿宋_GB2312"/>
          <w:sz w:val="32"/>
          <w:szCs w:val="32"/>
        </w:rPr>
        <w:t>式提供培训服务。校外培训机构要认真履行服务承诺，接受家长合理退费的要求。</w:t>
      </w:r>
    </w:p>
    <w:p w14:paraId="5FBF9E43">
      <w:pPr>
        <w:pStyle w:val="2"/>
        <w:keepNext w:val="0"/>
        <w:keepLines w:val="0"/>
        <w:pageBreakBefore w:val="0"/>
        <w:widowControl/>
        <w:kinsoku/>
        <w:wordWrap w:val="0"/>
        <w:overflowPunct/>
        <w:topLinePunct w:val="0"/>
        <w:autoSpaceDE/>
        <w:autoSpaceDN/>
        <w:bidi w:val="0"/>
        <w:adjustRightInd w:val="0"/>
        <w:snapToGrid w:val="0"/>
        <w:spacing w:beforeAutospacing="0" w:after="150" w:afterAutospacing="0" w:line="579" w:lineRule="exact"/>
        <w:ind w:firstLine="640" w:firstLineChars="200"/>
        <w:jc w:val="both"/>
        <w:textAlignment w:val="auto"/>
        <w:rPr>
          <w:rFonts w:ascii="Times New Roman" w:hAnsi="Times New Roman" w:eastAsia="仿宋_GB2312"/>
          <w:color w:val="000000"/>
          <w:kern w:val="2"/>
          <w:sz w:val="32"/>
          <w:szCs w:val="32"/>
        </w:rPr>
      </w:pPr>
      <w:r>
        <w:rPr>
          <w:rFonts w:ascii="Times New Roman" w:hAnsi="Times New Roman" w:eastAsia="黑体"/>
          <w:sz w:val="32"/>
          <w:szCs w:val="32"/>
        </w:rPr>
        <w:t>四、规范信息公示。</w:t>
      </w:r>
      <w:r>
        <w:rPr>
          <w:rFonts w:ascii="Times New Roman" w:hAnsi="Times New Roman" w:eastAsia="仿宋_GB2312"/>
          <w:color w:val="000000"/>
          <w:kern w:val="2"/>
          <w:sz w:val="32"/>
          <w:szCs w:val="32"/>
        </w:rPr>
        <w:t>校外培训机构在办学场所应主动公示机构资质（办学许可证、</w:t>
      </w:r>
      <w:r>
        <w:rPr>
          <w:rFonts w:ascii="Times New Roman" w:hAnsi="Times New Roman" w:eastAsia="仿宋_GB2312"/>
          <w:color w:val="000000"/>
          <w:sz w:val="32"/>
          <w:szCs w:val="32"/>
        </w:rPr>
        <w:t>营业执照或民办非企业单位登记证书等</w:t>
      </w:r>
      <w:r>
        <w:rPr>
          <w:rFonts w:ascii="Times New Roman" w:hAnsi="Times New Roman" w:eastAsia="仿宋_GB2312"/>
          <w:color w:val="000000"/>
          <w:kern w:val="2"/>
          <w:sz w:val="32"/>
          <w:szCs w:val="32"/>
        </w:rPr>
        <w:t>相关信息等）、教师资质（包括姓名、照片、教师资格证编号等）、收退费标准（包括收费标准、退费办法、培训费收取账号等）、培训内容（包括课程名称、时间、价格等）</w:t>
      </w:r>
      <w:r>
        <w:rPr>
          <w:rFonts w:hint="eastAsia" w:ascii="Times New Roman" w:hAnsi="Times New Roman" w:eastAsia="仿宋_GB2312"/>
          <w:color w:val="000000"/>
          <w:kern w:val="2"/>
          <w:sz w:val="32"/>
          <w:szCs w:val="32"/>
        </w:rPr>
        <w:t>等信息</w:t>
      </w:r>
      <w:r>
        <w:rPr>
          <w:rFonts w:ascii="Times New Roman" w:hAnsi="Times New Roman" w:eastAsia="仿宋_GB2312"/>
          <w:color w:val="000000"/>
          <w:kern w:val="2"/>
          <w:sz w:val="32"/>
          <w:szCs w:val="32"/>
        </w:rPr>
        <w:t>，主动接受监督。</w:t>
      </w:r>
    </w:p>
    <w:p w14:paraId="21733D7D">
      <w:pPr>
        <w:pStyle w:val="2"/>
        <w:keepNext w:val="0"/>
        <w:keepLines w:val="0"/>
        <w:pageBreakBefore w:val="0"/>
        <w:widowControl/>
        <w:kinsoku/>
        <w:wordWrap w:val="0"/>
        <w:overflowPunct/>
        <w:topLinePunct w:val="0"/>
        <w:autoSpaceDE/>
        <w:autoSpaceDN/>
        <w:bidi w:val="0"/>
        <w:adjustRightInd w:val="0"/>
        <w:snapToGrid w:val="0"/>
        <w:spacing w:beforeAutospacing="0" w:after="150" w:afterAutospacing="0" w:line="579" w:lineRule="exact"/>
        <w:ind w:firstLine="640" w:firstLineChars="200"/>
        <w:jc w:val="both"/>
        <w:textAlignment w:val="auto"/>
        <w:rPr>
          <w:rFonts w:ascii="Times New Roman" w:hAnsi="Times New Roman" w:eastAsia="仿宋_GB2312"/>
          <w:sz w:val="32"/>
          <w:szCs w:val="32"/>
        </w:rPr>
      </w:pPr>
      <w:r>
        <w:rPr>
          <w:rStyle w:val="5"/>
          <w:rFonts w:ascii="Times New Roman" w:hAnsi="Times New Roman" w:eastAsia="黑体"/>
          <w:b w:val="0"/>
          <w:bCs/>
          <w:sz w:val="32"/>
          <w:szCs w:val="32"/>
        </w:rPr>
        <w:t>五、落实安全生产主体责任。</w:t>
      </w:r>
      <w:r>
        <w:rPr>
          <w:rFonts w:ascii="Times New Roman" w:hAnsi="Times New Roman" w:eastAsia="仿宋_GB2312"/>
          <w:sz w:val="32"/>
          <w:szCs w:val="32"/>
        </w:rPr>
        <w:t>校外培训机构要把学员的生命安全放在首位，增强安全意识，严格落实《校外培训机构消防安全管理九项规定》等场所安全要求，配齐消防安全设施，畅通消防安全通道，确保培训机构场所消防安全，保障培训师生人身安全。安全生产要树立预防为主、预案在前的安全应急管理意识，常态化开展培训场所安全隐患自我排查，在寒假前至少开展1次安全自查自纠，完善消防疏散应急预案；加强日常管理，确保营业期间每2小时开展不少于1次的防火等安全巡查，定期开展宣传教育、疏散演练等。监管部门将对培训机构开展安全专项检查，存在场地、设施、消防等安全隐患的机构应立即停业整改，切实保障学员生命安全。</w:t>
      </w:r>
    </w:p>
    <w:p w14:paraId="5119D7A5">
      <w:pPr>
        <w:pStyle w:val="2"/>
        <w:keepNext w:val="0"/>
        <w:keepLines w:val="0"/>
        <w:pageBreakBefore w:val="0"/>
        <w:widowControl/>
        <w:kinsoku/>
        <w:wordWrap w:val="0"/>
        <w:overflowPunct/>
        <w:topLinePunct w:val="0"/>
        <w:autoSpaceDE/>
        <w:autoSpaceDN/>
        <w:bidi w:val="0"/>
        <w:adjustRightInd w:val="0"/>
        <w:snapToGrid w:val="0"/>
        <w:spacing w:before="0" w:beforeAutospacing="0" w:after="0" w:afterAutospacing="0" w:line="579" w:lineRule="exact"/>
        <w:ind w:firstLine="640" w:firstLineChars="200"/>
        <w:jc w:val="both"/>
        <w:textAlignment w:val="auto"/>
        <w:rPr>
          <w:rFonts w:hint="eastAsia" w:ascii="仿宋_GB2312" w:hAnsi="仿宋_GB2312" w:eastAsia="仿宋_GB2312" w:cs="仿宋_GB2312"/>
          <w:kern w:val="2"/>
          <w:sz w:val="32"/>
          <w:szCs w:val="32"/>
          <w:lang w:bidi="ar"/>
        </w:rPr>
      </w:pPr>
      <w:r>
        <w:rPr>
          <w:rStyle w:val="5"/>
          <w:rFonts w:ascii="Times New Roman" w:hAnsi="Times New Roman" w:eastAsia="黑体"/>
          <w:b w:val="0"/>
          <w:bCs/>
          <w:sz w:val="32"/>
          <w:szCs w:val="32"/>
        </w:rPr>
        <w:t>六、不</w:t>
      </w:r>
      <w:r>
        <w:rPr>
          <w:rStyle w:val="5"/>
          <w:rFonts w:hint="eastAsia" w:ascii="Times New Roman" w:hAnsi="Times New Roman" w:eastAsia="黑体"/>
          <w:b w:val="0"/>
          <w:bCs/>
          <w:sz w:val="32"/>
          <w:szCs w:val="32"/>
        </w:rPr>
        <w:t>得</w:t>
      </w:r>
      <w:r>
        <w:rPr>
          <w:rStyle w:val="5"/>
          <w:rFonts w:ascii="Times New Roman" w:hAnsi="Times New Roman" w:eastAsia="黑体"/>
          <w:b w:val="0"/>
          <w:bCs/>
          <w:sz w:val="32"/>
          <w:szCs w:val="32"/>
        </w:rPr>
        <w:t>违规举办</w:t>
      </w:r>
      <w:r>
        <w:rPr>
          <w:rStyle w:val="5"/>
          <w:rFonts w:hint="eastAsia" w:ascii="Times New Roman" w:hAnsi="Times New Roman" w:eastAsia="黑体"/>
          <w:b w:val="0"/>
          <w:bCs/>
          <w:sz w:val="32"/>
          <w:szCs w:val="32"/>
        </w:rPr>
        <w:t>中小学生</w:t>
      </w:r>
      <w:r>
        <w:rPr>
          <w:rStyle w:val="5"/>
          <w:rFonts w:ascii="Times New Roman" w:hAnsi="Times New Roman" w:eastAsia="黑体"/>
          <w:b w:val="0"/>
          <w:bCs/>
          <w:sz w:val="32"/>
          <w:szCs w:val="32"/>
        </w:rPr>
        <w:t>竞赛</w:t>
      </w:r>
      <w:r>
        <w:rPr>
          <w:rStyle w:val="5"/>
          <w:rFonts w:hint="eastAsia" w:ascii="Times New Roman" w:hAnsi="Times New Roman" w:eastAsia="黑体"/>
          <w:b w:val="0"/>
          <w:bCs/>
          <w:sz w:val="32"/>
          <w:szCs w:val="32"/>
        </w:rPr>
        <w:t>活动</w:t>
      </w:r>
      <w:r>
        <w:rPr>
          <w:rStyle w:val="5"/>
          <w:rFonts w:ascii="Times New Roman" w:hAnsi="Times New Roman" w:eastAsia="黑体"/>
          <w:b w:val="0"/>
          <w:bCs/>
          <w:sz w:val="32"/>
          <w:szCs w:val="32"/>
        </w:rPr>
        <w:t>。</w:t>
      </w:r>
      <w:r>
        <w:rPr>
          <w:rFonts w:ascii="Times New Roman" w:hAnsi="Times New Roman" w:eastAsia="仿宋_GB2312"/>
          <w:sz w:val="32"/>
          <w:szCs w:val="32"/>
        </w:rPr>
        <w:t>面向中小学生的竞赛活动实行清单制管理。2022年9月，教育部公布了审核通过的《2022-2025学年面向中小学生的全国性竞赛活动名单》（网址：http://www.moe.gov.cn/srcsite/A29/202209/t20220929_665926.html）。2022年12月，广东省教育厅公布了审核通过的《2022-2025学年广东省面向中小学生的</w:t>
      </w:r>
      <w:r>
        <w:rPr>
          <w:rFonts w:hint="eastAsia" w:ascii="Times New Roman" w:hAnsi="Times New Roman" w:eastAsia="仿宋_GB2312"/>
          <w:sz w:val="32"/>
          <w:szCs w:val="32"/>
          <w:lang w:val="en-US" w:eastAsia="zh-CN"/>
        </w:rPr>
        <w:t>全省</w:t>
      </w:r>
      <w:r>
        <w:rPr>
          <w:rFonts w:ascii="Times New Roman" w:hAnsi="Times New Roman" w:eastAsia="仿宋_GB2312"/>
          <w:sz w:val="32"/>
          <w:szCs w:val="32"/>
        </w:rPr>
        <w:t>竞赛活动名单》，并在2024年5月更新了名单（网址：https://edu.gd.gov.cn/ztzlnew/xxl/tzgg/content/post_4061107.html）。</w:t>
      </w:r>
      <w:bookmarkStart w:id="0" w:name="_GoBack"/>
      <w:r>
        <w:rPr>
          <w:rFonts w:hint="eastAsia" w:ascii="Times New Roman" w:hAnsi="Times New Roman" w:eastAsia="仿宋_GB2312" w:cs="Times New Roman"/>
          <w:color w:val="auto"/>
          <w:sz w:val="32"/>
          <w:szCs w:val="32"/>
          <w:lang w:val="en-US" w:eastAsia="zh-CN"/>
        </w:rPr>
        <w:t>2024年4月，珠海市教育局公布了审核通过的《珠海市2023—2025学年面向中小学生的全市性竞赛活动名单》（网址：https://zhjy.zhuhai.gov.cn/ywgz/ywjy/zcwj/content/post_3658481.html），并在2024年6月公布了《2023—2025学年珠海市面向中小学生的全市性竞赛活动补充名单》（网址：https://zhjy.zhuhai.gov.cn/zwgk/gsgg/content/post_3671341.html）。</w:t>
      </w:r>
      <w:bookmarkEnd w:id="0"/>
      <w:r>
        <w:rPr>
          <w:rFonts w:hint="eastAsia" w:ascii="Times New Roman" w:hAnsi="Times New Roman" w:eastAsia="仿宋_GB2312"/>
          <w:sz w:val="32"/>
          <w:szCs w:val="32"/>
        </w:rPr>
        <w:t>各类教育机构和其他机构不得组织承办或组织中小学生参加清单之外的竞赛活动，不得为违规竞赛提供场地、经费等条件。</w:t>
      </w:r>
      <w:r>
        <w:rPr>
          <w:rFonts w:hint="eastAsia" w:ascii="Times New Roman" w:hAnsi="Times New Roman" w:eastAsia="仿宋_GB2312"/>
          <w:kern w:val="2"/>
          <w:sz w:val="32"/>
          <w:szCs w:val="32"/>
          <w:lang w:bidi="ar"/>
        </w:rPr>
        <w:t>根据竞赛管理办法，教育部联合相关省份查处了《全国中小</w:t>
      </w:r>
      <w:r>
        <w:rPr>
          <w:rFonts w:hint="eastAsia" w:ascii="仿宋_GB2312" w:hAnsi="仿宋_GB2312" w:eastAsia="仿宋_GB2312" w:cs="仿宋_GB2312"/>
          <w:kern w:val="2"/>
          <w:sz w:val="32"/>
          <w:szCs w:val="32"/>
          <w:lang w:bidi="ar"/>
        </w:rPr>
        <w:t>学信息技术创新与实践大赛》《全国青少年音乐素养大赛》《全国青少年文化遗产知识大赛》三项白名单竞赛违规行为，并要求三项竞赛2025年停止举办、全面整改。《“北斗杯”全国青少年空天科技体验与创新大赛》主办方也宣布2025年暂停举办。暂停赛事期间，培训机构不得仍以这四项竞赛为名开展违规竞赛、违规培训活动。</w:t>
      </w:r>
    </w:p>
    <w:p w14:paraId="620C07AD">
      <w:pPr>
        <w:keepNext w:val="0"/>
        <w:keepLines w:val="0"/>
        <w:pageBreakBefore w:val="0"/>
        <w:kinsoku/>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sz w:val="32"/>
          <w:szCs w:val="32"/>
        </w:rPr>
        <w:t>希望全</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广大校外培训机构及从业人员贯彻落实法律法规有关要求，诚信经营，推动校外培训服务质量和水平稳步提升，切实保障学员和家长的合法权益。各级监管部门将持续加大依法查处力度，维护良好教育生态。</w:t>
      </w:r>
    </w:p>
    <w:p w14:paraId="30BE0BF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E10B2A"/>
    <w:rsid w:val="0C884A9F"/>
    <w:rsid w:val="130E2000"/>
    <w:rsid w:val="51222B6E"/>
    <w:rsid w:val="7CE10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qFormat/>
    <w:uiPriority w:val="22"/>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1943</Words>
  <Characters>2280</Characters>
  <Lines>0</Lines>
  <Paragraphs>0</Paragraphs>
  <TotalTime>1</TotalTime>
  <ScaleCrop>false</ScaleCrop>
  <LinksUpToDate>false</LinksUpToDate>
  <CharactersWithSpaces>2280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2025-01-16T08:56:00Z</dcterms:created>
  <dc:creator>般若天才</dc:creator>
  <cp:lastModifiedBy>般若天才</cp:lastModifiedBy>
  <dcterms:modified xsi:type="dcterms:W3CDTF">2025-01-17T07:52:27Z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5E7EF65212B84A6EBE9BBAA213C67E9C_11</vt:lpwstr>
  </property>
  <property fmtid="{D5CDD505-2E9C-101B-9397-08002B2CF9AE}" pid="4" name="KSOTemplateDocerSaveRecord">
    <vt:lpwstr>eyJoZGlkIjoiMGZiYjE2ODJmZGExOWUwNTEyOTg1ODAxNDNkOTRkZDkiLCJ1c2VySWQiOiIxOTY4MTUwMzUifQ==</vt:lpwstr>
  </property>
</Properties>
</file>