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30" w:lineRule="exact"/>
        <w:ind w:right="0" w:rightChars="0"/>
        <w:jc w:val="both"/>
        <w:textAlignment w:val="auto"/>
        <w:rPr>
          <w:rFonts w:hint="eastAsia" w:ascii="方正小标宋简体" w:eastAsia="方正小标宋简体"/>
          <w:snapToGrid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after="0" w:line="530" w:lineRule="exact"/>
        <w:ind w:right="0" w:rightChars="0"/>
        <w:jc w:val="both"/>
        <w:textAlignment w:val="auto"/>
        <w:rPr>
          <w:rFonts w:hint="eastAsia" w:ascii="方正小标宋简体" w:eastAsia="方正小标宋简体"/>
          <w:snapToGrid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left="0" w:leftChars="0" w:right="0" w:rightChars="0" w:firstLine="0" w:firstLineChars="0"/>
        <w:jc w:val="right"/>
        <w:textAlignment w:val="auto"/>
        <w:outlineLvl w:val="9"/>
        <w:rPr>
          <w:rFonts w:hint="eastAsia" w:ascii="黑体" w:hAnsi="黑体" w:eastAsia="黑体" w:cs="黑体"/>
          <w:sz w:val="32"/>
          <w:szCs w:val="32"/>
        </w:rPr>
      </w:pPr>
      <w:r>
        <w:rPr>
          <w:rFonts w:hint="eastAsia" w:ascii="仿宋_GB2312" w:hAnsi="宋体" w:eastAsia="仿宋_GB2312"/>
          <w:bCs/>
          <w:sz w:val="32"/>
          <w:szCs w:val="32"/>
        </w:rPr>
        <w:t>珠府</w:t>
      </w:r>
      <w:r>
        <w:rPr>
          <w:rFonts w:hint="eastAsia" w:hAnsi="宋体"/>
          <w:bCs/>
          <w:sz w:val="32"/>
          <w:szCs w:val="32"/>
          <w:lang w:eastAsia="zh-CN"/>
        </w:rPr>
        <w:t>办</w:t>
      </w:r>
      <w:r>
        <w:rPr>
          <w:rFonts w:hint="eastAsia" w:ascii="仿宋_GB2312" w:hAnsi="宋体" w:eastAsia="仿宋_GB2312"/>
          <w:bCs/>
          <w:sz w:val="32"/>
          <w:szCs w:val="32"/>
        </w:rPr>
        <w:t>函〔20</w:t>
      </w:r>
      <w:r>
        <w:rPr>
          <w:rFonts w:hint="eastAsia" w:ascii="仿宋_GB2312" w:hAnsi="宋体" w:eastAsia="仿宋_GB2312"/>
          <w:bCs/>
          <w:sz w:val="32"/>
          <w:szCs w:val="32"/>
          <w:lang w:val="en-US" w:eastAsia="zh-CN"/>
        </w:rPr>
        <w:t>24</w:t>
      </w:r>
      <w:r>
        <w:rPr>
          <w:rFonts w:hint="eastAsia" w:ascii="仿宋_GB2312" w:hAnsi="宋体" w:eastAsia="仿宋_GB2312"/>
          <w:bCs/>
          <w:sz w:val="32"/>
          <w:szCs w:val="32"/>
        </w:rPr>
        <w:t>〕</w:t>
      </w:r>
      <w:r>
        <w:rPr>
          <w:rFonts w:hint="eastAsia" w:hAnsi="宋体"/>
          <w:bCs/>
          <w:sz w:val="32"/>
          <w:szCs w:val="32"/>
          <w:lang w:val="en-US" w:eastAsia="zh-CN"/>
        </w:rPr>
        <w:t>120</w:t>
      </w:r>
      <w:r>
        <w:rPr>
          <w:rFonts w:hint="eastAsia" w:ascii="仿宋_GB2312" w:hAnsi="宋体" w:eastAsia="仿宋_GB2312"/>
          <w:bCs/>
          <w:sz w:val="32"/>
          <w:szCs w:val="32"/>
        </w:rPr>
        <w:t>号</w:t>
      </w: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jc w:val="both"/>
        <w:textAlignment w:val="auto"/>
        <w:rPr>
          <w:rFonts w:hint="eastAsia" w:ascii="方正小标宋简体" w:hAnsi="方正小标宋简体" w:eastAsia="方正小标宋简体" w:cs="方正小标宋简体"/>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left="0" w:lef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珠海市人民政府</w:t>
      </w:r>
      <w:r>
        <w:rPr>
          <w:rFonts w:hint="eastAsia" w:ascii="方正小标宋简体" w:eastAsia="方正小标宋简体"/>
          <w:sz w:val="44"/>
          <w:szCs w:val="44"/>
          <w:lang w:eastAsia="zh-CN"/>
        </w:rPr>
        <w:t>办公室</w:t>
      </w:r>
      <w:r>
        <w:rPr>
          <w:rFonts w:hint="eastAsia" w:ascii="方正小标宋简体" w:eastAsia="方正小标宋简体"/>
          <w:sz w:val="44"/>
          <w:szCs w:val="44"/>
        </w:rPr>
        <w:t>关于印发珠海市</w:t>
      </w: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left="0" w:leftChars="0" w:firstLine="0" w:firstLineChars="0"/>
        <w:jc w:val="center"/>
        <w:textAlignment w:val="auto"/>
        <w:outlineLvl w:val="9"/>
        <w:rPr>
          <w:rFonts w:hint="eastAsia" w:ascii="方正小标宋简体" w:eastAsia="方正小标宋简体"/>
          <w:sz w:val="32"/>
          <w:szCs w:val="32"/>
        </w:rPr>
      </w:pPr>
      <w:r>
        <w:rPr>
          <w:rFonts w:hint="eastAsia" w:ascii="方正小标宋简体" w:eastAsia="方正小标宋简体"/>
          <w:sz w:val="44"/>
          <w:szCs w:val="44"/>
          <w:lang w:val="en-US" w:eastAsia="zh-CN"/>
        </w:rPr>
        <w:t>突发环境事件应急预案</w:t>
      </w:r>
      <w:r>
        <w:rPr>
          <w:rFonts w:hint="eastAsia" w:ascii="方正小标宋简体" w:eastAsia="方正小标宋简体"/>
          <w:sz w:val="44"/>
          <w:szCs w:val="44"/>
        </w:rPr>
        <w:t>的通知</w:t>
      </w: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jc w:val="both"/>
        <w:textAlignment w:val="auto"/>
        <w:outlineLvl w:val="9"/>
        <w:rPr>
          <w:rFonts w:hint="eastAsia" w:ascii="Times New Roman" w:hAnsi="Times New Roman" w:eastAsia="仿宋_GB2312" w:cs="方正小标宋简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left="0" w:leftChars="0" w:firstLine="0" w:firstLineChars="0"/>
        <w:jc w:val="both"/>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各区政府（管委会），市政府各部门、各直属机构</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640" w:firstLineChars="200"/>
        <w:jc w:val="both"/>
        <w:textAlignment w:val="auto"/>
        <w:rPr>
          <w:rFonts w:hint="eastAsia" w:ascii="Times New Roman" w:hAnsi="Times New Roman" w:eastAsia="仿宋_GB2312" w:cs="仿宋_GB2312"/>
          <w:b w:val="0"/>
          <w:bCs w:val="0"/>
          <w:sz w:val="32"/>
          <w:szCs w:val="32"/>
        </w:rPr>
      </w:pPr>
      <w:r>
        <w:rPr>
          <w:rFonts w:hint="eastAsia" w:ascii="仿宋_GB2312" w:hAnsi="仿宋_GB2312" w:eastAsia="仿宋_GB2312" w:cs="仿宋_GB2312"/>
          <w:sz w:val="32"/>
          <w:szCs w:val="32"/>
          <w:lang w:val="en-US" w:eastAsia="zh-CN"/>
        </w:rPr>
        <w:t>现将新修订的《</w:t>
      </w:r>
      <w:r>
        <w:rPr>
          <w:rFonts w:hint="eastAsia" w:cs="仿宋_GB2312"/>
          <w:sz w:val="32"/>
          <w:szCs w:val="32"/>
        </w:rPr>
        <w:t>珠海市突发环境事件应急预案</w:t>
      </w:r>
      <w:r>
        <w:rPr>
          <w:rFonts w:hint="eastAsia" w:ascii="仿宋_GB2312" w:hAnsi="仿宋_GB2312" w:eastAsia="仿宋_GB2312" w:cs="仿宋_GB2312"/>
          <w:sz w:val="32"/>
          <w:szCs w:val="32"/>
          <w:lang w:val="en-US" w:eastAsia="zh-CN"/>
        </w:rPr>
        <w:t>》印发</w:t>
      </w:r>
      <w:r>
        <w:rPr>
          <w:rFonts w:hint="eastAsia" w:cs="仿宋_GB2312"/>
          <w:sz w:val="32"/>
          <w:szCs w:val="32"/>
          <w:lang w:val="en-US" w:eastAsia="zh-CN"/>
        </w:rPr>
        <w:t>给</w:t>
      </w:r>
      <w:r>
        <w:rPr>
          <w:rFonts w:hint="eastAsia" w:ascii="仿宋_GB2312" w:hAnsi="仿宋_GB2312" w:eastAsia="仿宋_GB2312" w:cs="仿宋_GB2312"/>
          <w:sz w:val="32"/>
          <w:szCs w:val="32"/>
          <w:lang w:val="en-US" w:eastAsia="zh-CN"/>
        </w:rPr>
        <w:t>你们</w:t>
      </w:r>
      <w:r>
        <w:rPr>
          <w:rFonts w:hint="eastAsia" w:ascii="Times New Roman" w:hAnsi="Times New Roman" w:eastAsia="仿宋_GB2312" w:cs="仿宋_GB2312"/>
          <w:b w:val="0"/>
          <w:bCs w:val="0"/>
          <w:sz w:val="32"/>
          <w:szCs w:val="32"/>
        </w:rPr>
        <w:t>，请认真贯彻执行。执行过程中遇到</w:t>
      </w:r>
      <w:r>
        <w:rPr>
          <w:rFonts w:hint="eastAsia" w:ascii="Times New Roman" w:hAnsi="Times New Roman" w:cs="仿宋_GB2312"/>
          <w:b w:val="0"/>
          <w:bCs w:val="0"/>
          <w:sz w:val="32"/>
          <w:szCs w:val="32"/>
          <w:lang w:eastAsia="zh-CN"/>
        </w:rPr>
        <w:t>的</w:t>
      </w:r>
      <w:r>
        <w:rPr>
          <w:rFonts w:hint="eastAsia" w:ascii="Times New Roman" w:hAnsi="Times New Roman" w:eastAsia="仿宋_GB2312" w:cs="仿宋_GB2312"/>
          <w:b w:val="0"/>
          <w:bCs w:val="0"/>
          <w:sz w:val="32"/>
          <w:szCs w:val="32"/>
        </w:rPr>
        <w:t>问题，请径向</w:t>
      </w:r>
      <w:r>
        <w:rPr>
          <w:rFonts w:hint="eastAsia" w:ascii="Times New Roman" w:hAnsi="Times New Roman" w:eastAsia="仿宋_GB2312" w:cs="仿宋_GB2312"/>
          <w:b w:val="0"/>
          <w:bCs w:val="0"/>
          <w:sz w:val="32"/>
          <w:szCs w:val="32"/>
          <w:lang w:eastAsia="zh-CN"/>
        </w:rPr>
        <w:t>市生态环境局</w:t>
      </w:r>
      <w:r>
        <w:rPr>
          <w:rFonts w:hint="eastAsia" w:ascii="Times New Roman" w:hAnsi="Times New Roman" w:eastAsia="仿宋_GB2312" w:cs="仿宋_GB2312"/>
          <w:b w:val="0"/>
          <w:bCs w:val="0"/>
          <w:sz w:val="32"/>
          <w:szCs w:val="32"/>
        </w:rPr>
        <w:t>反映。</w:t>
      </w:r>
    </w:p>
    <w:p>
      <w:pPr>
        <w:pStyle w:val="35"/>
        <w:adjustRightInd w:val="0"/>
        <w:snapToGrid w:val="0"/>
        <w:spacing w:beforeLines="0" w:afterLines="0"/>
        <w:ind w:left="0" w:leftChars="0" w:firstLine="0" w:firstLineChars="0"/>
        <w:rPr>
          <w:rFonts w:hint="eastAsia" w:ascii="Times New Roman" w:hAnsi="Times New Roman" w:eastAsia="仿宋_GB2312" w:cs="仿宋_GB2312"/>
          <w:b w:val="0"/>
          <w:bCs w:val="0"/>
          <w:sz w:val="32"/>
          <w:szCs w:val="32"/>
          <w:lang w:eastAsia="zh-CN"/>
        </w:rPr>
      </w:pPr>
    </w:p>
    <w:p>
      <w:pPr>
        <w:pStyle w:val="35"/>
        <w:keepNext w:val="0"/>
        <w:keepLines w:val="0"/>
        <w:pageBreakBefore w:val="0"/>
        <w:widowControl w:val="0"/>
        <w:kinsoku/>
        <w:wordWrap/>
        <w:overflowPunct/>
        <w:topLinePunct w:val="0"/>
        <w:autoSpaceDE/>
        <w:autoSpaceDN/>
        <w:bidi w:val="0"/>
        <w:adjustRightInd w:val="0"/>
        <w:snapToGrid w:val="0"/>
        <w:spacing w:beforeLines="0" w:afterLines="0" w:line="579" w:lineRule="exact"/>
        <w:ind w:left="0" w:leftChars="0" w:firstLine="0" w:firstLineChars="0"/>
        <w:jc w:val="both"/>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640" w:firstLineChars="200"/>
        <w:jc w:val="both"/>
        <w:textAlignment w:val="auto"/>
        <w:outlineLvl w:val="9"/>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right="0" w:rightChars="0" w:firstLine="4720" w:firstLineChars="1475"/>
        <w:jc w:val="both"/>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珠海市人民政府办公室</w:t>
      </w: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right="0" w:rightChars="0" w:firstLine="5120" w:firstLineChars="1600"/>
        <w:jc w:val="both"/>
        <w:textAlignment w:val="auto"/>
        <w:outlineLvl w:val="9"/>
        <w:rPr>
          <w:rFonts w:ascii="Times New Roman" w:hAnsi="Times New Roman" w:eastAsia="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月</w:t>
      </w:r>
      <w:r>
        <w:rPr>
          <w:rFonts w:hint="eastAsia" w:cs="仿宋_GB2312"/>
          <w:sz w:val="32"/>
          <w:szCs w:val="32"/>
          <w:lang w:val="en-US" w:eastAsia="zh-CN"/>
        </w:rPr>
        <w:t>30</w:t>
      </w:r>
      <w:r>
        <w:rPr>
          <w:rFonts w:hint="eastAsia" w:ascii="仿宋_GB2312" w:hAnsi="仿宋_GB2312" w:eastAsia="仿宋_GB2312" w:cs="仿宋_GB2312"/>
          <w:sz w:val="32"/>
          <w:szCs w:val="32"/>
        </w:rPr>
        <w:t>日</w:t>
      </w:r>
    </w:p>
    <w:p>
      <w:pPr>
        <w:snapToGrid w:val="0"/>
        <w:spacing w:beforeLines="0" w:afterLines="0" w:line="579" w:lineRule="exact"/>
        <w:jc w:val="both"/>
        <w:rPr>
          <w:rFonts w:asciiTheme="majorHAnsi" w:hAnsiTheme="majorHAnsi" w:eastAsiaTheme="majorEastAsia" w:cstheme="majorBidi"/>
          <w:b w:val="0"/>
          <w:color w:val="2E75B6" w:themeColor="accent1" w:themeShade="BF"/>
          <w:sz w:val="32"/>
          <w:szCs w:val="32"/>
          <w:lang w:val="zh-CN"/>
        </w:rPr>
      </w:pPr>
    </w:p>
    <w:p>
      <w:pPr>
        <w:spacing w:beforeLines="0" w:afterLines="0" w:line="579" w:lineRule="exact"/>
        <w:rPr>
          <w:rFonts w:ascii="Times New Roman" w:hAnsi="Times New Roman" w:eastAsia="仿宋_GB2312"/>
          <w:sz w:val="32"/>
          <w:szCs w:val="32"/>
          <w:lang w:val="zh-CN"/>
        </w:rPr>
      </w:pPr>
    </w:p>
    <w:p>
      <w:pPr>
        <w:pStyle w:val="35"/>
        <w:spacing w:beforeLines="0" w:afterLines="0"/>
        <w:rPr>
          <w:rFonts w:ascii="Times New Roman" w:hAnsi="Times New Roman" w:eastAsia="仿宋_GB2312"/>
          <w:sz w:val="32"/>
          <w:szCs w:val="32"/>
          <w:lang w:val="zh-CN"/>
        </w:rPr>
      </w:pPr>
    </w:p>
    <w:p>
      <w:pPr>
        <w:pStyle w:val="35"/>
        <w:spacing w:beforeLines="0" w:afterLines="0"/>
        <w:rPr>
          <w:rFonts w:ascii="Times New Roman" w:hAnsi="Times New Roman" w:eastAsia="仿宋_GB2312"/>
          <w:sz w:val="32"/>
          <w:szCs w:val="32"/>
          <w:lang w:val="zh-CN"/>
        </w:rPr>
      </w:pPr>
    </w:p>
    <w:p>
      <w:pPr>
        <w:pStyle w:val="35"/>
        <w:spacing w:beforeLines="0" w:afterLines="0"/>
        <w:ind w:firstLine="0" w:firstLineChars="0"/>
        <w:rPr>
          <w:rFonts w:ascii="Times New Roman" w:hAnsi="Times New Roman" w:eastAsia="仿宋_GB2312"/>
          <w:sz w:val="32"/>
          <w:szCs w:val="32"/>
          <w:lang w:val="zh-CN"/>
        </w:rPr>
      </w:pPr>
    </w:p>
    <w:p>
      <w:pPr>
        <w:pStyle w:val="43"/>
        <w:snapToGrid w:val="0"/>
        <w:spacing w:before="0" w:beforeLines="0" w:afterLines="0" w:line="579" w:lineRule="exact"/>
        <w:ind w:firstLine="0" w:firstLineChars="0"/>
        <w:jc w:val="both"/>
        <w:rPr>
          <w:rFonts w:hint="eastAsia" w:ascii="方正小标宋简体" w:hAnsi="方正小标宋简体" w:eastAsia="方正小标宋简体" w:cs="方正小标宋简体"/>
          <w:b w:val="0"/>
          <w:bCs w:val="0"/>
          <w:color w:val="auto"/>
          <w:sz w:val="44"/>
          <w:szCs w:val="44"/>
          <w:lang w:eastAsia="zh-CN"/>
        </w:rPr>
      </w:pPr>
    </w:p>
    <w:p>
      <w:pPr>
        <w:pStyle w:val="43"/>
        <w:snapToGrid w:val="0"/>
        <w:spacing w:before="0" w:beforeLines="0" w:afterLines="0" w:line="579" w:lineRule="exact"/>
        <w:ind w:firstLine="0" w:firstLineChars="0"/>
        <w:jc w:val="both"/>
        <w:rPr>
          <w:rFonts w:hint="eastAsia" w:ascii="方正小标宋简体" w:hAnsi="方正小标宋简体" w:eastAsia="方正小标宋简体" w:cs="方正小标宋简体"/>
          <w:b w:val="0"/>
          <w:bCs w:val="0"/>
          <w:color w:val="auto"/>
          <w:sz w:val="44"/>
          <w:szCs w:val="44"/>
          <w:lang w:eastAsia="zh-CN"/>
        </w:rPr>
      </w:pPr>
    </w:p>
    <w:p>
      <w:pPr>
        <w:pStyle w:val="43"/>
        <w:snapToGrid w:val="0"/>
        <w:spacing w:before="0" w:beforeLines="0" w:afterLines="0" w:line="579" w:lineRule="exact"/>
        <w:ind w:firstLine="0" w:firstLineChars="0"/>
        <w:jc w:val="both"/>
        <w:rPr>
          <w:rFonts w:hint="eastAsia" w:ascii="方正小标宋简体" w:hAnsi="方正小标宋简体" w:eastAsia="方正小标宋简体" w:cs="方正小标宋简体"/>
          <w:b w:val="0"/>
          <w:bCs w:val="0"/>
          <w:color w:val="auto"/>
          <w:sz w:val="44"/>
          <w:szCs w:val="44"/>
          <w:lang w:eastAsia="zh-CN"/>
        </w:rPr>
      </w:pPr>
    </w:p>
    <w:p>
      <w:pPr>
        <w:pStyle w:val="43"/>
        <w:snapToGrid w:val="0"/>
        <w:spacing w:before="0" w:beforeLines="0" w:afterLines="0" w:line="579" w:lineRule="exact"/>
        <w:ind w:firstLine="0" w:firstLineChars="0"/>
        <w:jc w:val="both"/>
        <w:rPr>
          <w:rFonts w:hint="eastAsia" w:ascii="方正小标宋简体" w:hAnsi="方正小标宋简体" w:eastAsia="方正小标宋简体" w:cs="方正小标宋简体"/>
          <w:b w:val="0"/>
          <w:bCs w:val="0"/>
          <w:color w:val="auto"/>
          <w:sz w:val="44"/>
          <w:szCs w:val="44"/>
          <w:lang w:eastAsia="zh-CN"/>
        </w:rPr>
      </w:pPr>
    </w:p>
    <w:p>
      <w:pPr>
        <w:pStyle w:val="43"/>
        <w:snapToGrid w:val="0"/>
        <w:spacing w:before="0" w:beforeLines="0" w:afterLines="0" w:line="579" w:lineRule="exact"/>
        <w:ind w:firstLine="0" w:firstLineChars="0"/>
        <w:jc w:val="center"/>
        <w:rPr>
          <w:rFonts w:hint="eastAsia" w:ascii="方正小标宋简体" w:hAnsi="方正小标宋简体" w:eastAsia="方正小标宋简体" w:cs="方正小标宋简体"/>
          <w:b/>
          <w:color w:val="auto"/>
          <w:sz w:val="52"/>
          <w:szCs w:val="52"/>
          <w:lang w:val="zh-CN"/>
        </w:rPr>
      </w:pPr>
      <w:r>
        <w:rPr>
          <w:rFonts w:hint="eastAsia" w:ascii="方正小标宋简体" w:hAnsi="方正小标宋简体" w:eastAsia="方正小标宋简体" w:cs="方正小标宋简体"/>
          <w:b w:val="0"/>
          <w:bCs w:val="0"/>
          <w:color w:val="auto"/>
          <w:sz w:val="52"/>
          <w:szCs w:val="52"/>
          <w:lang w:eastAsia="zh-CN"/>
        </w:rPr>
        <w:t>珠海市突发环境事件应急预案</w:t>
      </w:r>
    </w:p>
    <w:p>
      <w:pPr>
        <w:pStyle w:val="43"/>
        <w:snapToGrid w:val="0"/>
        <w:spacing w:before="0" w:beforeLines="0" w:afterLines="0" w:line="579" w:lineRule="exact"/>
        <w:ind w:firstLine="320" w:firstLineChars="10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snapToGrid w:val="0"/>
        <w:spacing w:before="0" w:beforeLines="0" w:afterLines="0" w:line="579" w:lineRule="exact"/>
        <w:ind w:firstLine="0" w:firstLineChars="0"/>
        <w:jc w:val="center"/>
        <w:rPr>
          <w:rFonts w:hint="eastAsia" w:ascii="黑体" w:hAnsi="黑体" w:eastAsia="黑体" w:cs="黑体"/>
          <w:b w:val="0"/>
          <w:bCs/>
          <w:color w:val="auto"/>
          <w:sz w:val="32"/>
          <w:szCs w:val="32"/>
          <w:lang w:val="zh-CN"/>
        </w:rPr>
      </w:pPr>
    </w:p>
    <w:p>
      <w:pPr>
        <w:pStyle w:val="43"/>
        <w:keepNext w:val="0"/>
        <w:keepLines w:val="0"/>
        <w:widowControl w:val="0"/>
        <w:adjustRightInd w:val="0"/>
        <w:snapToGrid w:val="0"/>
        <w:spacing w:before="0" w:beforeLines="0" w:afterLines="0" w:line="579" w:lineRule="exact"/>
        <w:ind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color w:val="auto"/>
          <w:sz w:val="44"/>
          <w:szCs w:val="44"/>
          <w:lang w:val="zh-CN"/>
        </w:rPr>
        <w:t>目  录</w:t>
      </w:r>
    </w:p>
    <w:p>
      <w:pPr>
        <w:pStyle w:val="21"/>
        <w:tabs>
          <w:tab w:val="right" w:leader="dot" w:pos="8844"/>
        </w:tabs>
        <w:adjustRightInd w:val="0"/>
        <w:snapToGrid w:val="0"/>
        <w:spacing w:beforeLines="0" w:after="0" w:afterLines="0" w:line="460" w:lineRule="exact"/>
        <w:ind w:firstLine="0" w:firstLineChars="0"/>
        <w:jc w:val="both"/>
        <w:rPr>
          <w:rFonts w:hint="eastAsia" w:ascii="黑体" w:hAnsi="黑体" w:eastAsia="黑体" w:cs="黑体"/>
          <w:b w:val="0"/>
          <w:bCs w:val="0"/>
          <w:sz w:val="32"/>
          <w:szCs w:val="32"/>
        </w:rPr>
      </w:pPr>
      <w:r>
        <w:rPr>
          <w:rFonts w:hint="eastAsia" w:ascii="仿宋_GB2312" w:hAnsi="仿宋_GB2312" w:eastAsia="仿宋_GB2312" w:cs="仿宋_GB2312"/>
          <w:b w:val="0"/>
          <w:bCs w:val="0"/>
          <w:caps w:val="0"/>
          <w:sz w:val="32"/>
          <w:szCs w:val="32"/>
        </w:rPr>
        <w:fldChar w:fldCharType="begin"/>
      </w:r>
      <w:r>
        <w:rPr>
          <w:rFonts w:hint="eastAsia" w:ascii="仿宋_GB2312" w:hAnsi="仿宋_GB2312" w:eastAsia="仿宋_GB2312" w:cs="仿宋_GB2312"/>
          <w:b w:val="0"/>
          <w:bCs w:val="0"/>
          <w:caps w:val="0"/>
          <w:sz w:val="32"/>
          <w:szCs w:val="32"/>
        </w:rPr>
        <w:instrText xml:space="preserve"> TOC \o "1-3" \h \z \u </w:instrText>
      </w:r>
      <w:r>
        <w:rPr>
          <w:rFonts w:hint="eastAsia" w:ascii="仿宋_GB2312" w:hAnsi="仿宋_GB2312" w:eastAsia="仿宋_GB2312" w:cs="仿宋_GB2312"/>
          <w:b w:val="0"/>
          <w:bCs w:val="0"/>
          <w:caps w:val="0"/>
          <w:sz w:val="32"/>
          <w:szCs w:val="32"/>
        </w:rPr>
        <w:fldChar w:fldCharType="separate"/>
      </w:r>
      <w:r>
        <w:rPr>
          <w:rFonts w:hint="eastAsia" w:ascii="黑体" w:hAnsi="黑体" w:eastAsia="黑体" w:cs="黑体"/>
          <w:b w:val="0"/>
          <w:bCs w:val="0"/>
          <w:caps/>
          <w:sz w:val="32"/>
          <w:szCs w:val="32"/>
        </w:rPr>
        <w:fldChar w:fldCharType="begin"/>
      </w:r>
      <w:r>
        <w:rPr>
          <w:rFonts w:hint="eastAsia" w:ascii="黑体" w:hAnsi="黑体" w:eastAsia="黑体" w:cs="黑体"/>
          <w:b w:val="0"/>
          <w:bCs w:val="0"/>
          <w:caps/>
          <w:sz w:val="32"/>
          <w:szCs w:val="32"/>
        </w:rPr>
        <w:instrText xml:space="preserve"> HYPERLINK \l _Toc18268392 </w:instrText>
      </w:r>
      <w:r>
        <w:rPr>
          <w:rFonts w:hint="eastAsia" w:ascii="黑体" w:hAnsi="黑体" w:eastAsia="黑体" w:cs="黑体"/>
          <w:b w:val="0"/>
          <w:bCs w:val="0"/>
          <w:caps/>
          <w:sz w:val="32"/>
          <w:szCs w:val="32"/>
        </w:rPr>
        <w:fldChar w:fldCharType="separate"/>
      </w:r>
      <w:r>
        <w:rPr>
          <w:rFonts w:hint="eastAsia" w:ascii="黑体" w:hAnsi="黑体" w:eastAsia="黑体" w:cs="黑体"/>
          <w:b w:val="0"/>
          <w:bCs w:val="0"/>
          <w:sz w:val="32"/>
          <w:szCs w:val="32"/>
        </w:rPr>
        <w:t>1 总则</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_Toc18268392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1</w:t>
      </w:r>
      <w:r>
        <w:rPr>
          <w:rFonts w:hint="eastAsia" w:ascii="黑体" w:hAnsi="黑体" w:eastAsia="黑体" w:cs="黑体"/>
          <w:b w:val="0"/>
          <w:bCs w:val="0"/>
          <w:sz w:val="32"/>
          <w:szCs w:val="32"/>
        </w:rPr>
        <w:fldChar w:fldCharType="end"/>
      </w:r>
      <w:r>
        <w:rPr>
          <w:rFonts w:hint="eastAsia" w:ascii="黑体" w:hAnsi="黑体" w:eastAsia="黑体" w:cs="黑体"/>
          <w:b w:val="0"/>
          <w:bCs w:val="0"/>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_Toc596857522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1.1 编制目的</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_Toc596857522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_Toc2087226264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1.2 编制依据</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_Toc2087226264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_Toc1310333849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1.3 适用范围</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_Toc1310333849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_Toc1106784538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1.4 工作原则</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_Toc1106784538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1"/>
        <w:tabs>
          <w:tab w:val="right" w:leader="dot" w:pos="8844"/>
        </w:tabs>
        <w:adjustRightInd w:val="0"/>
        <w:snapToGrid w:val="0"/>
        <w:spacing w:before="0" w:beforeLines="0" w:after="0" w:afterLines="0" w:line="579"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caps/>
          <w:sz w:val="32"/>
          <w:szCs w:val="32"/>
        </w:rPr>
        <w:fldChar w:fldCharType="begin"/>
      </w:r>
      <w:r>
        <w:rPr>
          <w:rFonts w:hint="eastAsia" w:ascii="黑体" w:hAnsi="黑体" w:eastAsia="黑体" w:cs="黑体"/>
          <w:b w:val="0"/>
          <w:bCs w:val="0"/>
          <w:caps/>
          <w:sz w:val="32"/>
          <w:szCs w:val="32"/>
        </w:rPr>
        <w:instrText xml:space="preserve"> HYPERLINK \l _Toc402094318 </w:instrText>
      </w:r>
      <w:r>
        <w:rPr>
          <w:rFonts w:hint="eastAsia" w:ascii="黑体" w:hAnsi="黑体" w:eastAsia="黑体" w:cs="黑体"/>
          <w:b w:val="0"/>
          <w:bCs w:val="0"/>
          <w:caps/>
          <w:sz w:val="32"/>
          <w:szCs w:val="32"/>
        </w:rPr>
        <w:fldChar w:fldCharType="separate"/>
      </w:r>
      <w:r>
        <w:rPr>
          <w:rFonts w:hint="eastAsia" w:ascii="黑体" w:hAnsi="黑体" w:eastAsia="黑体" w:cs="黑体"/>
          <w:b w:val="0"/>
          <w:bCs w:val="0"/>
          <w:sz w:val="32"/>
          <w:szCs w:val="32"/>
        </w:rPr>
        <w:t>2 应急指挥体系及职责</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_Toc402094318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2</w:t>
      </w:r>
      <w:r>
        <w:rPr>
          <w:rFonts w:hint="eastAsia" w:ascii="黑体" w:hAnsi="黑体" w:eastAsia="黑体" w:cs="黑体"/>
          <w:b w:val="0"/>
          <w:bCs w:val="0"/>
          <w:sz w:val="32"/>
          <w:szCs w:val="32"/>
        </w:rPr>
        <w:fldChar w:fldCharType="end"/>
      </w:r>
      <w:r>
        <w:rPr>
          <w:rFonts w:hint="eastAsia" w:ascii="黑体" w:hAnsi="黑体" w:eastAsia="黑体" w:cs="黑体"/>
          <w:b w:val="0"/>
          <w:bCs w:val="0"/>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_Toc969814797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2.1 市应急指挥部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_Toc969814797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_Toc1515199246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2.2 市应急指挥部办公室</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_Toc1515199246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_Toc228019594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2.3 市现场指挥部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_Toc228019594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_Toc1752307977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2.4 现场工作组</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_Toc1752307977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_Toc1612554017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2.5 各区（功能区）政府（管委会）应急指挥机构</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_Toc1612554017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_Toc1779320479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bCs/>
          <w:sz w:val="32"/>
          <w:szCs w:val="32"/>
        </w:rPr>
        <w:t>2.6</w:t>
      </w:r>
      <w:r>
        <w:rPr>
          <w:rFonts w:hint="eastAsia" w:ascii="楷体_GB2312" w:hAnsi="楷体_GB2312" w:eastAsia="楷体_GB2312" w:cs="楷体_GB2312"/>
          <w:bCs w:val="0"/>
          <w:sz w:val="32"/>
          <w:szCs w:val="32"/>
        </w:rPr>
        <w:t xml:space="preserve"> 跨行政区域应急指挥机构</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_Toc1779320479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1"/>
        <w:tabs>
          <w:tab w:val="right" w:leader="dot" w:pos="8844"/>
        </w:tabs>
        <w:adjustRightInd w:val="0"/>
        <w:snapToGrid w:val="0"/>
        <w:spacing w:before="0" w:beforeLines="0" w:after="0" w:afterLines="0" w:line="579"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caps/>
          <w:sz w:val="32"/>
          <w:szCs w:val="32"/>
        </w:rPr>
        <w:fldChar w:fldCharType="begin"/>
      </w:r>
      <w:r>
        <w:rPr>
          <w:rFonts w:hint="eastAsia" w:ascii="黑体" w:hAnsi="黑体" w:eastAsia="黑体" w:cs="黑体"/>
          <w:b w:val="0"/>
          <w:bCs w:val="0"/>
          <w:caps/>
          <w:sz w:val="32"/>
          <w:szCs w:val="32"/>
        </w:rPr>
        <w:instrText xml:space="preserve"> HYPERLINK \l _Toc1953685401 </w:instrText>
      </w:r>
      <w:r>
        <w:rPr>
          <w:rFonts w:hint="eastAsia" w:ascii="黑体" w:hAnsi="黑体" w:eastAsia="黑体" w:cs="黑体"/>
          <w:b w:val="0"/>
          <w:bCs w:val="0"/>
          <w:caps/>
          <w:sz w:val="32"/>
          <w:szCs w:val="32"/>
        </w:rPr>
        <w:fldChar w:fldCharType="separate"/>
      </w:r>
      <w:r>
        <w:rPr>
          <w:rFonts w:hint="eastAsia" w:ascii="黑体" w:hAnsi="黑体" w:eastAsia="黑体" w:cs="黑体"/>
          <w:b w:val="0"/>
          <w:bCs w:val="0"/>
          <w:sz w:val="32"/>
          <w:szCs w:val="32"/>
        </w:rPr>
        <w:t>3 运行机制</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_Toc1953685401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13</w:t>
      </w:r>
      <w:r>
        <w:rPr>
          <w:rFonts w:hint="eastAsia" w:ascii="黑体" w:hAnsi="黑体" w:eastAsia="黑体" w:cs="黑体"/>
          <w:b w:val="0"/>
          <w:bCs w:val="0"/>
          <w:sz w:val="32"/>
          <w:szCs w:val="32"/>
        </w:rPr>
        <w:fldChar w:fldCharType="end"/>
      </w:r>
      <w:r>
        <w:rPr>
          <w:rFonts w:hint="eastAsia" w:ascii="黑体" w:hAnsi="黑体" w:eastAsia="黑体" w:cs="黑体"/>
          <w:b w:val="0"/>
          <w:bCs w:val="0"/>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_Toc2115453492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3.1 风险防控</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_Toc2115453492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_Toc1319274787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3.2 信息监测</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_Toc1319274787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_Toc1915871840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3.3 预警机制</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_Toc1915871840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15"/>
        <w:tabs>
          <w:tab w:val="right" w:leader="dot" w:pos="8844"/>
        </w:tabs>
        <w:adjustRightInd w:val="0"/>
        <w:snapToGrid w:val="0"/>
        <w:spacing w:beforeLines="0" w:afterLines="0" w:line="579" w:lineRule="exact"/>
        <w:ind w:left="0" w:firstLine="640" w:firstLineChars="200"/>
        <w:jc w:val="both"/>
        <w:rPr>
          <w:rFonts w:hint="eastAsia" w:ascii="仿宋_GB2312" w:eastAsia="仿宋_GB2312" w:cs="仿宋_GB2312"/>
          <w:sz w:val="32"/>
          <w:szCs w:val="32"/>
        </w:rPr>
      </w:pPr>
      <w:r>
        <w:rPr>
          <w:rFonts w:hint="eastAsia" w:ascii="仿宋_GB2312" w:hAnsi="仿宋_GB2312" w:eastAsia="仿宋_GB2312" w:cs="仿宋_GB2312"/>
          <w:bCs/>
          <w:caps/>
          <w:sz w:val="32"/>
          <w:szCs w:val="32"/>
        </w:rPr>
        <w:fldChar w:fldCharType="begin"/>
      </w:r>
      <w:r>
        <w:rPr>
          <w:rFonts w:hint="eastAsia" w:ascii="仿宋_GB2312" w:hAnsi="仿宋_GB2312" w:eastAsia="仿宋_GB2312" w:cs="仿宋_GB2312"/>
          <w:bCs/>
          <w:caps/>
          <w:sz w:val="32"/>
          <w:szCs w:val="32"/>
        </w:rPr>
        <w:instrText xml:space="preserve"> HYPERLINK \l _Toc1729190339 </w:instrText>
      </w:r>
      <w:r>
        <w:rPr>
          <w:rFonts w:hint="eastAsia" w:ascii="仿宋_GB2312" w:hAnsi="仿宋_GB2312" w:eastAsia="仿宋_GB2312" w:cs="仿宋_GB2312"/>
          <w:bCs/>
          <w:caps/>
          <w:sz w:val="32"/>
          <w:szCs w:val="32"/>
        </w:rPr>
        <w:fldChar w:fldCharType="separate"/>
      </w:r>
      <w:r>
        <w:rPr>
          <w:rFonts w:hint="eastAsia" w:ascii="仿宋_GB2312" w:hAnsi="仿宋_GB2312" w:eastAsia="仿宋_GB2312" w:cs="仿宋_GB2312"/>
          <w:bCs w:val="0"/>
          <w:sz w:val="32"/>
          <w:szCs w:val="32"/>
        </w:rPr>
        <w:t>3.3.1 预警分级</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_Toc1729190339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14</w:t>
      </w:r>
      <w:r>
        <w:rPr>
          <w:rFonts w:hint="eastAsia" w:ascii="仿宋_GB2312" w:eastAsia="仿宋_GB2312" w:cs="仿宋_GB2312"/>
          <w:sz w:val="32"/>
          <w:szCs w:val="32"/>
        </w:rPr>
        <w:fldChar w:fldCharType="end"/>
      </w:r>
      <w:r>
        <w:rPr>
          <w:rFonts w:hint="eastAsia" w:ascii="仿宋_GB2312" w:hAnsi="仿宋_GB2312" w:eastAsia="仿宋_GB2312" w:cs="仿宋_GB2312"/>
          <w:bCs/>
          <w:caps/>
          <w:sz w:val="32"/>
          <w:szCs w:val="32"/>
        </w:rPr>
        <w:fldChar w:fldCharType="end"/>
      </w:r>
    </w:p>
    <w:p>
      <w:pPr>
        <w:pStyle w:val="15"/>
        <w:tabs>
          <w:tab w:val="right" w:leader="dot" w:pos="8844"/>
        </w:tabs>
        <w:adjustRightInd w:val="0"/>
        <w:snapToGrid w:val="0"/>
        <w:spacing w:beforeLines="0" w:afterLines="0" w:line="579" w:lineRule="exact"/>
        <w:ind w:left="0" w:firstLine="640" w:firstLineChars="200"/>
        <w:jc w:val="both"/>
        <w:rPr>
          <w:rFonts w:hint="eastAsia" w:ascii="仿宋_GB2312" w:eastAsia="仿宋_GB2312" w:cs="仿宋_GB2312"/>
          <w:sz w:val="32"/>
          <w:szCs w:val="32"/>
        </w:rPr>
      </w:pPr>
      <w:r>
        <w:rPr>
          <w:rFonts w:hint="eastAsia" w:ascii="仿宋_GB2312" w:hAnsi="仿宋_GB2312" w:eastAsia="仿宋_GB2312" w:cs="仿宋_GB2312"/>
          <w:bCs/>
          <w:caps/>
          <w:sz w:val="32"/>
          <w:szCs w:val="32"/>
        </w:rPr>
        <w:fldChar w:fldCharType="begin"/>
      </w:r>
      <w:r>
        <w:rPr>
          <w:rFonts w:hint="eastAsia" w:ascii="仿宋_GB2312" w:hAnsi="仿宋_GB2312" w:eastAsia="仿宋_GB2312" w:cs="仿宋_GB2312"/>
          <w:bCs/>
          <w:caps/>
          <w:sz w:val="32"/>
          <w:szCs w:val="32"/>
        </w:rPr>
        <w:instrText xml:space="preserve"> HYPERLINK \l _Toc789390204 </w:instrText>
      </w:r>
      <w:r>
        <w:rPr>
          <w:rFonts w:hint="eastAsia" w:ascii="仿宋_GB2312" w:hAnsi="仿宋_GB2312" w:eastAsia="仿宋_GB2312" w:cs="仿宋_GB2312"/>
          <w:bCs/>
          <w:caps/>
          <w:sz w:val="32"/>
          <w:szCs w:val="32"/>
        </w:rPr>
        <w:fldChar w:fldCharType="separate"/>
      </w:r>
      <w:r>
        <w:rPr>
          <w:rFonts w:hint="eastAsia" w:ascii="仿宋_GB2312" w:hAnsi="仿宋_GB2312" w:eastAsia="仿宋_GB2312" w:cs="仿宋_GB2312"/>
          <w:bCs w:val="0"/>
          <w:sz w:val="32"/>
          <w:szCs w:val="32"/>
        </w:rPr>
        <w:t>3.3.2 预警条件</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_Toc789390204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14</w:t>
      </w:r>
      <w:r>
        <w:rPr>
          <w:rFonts w:hint="eastAsia" w:ascii="仿宋_GB2312" w:eastAsia="仿宋_GB2312" w:cs="仿宋_GB2312"/>
          <w:sz w:val="32"/>
          <w:szCs w:val="32"/>
        </w:rPr>
        <w:fldChar w:fldCharType="end"/>
      </w:r>
      <w:r>
        <w:rPr>
          <w:rFonts w:hint="eastAsia" w:ascii="仿宋_GB2312" w:hAnsi="仿宋_GB2312" w:eastAsia="仿宋_GB2312" w:cs="仿宋_GB2312"/>
          <w:bCs/>
          <w:caps/>
          <w:sz w:val="32"/>
          <w:szCs w:val="32"/>
        </w:rPr>
        <w:fldChar w:fldCharType="end"/>
      </w:r>
    </w:p>
    <w:p>
      <w:pPr>
        <w:pStyle w:val="15"/>
        <w:tabs>
          <w:tab w:val="right" w:leader="dot" w:pos="8844"/>
        </w:tabs>
        <w:adjustRightInd w:val="0"/>
        <w:snapToGrid w:val="0"/>
        <w:spacing w:beforeLines="0" w:afterLines="0" w:line="579" w:lineRule="exact"/>
        <w:ind w:left="0" w:firstLine="640" w:firstLineChars="200"/>
        <w:jc w:val="both"/>
        <w:rPr>
          <w:rFonts w:hint="eastAsia" w:ascii="仿宋_GB2312" w:eastAsia="仿宋_GB2312" w:cs="仿宋_GB2312"/>
          <w:sz w:val="32"/>
          <w:szCs w:val="32"/>
        </w:rPr>
      </w:pPr>
      <w:r>
        <w:rPr>
          <w:rFonts w:hint="eastAsia" w:ascii="仿宋_GB2312" w:hAnsi="仿宋_GB2312" w:eastAsia="仿宋_GB2312" w:cs="仿宋_GB2312"/>
          <w:bCs/>
          <w:caps/>
          <w:sz w:val="32"/>
          <w:szCs w:val="32"/>
        </w:rPr>
        <w:fldChar w:fldCharType="begin"/>
      </w:r>
      <w:r>
        <w:rPr>
          <w:rFonts w:hint="eastAsia" w:ascii="仿宋_GB2312" w:hAnsi="仿宋_GB2312" w:eastAsia="仿宋_GB2312" w:cs="仿宋_GB2312"/>
          <w:bCs/>
          <w:caps/>
          <w:sz w:val="32"/>
          <w:szCs w:val="32"/>
        </w:rPr>
        <w:instrText xml:space="preserve"> HYPERLINK \l _Toc557671860 </w:instrText>
      </w:r>
      <w:r>
        <w:rPr>
          <w:rFonts w:hint="eastAsia" w:ascii="仿宋_GB2312" w:hAnsi="仿宋_GB2312" w:eastAsia="仿宋_GB2312" w:cs="仿宋_GB2312"/>
          <w:bCs/>
          <w:caps/>
          <w:sz w:val="32"/>
          <w:szCs w:val="32"/>
        </w:rPr>
        <w:fldChar w:fldCharType="separate"/>
      </w:r>
      <w:r>
        <w:rPr>
          <w:rFonts w:hint="eastAsia" w:ascii="仿宋_GB2312" w:hAnsi="仿宋_GB2312" w:eastAsia="仿宋_GB2312" w:cs="仿宋_GB2312"/>
          <w:bCs w:val="0"/>
          <w:sz w:val="32"/>
          <w:szCs w:val="32"/>
        </w:rPr>
        <w:t>3.3.3 预警信息发布</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_Toc557671860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15</w:t>
      </w:r>
      <w:r>
        <w:rPr>
          <w:rFonts w:hint="eastAsia" w:ascii="仿宋_GB2312" w:eastAsia="仿宋_GB2312" w:cs="仿宋_GB2312"/>
          <w:sz w:val="32"/>
          <w:szCs w:val="32"/>
        </w:rPr>
        <w:fldChar w:fldCharType="end"/>
      </w:r>
      <w:r>
        <w:rPr>
          <w:rFonts w:hint="eastAsia" w:ascii="仿宋_GB2312" w:hAnsi="仿宋_GB2312" w:eastAsia="仿宋_GB2312" w:cs="仿宋_GB2312"/>
          <w:bCs/>
          <w:caps/>
          <w:sz w:val="32"/>
          <w:szCs w:val="32"/>
        </w:rPr>
        <w:fldChar w:fldCharType="end"/>
      </w:r>
    </w:p>
    <w:p>
      <w:pPr>
        <w:pStyle w:val="15"/>
        <w:tabs>
          <w:tab w:val="right" w:leader="dot" w:pos="8844"/>
        </w:tabs>
        <w:adjustRightInd w:val="0"/>
        <w:snapToGrid w:val="0"/>
        <w:spacing w:beforeLines="0" w:afterLines="0" w:line="579" w:lineRule="exact"/>
        <w:ind w:left="0" w:firstLine="640" w:firstLineChars="200"/>
        <w:jc w:val="both"/>
        <w:rPr>
          <w:rFonts w:hint="eastAsia" w:ascii="仿宋_GB2312" w:eastAsia="仿宋_GB2312" w:cs="仿宋_GB2312"/>
          <w:sz w:val="32"/>
          <w:szCs w:val="32"/>
        </w:rPr>
      </w:pPr>
      <w:r>
        <w:rPr>
          <w:rFonts w:hint="eastAsia" w:ascii="仿宋_GB2312" w:hAnsi="仿宋_GB2312" w:eastAsia="仿宋_GB2312" w:cs="仿宋_GB2312"/>
          <w:bCs/>
          <w:caps/>
          <w:sz w:val="32"/>
          <w:szCs w:val="32"/>
        </w:rPr>
        <w:fldChar w:fldCharType="begin"/>
      </w:r>
      <w:r>
        <w:rPr>
          <w:rFonts w:hint="eastAsia" w:ascii="仿宋_GB2312" w:hAnsi="仿宋_GB2312" w:eastAsia="仿宋_GB2312" w:cs="仿宋_GB2312"/>
          <w:bCs/>
          <w:caps/>
          <w:sz w:val="32"/>
          <w:szCs w:val="32"/>
        </w:rPr>
        <w:instrText xml:space="preserve"> HYPERLINK \l _Toc1153172748 </w:instrText>
      </w:r>
      <w:r>
        <w:rPr>
          <w:rFonts w:hint="eastAsia" w:ascii="仿宋_GB2312" w:hAnsi="仿宋_GB2312" w:eastAsia="仿宋_GB2312" w:cs="仿宋_GB2312"/>
          <w:bCs/>
          <w:caps/>
          <w:sz w:val="32"/>
          <w:szCs w:val="32"/>
        </w:rPr>
        <w:fldChar w:fldCharType="separate"/>
      </w:r>
      <w:r>
        <w:rPr>
          <w:rFonts w:hint="eastAsia" w:ascii="仿宋_GB2312" w:hAnsi="仿宋_GB2312" w:eastAsia="仿宋_GB2312" w:cs="仿宋_GB2312"/>
          <w:bCs w:val="0"/>
          <w:sz w:val="32"/>
          <w:szCs w:val="32"/>
        </w:rPr>
        <w:t>3.3.4 预警行动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_Toc1153172748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16</w:t>
      </w:r>
      <w:r>
        <w:rPr>
          <w:rFonts w:hint="eastAsia" w:ascii="仿宋_GB2312" w:eastAsia="仿宋_GB2312" w:cs="仿宋_GB2312"/>
          <w:sz w:val="32"/>
          <w:szCs w:val="32"/>
        </w:rPr>
        <w:fldChar w:fldCharType="end"/>
      </w:r>
      <w:r>
        <w:rPr>
          <w:rFonts w:hint="eastAsia" w:ascii="仿宋_GB2312" w:hAnsi="仿宋_GB2312" w:eastAsia="仿宋_GB2312" w:cs="仿宋_GB2312"/>
          <w:bCs/>
          <w:caps/>
          <w:sz w:val="32"/>
          <w:szCs w:val="32"/>
        </w:rPr>
        <w:fldChar w:fldCharType="end"/>
      </w:r>
    </w:p>
    <w:p>
      <w:pPr>
        <w:pStyle w:val="15"/>
        <w:tabs>
          <w:tab w:val="right" w:leader="dot" w:pos="8844"/>
        </w:tabs>
        <w:adjustRightInd w:val="0"/>
        <w:snapToGrid w:val="0"/>
        <w:spacing w:beforeLines="0" w:afterLines="0" w:line="579" w:lineRule="exact"/>
        <w:ind w:left="0" w:firstLine="640" w:firstLineChars="200"/>
        <w:jc w:val="both"/>
        <w:rPr>
          <w:rFonts w:hint="eastAsia" w:ascii="仿宋_GB2312" w:eastAsia="仿宋_GB2312" w:cs="仿宋_GB2312"/>
          <w:sz w:val="32"/>
          <w:szCs w:val="32"/>
        </w:rPr>
      </w:pPr>
      <w:r>
        <w:rPr>
          <w:rFonts w:hint="eastAsia" w:ascii="仿宋_GB2312" w:hAnsi="仿宋_GB2312" w:eastAsia="仿宋_GB2312" w:cs="仿宋_GB2312"/>
          <w:bCs/>
          <w:caps/>
          <w:sz w:val="32"/>
          <w:szCs w:val="32"/>
        </w:rPr>
        <w:fldChar w:fldCharType="begin"/>
      </w:r>
      <w:r>
        <w:rPr>
          <w:rFonts w:hint="eastAsia" w:ascii="仿宋_GB2312" w:hAnsi="仿宋_GB2312" w:eastAsia="仿宋_GB2312" w:cs="仿宋_GB2312"/>
          <w:bCs/>
          <w:caps/>
          <w:sz w:val="32"/>
          <w:szCs w:val="32"/>
        </w:rPr>
        <w:instrText xml:space="preserve"> HYPERLINK \l _Toc28034623 </w:instrText>
      </w:r>
      <w:r>
        <w:rPr>
          <w:rFonts w:hint="eastAsia" w:ascii="仿宋_GB2312" w:hAnsi="仿宋_GB2312" w:eastAsia="仿宋_GB2312" w:cs="仿宋_GB2312"/>
          <w:bCs/>
          <w:caps/>
          <w:sz w:val="32"/>
          <w:szCs w:val="32"/>
        </w:rPr>
        <w:fldChar w:fldCharType="separate"/>
      </w:r>
      <w:r>
        <w:rPr>
          <w:rFonts w:hint="eastAsia" w:ascii="仿宋_GB2312" w:hAnsi="仿宋_GB2312" w:eastAsia="仿宋_GB2312" w:cs="仿宋_GB2312"/>
          <w:bCs w:val="0"/>
          <w:sz w:val="32"/>
          <w:szCs w:val="32"/>
        </w:rPr>
        <w:t>3.3.5 预警级别的调整和解除</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_Toc28034623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17</w:t>
      </w:r>
      <w:r>
        <w:rPr>
          <w:rFonts w:hint="eastAsia" w:ascii="仿宋_GB2312" w:eastAsia="仿宋_GB2312" w:cs="仿宋_GB2312"/>
          <w:sz w:val="32"/>
          <w:szCs w:val="32"/>
        </w:rPr>
        <w:fldChar w:fldCharType="end"/>
      </w:r>
      <w:r>
        <w:rPr>
          <w:rFonts w:hint="eastAsia" w:ascii="仿宋_GB2312" w:hAnsi="仿宋_GB2312" w:eastAsia="仿宋_GB2312" w:cs="仿宋_GB2312"/>
          <w:bCs/>
          <w:caps/>
          <w:sz w:val="32"/>
          <w:szCs w:val="32"/>
        </w:rPr>
        <w:fldChar w:fldCharType="end"/>
      </w:r>
    </w:p>
    <w:p>
      <w:pPr>
        <w:pStyle w:val="21"/>
        <w:tabs>
          <w:tab w:val="right" w:leader="dot" w:pos="8844"/>
        </w:tabs>
        <w:adjustRightInd w:val="0"/>
        <w:snapToGrid w:val="0"/>
        <w:spacing w:before="0" w:beforeLines="0" w:after="0" w:afterLines="0" w:line="579"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caps/>
          <w:sz w:val="32"/>
          <w:szCs w:val="32"/>
        </w:rPr>
        <w:fldChar w:fldCharType="begin"/>
      </w:r>
      <w:r>
        <w:rPr>
          <w:rFonts w:hint="eastAsia" w:ascii="黑体" w:hAnsi="黑体" w:eastAsia="黑体" w:cs="黑体"/>
          <w:b w:val="0"/>
          <w:bCs w:val="0"/>
          <w:caps/>
          <w:sz w:val="32"/>
          <w:szCs w:val="32"/>
        </w:rPr>
        <w:instrText xml:space="preserve"> HYPERLINK \l _Toc197499409 </w:instrText>
      </w:r>
      <w:r>
        <w:rPr>
          <w:rFonts w:hint="eastAsia" w:ascii="黑体" w:hAnsi="黑体" w:eastAsia="黑体" w:cs="黑体"/>
          <w:b w:val="0"/>
          <w:bCs w:val="0"/>
          <w:caps/>
          <w:sz w:val="32"/>
          <w:szCs w:val="32"/>
        </w:rPr>
        <w:fldChar w:fldCharType="separate"/>
      </w:r>
      <w:r>
        <w:rPr>
          <w:rFonts w:hint="eastAsia" w:ascii="黑体" w:hAnsi="黑体" w:eastAsia="黑体" w:cs="黑体"/>
          <w:b w:val="0"/>
          <w:bCs w:val="0"/>
          <w:sz w:val="32"/>
          <w:szCs w:val="32"/>
        </w:rPr>
        <w:t>4 信息报告</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_Toc197499409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17</w:t>
      </w:r>
      <w:r>
        <w:rPr>
          <w:rFonts w:hint="eastAsia" w:ascii="黑体" w:hAnsi="黑体" w:eastAsia="黑体" w:cs="黑体"/>
          <w:b w:val="0"/>
          <w:bCs w:val="0"/>
          <w:sz w:val="32"/>
          <w:szCs w:val="32"/>
        </w:rPr>
        <w:fldChar w:fldCharType="end"/>
      </w:r>
      <w:r>
        <w:rPr>
          <w:rFonts w:hint="eastAsia" w:ascii="黑体" w:hAnsi="黑体" w:eastAsia="黑体" w:cs="黑体"/>
          <w:b w:val="0"/>
          <w:bCs w:val="0"/>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_Toc2113375015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4.1 信息接报</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_Toc2113375015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_Toc1421609150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4.2 信息报告</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_Toc1421609150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_Toc8733425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4.3 报告形式</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_Toc8733425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1"/>
        <w:tabs>
          <w:tab w:val="right" w:leader="dot" w:pos="8844"/>
        </w:tabs>
        <w:adjustRightInd w:val="0"/>
        <w:snapToGrid w:val="0"/>
        <w:spacing w:before="0" w:beforeLines="0" w:after="0" w:afterLines="0" w:line="579"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caps/>
          <w:sz w:val="32"/>
          <w:szCs w:val="32"/>
        </w:rPr>
        <w:fldChar w:fldCharType="begin"/>
      </w:r>
      <w:r>
        <w:rPr>
          <w:rFonts w:hint="eastAsia" w:ascii="黑体" w:hAnsi="黑体" w:eastAsia="黑体" w:cs="黑体"/>
          <w:b w:val="0"/>
          <w:bCs w:val="0"/>
          <w:caps/>
          <w:sz w:val="32"/>
          <w:szCs w:val="32"/>
        </w:rPr>
        <w:instrText xml:space="preserve"> HYPERLINK \l _Toc375996974 </w:instrText>
      </w:r>
      <w:r>
        <w:rPr>
          <w:rFonts w:hint="eastAsia" w:ascii="黑体" w:hAnsi="黑体" w:eastAsia="黑体" w:cs="黑体"/>
          <w:b w:val="0"/>
          <w:bCs w:val="0"/>
          <w:caps/>
          <w:sz w:val="32"/>
          <w:szCs w:val="32"/>
        </w:rPr>
        <w:fldChar w:fldCharType="separate"/>
      </w:r>
      <w:r>
        <w:rPr>
          <w:rFonts w:hint="eastAsia" w:ascii="黑体" w:hAnsi="黑体" w:eastAsia="黑体" w:cs="黑体"/>
          <w:b w:val="0"/>
          <w:bCs w:val="0"/>
          <w:sz w:val="32"/>
          <w:szCs w:val="32"/>
        </w:rPr>
        <w:t>5 应急响应</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_Toc375996974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19</w:t>
      </w:r>
      <w:r>
        <w:rPr>
          <w:rFonts w:hint="eastAsia" w:ascii="黑体" w:hAnsi="黑体" w:eastAsia="黑体" w:cs="黑体"/>
          <w:b w:val="0"/>
          <w:bCs w:val="0"/>
          <w:sz w:val="32"/>
          <w:szCs w:val="32"/>
        </w:rPr>
        <w:fldChar w:fldCharType="end"/>
      </w:r>
      <w:r>
        <w:rPr>
          <w:rFonts w:hint="eastAsia" w:ascii="黑体" w:hAnsi="黑体" w:eastAsia="黑体" w:cs="黑体"/>
          <w:b w:val="0"/>
          <w:bCs w:val="0"/>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_Toc1330783662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5.1 响应启动</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_Toc1330783662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_Toc1171841228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5.2 响应措施</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_Toc1171841228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15"/>
        <w:tabs>
          <w:tab w:val="right" w:leader="dot" w:pos="8844"/>
        </w:tabs>
        <w:adjustRightInd w:val="0"/>
        <w:snapToGrid w:val="0"/>
        <w:spacing w:beforeLines="0" w:afterLines="0" w:line="579" w:lineRule="exact"/>
        <w:ind w:left="0" w:firstLine="640" w:firstLineChars="200"/>
        <w:jc w:val="both"/>
        <w:rPr>
          <w:rFonts w:hint="eastAsia" w:ascii="仿宋_GB2312" w:eastAsia="仿宋_GB2312" w:cs="仿宋_GB2312"/>
          <w:sz w:val="32"/>
          <w:szCs w:val="32"/>
        </w:rPr>
      </w:pPr>
      <w:r>
        <w:rPr>
          <w:rFonts w:hint="eastAsia" w:ascii="仿宋_GB2312" w:hAnsi="仿宋_GB2312" w:eastAsia="仿宋_GB2312" w:cs="仿宋_GB2312"/>
          <w:bCs/>
          <w:caps/>
          <w:sz w:val="32"/>
          <w:szCs w:val="32"/>
        </w:rPr>
        <w:fldChar w:fldCharType="begin"/>
      </w:r>
      <w:r>
        <w:rPr>
          <w:rFonts w:hint="eastAsia" w:ascii="仿宋_GB2312" w:hAnsi="仿宋_GB2312" w:eastAsia="仿宋_GB2312" w:cs="仿宋_GB2312"/>
          <w:bCs/>
          <w:caps/>
          <w:sz w:val="32"/>
          <w:szCs w:val="32"/>
        </w:rPr>
        <w:instrText xml:space="preserve"> HYPERLINK \l _Toc1232935382 </w:instrText>
      </w:r>
      <w:r>
        <w:rPr>
          <w:rFonts w:hint="eastAsia" w:ascii="仿宋_GB2312" w:hAnsi="仿宋_GB2312" w:eastAsia="仿宋_GB2312" w:cs="仿宋_GB2312"/>
          <w:bCs/>
          <w:caps/>
          <w:sz w:val="32"/>
          <w:szCs w:val="32"/>
        </w:rPr>
        <w:fldChar w:fldCharType="separate"/>
      </w:r>
      <w:r>
        <w:rPr>
          <w:rFonts w:hint="eastAsia" w:ascii="仿宋_GB2312" w:hAnsi="仿宋_GB2312" w:eastAsia="仿宋_GB2312" w:cs="仿宋_GB2312"/>
          <w:bCs w:val="0"/>
          <w:sz w:val="32"/>
          <w:szCs w:val="32"/>
        </w:rPr>
        <w:t>5.2.1 先期处置</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_Toc1232935382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21</w:t>
      </w:r>
      <w:r>
        <w:rPr>
          <w:rFonts w:hint="eastAsia" w:ascii="仿宋_GB2312" w:eastAsia="仿宋_GB2312" w:cs="仿宋_GB2312"/>
          <w:sz w:val="32"/>
          <w:szCs w:val="32"/>
        </w:rPr>
        <w:fldChar w:fldCharType="end"/>
      </w:r>
      <w:r>
        <w:rPr>
          <w:rFonts w:hint="eastAsia" w:ascii="仿宋_GB2312" w:hAnsi="仿宋_GB2312" w:eastAsia="仿宋_GB2312" w:cs="仿宋_GB2312"/>
          <w:bCs/>
          <w:caps/>
          <w:sz w:val="32"/>
          <w:szCs w:val="32"/>
        </w:rPr>
        <w:fldChar w:fldCharType="end"/>
      </w:r>
    </w:p>
    <w:p>
      <w:pPr>
        <w:pStyle w:val="15"/>
        <w:tabs>
          <w:tab w:val="right" w:leader="dot" w:pos="8844"/>
        </w:tabs>
        <w:adjustRightInd w:val="0"/>
        <w:snapToGrid w:val="0"/>
        <w:spacing w:beforeLines="0" w:afterLines="0" w:line="579" w:lineRule="exact"/>
        <w:ind w:left="0" w:firstLine="640" w:firstLineChars="200"/>
        <w:jc w:val="both"/>
        <w:rPr>
          <w:rFonts w:hint="eastAsia" w:ascii="仿宋_GB2312" w:eastAsia="仿宋_GB2312" w:cs="仿宋_GB2312"/>
          <w:sz w:val="32"/>
          <w:szCs w:val="32"/>
        </w:rPr>
      </w:pPr>
      <w:r>
        <w:rPr>
          <w:rFonts w:hint="eastAsia" w:ascii="仿宋_GB2312" w:hAnsi="仿宋_GB2312" w:eastAsia="仿宋_GB2312" w:cs="仿宋_GB2312"/>
          <w:bCs/>
          <w:caps/>
          <w:sz w:val="32"/>
          <w:szCs w:val="32"/>
        </w:rPr>
        <w:fldChar w:fldCharType="begin"/>
      </w:r>
      <w:r>
        <w:rPr>
          <w:rFonts w:hint="eastAsia" w:ascii="仿宋_GB2312" w:hAnsi="仿宋_GB2312" w:eastAsia="仿宋_GB2312" w:cs="仿宋_GB2312"/>
          <w:bCs/>
          <w:caps/>
          <w:sz w:val="32"/>
          <w:szCs w:val="32"/>
        </w:rPr>
        <w:instrText xml:space="preserve"> HYPERLINK \l _Toc858909749 </w:instrText>
      </w:r>
      <w:r>
        <w:rPr>
          <w:rFonts w:hint="eastAsia" w:ascii="仿宋_GB2312" w:hAnsi="仿宋_GB2312" w:eastAsia="仿宋_GB2312" w:cs="仿宋_GB2312"/>
          <w:bCs/>
          <w:caps/>
          <w:sz w:val="32"/>
          <w:szCs w:val="32"/>
        </w:rPr>
        <w:fldChar w:fldCharType="separate"/>
      </w:r>
      <w:r>
        <w:rPr>
          <w:rFonts w:hint="eastAsia" w:ascii="仿宋_GB2312" w:hAnsi="仿宋_GB2312" w:eastAsia="仿宋_GB2312" w:cs="仿宋_GB2312"/>
          <w:bCs w:val="0"/>
          <w:sz w:val="32"/>
          <w:szCs w:val="32"/>
        </w:rPr>
        <w:t>5.2.2 指挥和协调</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_Toc858909749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22</w:t>
      </w:r>
      <w:r>
        <w:rPr>
          <w:rFonts w:hint="eastAsia" w:ascii="仿宋_GB2312" w:eastAsia="仿宋_GB2312" w:cs="仿宋_GB2312"/>
          <w:sz w:val="32"/>
          <w:szCs w:val="32"/>
        </w:rPr>
        <w:fldChar w:fldCharType="end"/>
      </w:r>
      <w:r>
        <w:rPr>
          <w:rFonts w:hint="eastAsia" w:ascii="仿宋_GB2312" w:hAnsi="仿宋_GB2312" w:eastAsia="仿宋_GB2312" w:cs="仿宋_GB2312"/>
          <w:bCs/>
          <w:caps/>
          <w:sz w:val="32"/>
          <w:szCs w:val="32"/>
        </w:rPr>
        <w:fldChar w:fldCharType="end"/>
      </w:r>
    </w:p>
    <w:p>
      <w:pPr>
        <w:pStyle w:val="15"/>
        <w:tabs>
          <w:tab w:val="right" w:leader="dot" w:pos="8844"/>
        </w:tabs>
        <w:adjustRightInd w:val="0"/>
        <w:snapToGrid w:val="0"/>
        <w:spacing w:beforeLines="0" w:afterLines="0" w:line="579" w:lineRule="exact"/>
        <w:ind w:left="0" w:firstLine="640" w:firstLineChars="200"/>
        <w:jc w:val="both"/>
        <w:rPr>
          <w:rFonts w:hint="eastAsia" w:ascii="仿宋_GB2312" w:eastAsia="仿宋_GB2312" w:cs="仿宋_GB2312"/>
          <w:sz w:val="32"/>
          <w:szCs w:val="32"/>
        </w:rPr>
      </w:pPr>
      <w:r>
        <w:rPr>
          <w:rFonts w:hint="eastAsia" w:ascii="仿宋_GB2312" w:hAnsi="仿宋_GB2312" w:eastAsia="仿宋_GB2312" w:cs="仿宋_GB2312"/>
          <w:bCs/>
          <w:caps/>
          <w:sz w:val="32"/>
          <w:szCs w:val="32"/>
        </w:rPr>
        <w:fldChar w:fldCharType="begin"/>
      </w:r>
      <w:r>
        <w:rPr>
          <w:rFonts w:hint="eastAsia" w:ascii="仿宋_GB2312" w:hAnsi="仿宋_GB2312" w:eastAsia="仿宋_GB2312" w:cs="仿宋_GB2312"/>
          <w:bCs/>
          <w:caps/>
          <w:sz w:val="32"/>
          <w:szCs w:val="32"/>
        </w:rPr>
        <w:instrText xml:space="preserve"> HYPERLINK \l _Toc2031485756 </w:instrText>
      </w:r>
      <w:r>
        <w:rPr>
          <w:rFonts w:hint="eastAsia" w:ascii="仿宋_GB2312" w:hAnsi="仿宋_GB2312" w:eastAsia="仿宋_GB2312" w:cs="仿宋_GB2312"/>
          <w:bCs/>
          <w:caps/>
          <w:sz w:val="32"/>
          <w:szCs w:val="32"/>
        </w:rPr>
        <w:fldChar w:fldCharType="separate"/>
      </w:r>
      <w:r>
        <w:rPr>
          <w:rFonts w:hint="eastAsia" w:ascii="仿宋_GB2312" w:hAnsi="仿宋_GB2312" w:eastAsia="仿宋_GB2312" w:cs="仿宋_GB2312"/>
          <w:bCs w:val="0"/>
          <w:sz w:val="32"/>
          <w:szCs w:val="32"/>
        </w:rPr>
        <w:t>5.2.3 处置措施</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_Toc2031485756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22</w:t>
      </w:r>
      <w:r>
        <w:rPr>
          <w:rFonts w:hint="eastAsia" w:ascii="仿宋_GB2312" w:eastAsia="仿宋_GB2312" w:cs="仿宋_GB2312"/>
          <w:sz w:val="32"/>
          <w:szCs w:val="32"/>
        </w:rPr>
        <w:fldChar w:fldCharType="end"/>
      </w:r>
      <w:r>
        <w:rPr>
          <w:rFonts w:hint="eastAsia" w:ascii="仿宋_GB2312" w:hAnsi="仿宋_GB2312" w:eastAsia="仿宋_GB2312" w:cs="仿宋_GB2312"/>
          <w:bCs/>
          <w:caps/>
          <w:sz w:val="32"/>
          <w:szCs w:val="32"/>
        </w:rPr>
        <w:fldChar w:fldCharType="end"/>
      </w:r>
    </w:p>
    <w:p>
      <w:pPr>
        <w:pStyle w:val="15"/>
        <w:tabs>
          <w:tab w:val="right" w:leader="dot" w:pos="8844"/>
        </w:tabs>
        <w:adjustRightInd w:val="0"/>
        <w:snapToGrid w:val="0"/>
        <w:spacing w:beforeLines="0" w:afterLines="0" w:line="579" w:lineRule="exact"/>
        <w:ind w:left="0" w:firstLine="640" w:firstLineChars="200"/>
        <w:jc w:val="both"/>
        <w:rPr>
          <w:rFonts w:hint="eastAsia" w:ascii="仿宋_GB2312" w:eastAsia="仿宋_GB2312" w:cs="仿宋_GB2312"/>
          <w:sz w:val="32"/>
          <w:szCs w:val="32"/>
        </w:rPr>
      </w:pPr>
      <w:r>
        <w:rPr>
          <w:rFonts w:hint="eastAsia" w:ascii="仿宋_GB2312" w:hAnsi="仿宋_GB2312" w:eastAsia="仿宋_GB2312" w:cs="仿宋_GB2312"/>
          <w:bCs/>
          <w:caps/>
          <w:sz w:val="32"/>
          <w:szCs w:val="32"/>
        </w:rPr>
        <w:fldChar w:fldCharType="begin"/>
      </w:r>
      <w:r>
        <w:rPr>
          <w:rFonts w:hint="eastAsia" w:ascii="仿宋_GB2312" w:hAnsi="仿宋_GB2312" w:eastAsia="仿宋_GB2312" w:cs="仿宋_GB2312"/>
          <w:bCs/>
          <w:caps/>
          <w:sz w:val="32"/>
          <w:szCs w:val="32"/>
        </w:rPr>
        <w:instrText xml:space="preserve"> HYPERLINK \l _Toc1251203774 </w:instrText>
      </w:r>
      <w:r>
        <w:rPr>
          <w:rFonts w:hint="eastAsia" w:ascii="仿宋_GB2312" w:hAnsi="仿宋_GB2312" w:eastAsia="仿宋_GB2312" w:cs="仿宋_GB2312"/>
          <w:bCs/>
          <w:caps/>
          <w:sz w:val="32"/>
          <w:szCs w:val="32"/>
        </w:rPr>
        <w:fldChar w:fldCharType="separate"/>
      </w:r>
      <w:r>
        <w:rPr>
          <w:rFonts w:hint="eastAsia" w:ascii="仿宋_GB2312" w:hAnsi="仿宋_GB2312" w:eastAsia="仿宋_GB2312" w:cs="仿宋_GB2312"/>
          <w:bCs w:val="0"/>
          <w:sz w:val="32"/>
          <w:szCs w:val="32"/>
        </w:rPr>
        <w:t>5.2.4 社会动员</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_Toc1251203774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25</w:t>
      </w:r>
      <w:r>
        <w:rPr>
          <w:rFonts w:hint="eastAsia" w:ascii="仿宋_GB2312" w:eastAsia="仿宋_GB2312" w:cs="仿宋_GB2312"/>
          <w:sz w:val="32"/>
          <w:szCs w:val="32"/>
        </w:rPr>
        <w:fldChar w:fldCharType="end"/>
      </w:r>
      <w:r>
        <w:rPr>
          <w:rFonts w:hint="eastAsia" w:ascii="仿宋_GB2312" w:hAnsi="仿宋_GB2312" w:eastAsia="仿宋_GB2312" w:cs="仿宋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_Toc1455767271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5.3 响应终止</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_Toc1455767271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1"/>
        <w:tabs>
          <w:tab w:val="right" w:leader="dot" w:pos="8844"/>
        </w:tabs>
        <w:adjustRightInd w:val="0"/>
        <w:snapToGrid w:val="0"/>
        <w:spacing w:before="0" w:beforeLines="0" w:after="0" w:afterLines="0" w:line="579"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caps/>
          <w:sz w:val="32"/>
          <w:szCs w:val="32"/>
        </w:rPr>
        <w:fldChar w:fldCharType="begin"/>
      </w:r>
      <w:r>
        <w:rPr>
          <w:rFonts w:hint="eastAsia" w:ascii="黑体" w:hAnsi="黑体" w:eastAsia="黑体" w:cs="黑体"/>
          <w:b w:val="0"/>
          <w:bCs w:val="0"/>
          <w:caps/>
          <w:sz w:val="32"/>
          <w:szCs w:val="32"/>
        </w:rPr>
        <w:instrText xml:space="preserve"> HYPERLINK \l _Toc1971228372 </w:instrText>
      </w:r>
      <w:r>
        <w:rPr>
          <w:rFonts w:hint="eastAsia" w:ascii="黑体" w:hAnsi="黑体" w:eastAsia="黑体" w:cs="黑体"/>
          <w:b w:val="0"/>
          <w:bCs w:val="0"/>
          <w:caps/>
          <w:sz w:val="32"/>
          <w:szCs w:val="32"/>
        </w:rPr>
        <w:fldChar w:fldCharType="separate"/>
      </w:r>
      <w:r>
        <w:rPr>
          <w:rFonts w:hint="eastAsia" w:ascii="黑体" w:hAnsi="黑体" w:eastAsia="黑体" w:cs="黑体"/>
          <w:b w:val="0"/>
          <w:bCs w:val="0"/>
          <w:sz w:val="32"/>
          <w:szCs w:val="32"/>
        </w:rPr>
        <w:t>6 后期工作</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_Toc1971228372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26</w:t>
      </w:r>
      <w:r>
        <w:rPr>
          <w:rFonts w:hint="eastAsia" w:ascii="黑体" w:hAnsi="黑体" w:eastAsia="黑体" w:cs="黑体"/>
          <w:b w:val="0"/>
          <w:bCs w:val="0"/>
          <w:sz w:val="32"/>
          <w:szCs w:val="32"/>
        </w:rPr>
        <w:fldChar w:fldCharType="end"/>
      </w:r>
      <w:r>
        <w:rPr>
          <w:rFonts w:hint="eastAsia" w:ascii="黑体" w:hAnsi="黑体" w:eastAsia="黑体" w:cs="黑体"/>
          <w:b w:val="0"/>
          <w:bCs w:val="0"/>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_Toc414053975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6.1 总结评估</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_Toc414053975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_Toc415068161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6.2 事件调查</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_Toc415068161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26</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仿宋_GB2312" w:eastAsia="仿宋_GB2312" w:cs="仿宋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_Toc225839043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6.3 善后处置</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_Toc225839043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1"/>
        <w:tabs>
          <w:tab w:val="right" w:leader="dot" w:pos="8844"/>
        </w:tabs>
        <w:adjustRightInd w:val="0"/>
        <w:snapToGrid w:val="0"/>
        <w:spacing w:before="0" w:beforeLines="0" w:after="0" w:afterLines="0" w:line="579"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caps/>
          <w:sz w:val="32"/>
          <w:szCs w:val="32"/>
        </w:rPr>
        <w:fldChar w:fldCharType="begin"/>
      </w:r>
      <w:r>
        <w:rPr>
          <w:rFonts w:hint="eastAsia" w:ascii="黑体" w:hAnsi="黑体" w:eastAsia="黑体" w:cs="黑体"/>
          <w:b w:val="0"/>
          <w:bCs w:val="0"/>
          <w:caps/>
          <w:sz w:val="32"/>
          <w:szCs w:val="32"/>
        </w:rPr>
        <w:instrText xml:space="preserve"> HYPERLINK \l _Toc1383868772 </w:instrText>
      </w:r>
      <w:r>
        <w:rPr>
          <w:rFonts w:hint="eastAsia" w:ascii="黑体" w:hAnsi="黑体" w:eastAsia="黑体" w:cs="黑体"/>
          <w:b w:val="0"/>
          <w:bCs w:val="0"/>
          <w:caps/>
          <w:sz w:val="32"/>
          <w:szCs w:val="32"/>
        </w:rPr>
        <w:fldChar w:fldCharType="separate"/>
      </w:r>
      <w:r>
        <w:rPr>
          <w:rFonts w:hint="eastAsia" w:ascii="黑体" w:hAnsi="黑体" w:eastAsia="黑体" w:cs="黑体"/>
          <w:b w:val="0"/>
          <w:bCs w:val="0"/>
          <w:sz w:val="32"/>
          <w:szCs w:val="32"/>
        </w:rPr>
        <w:t>7 应急保障</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_Toc1383868772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27</w:t>
      </w:r>
      <w:r>
        <w:rPr>
          <w:rFonts w:hint="eastAsia" w:ascii="黑体" w:hAnsi="黑体" w:eastAsia="黑体" w:cs="黑体"/>
          <w:b w:val="0"/>
          <w:bCs w:val="0"/>
          <w:sz w:val="32"/>
          <w:szCs w:val="32"/>
        </w:rPr>
        <w:fldChar w:fldCharType="end"/>
      </w:r>
      <w:r>
        <w:rPr>
          <w:rFonts w:hint="eastAsia" w:ascii="黑体" w:hAnsi="黑体" w:eastAsia="黑体" w:cs="黑体"/>
          <w:b w:val="0"/>
          <w:bCs w:val="0"/>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_Toc1930267407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7.1 救援队伍保障</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_Toc1930267407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_Toc453858637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7.2 资金保障</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_Toc453858637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_Toc988693101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7.3 物资保障</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_Toc988693101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_Toc1395337776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7.4 交通保障</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_Toc1395337776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_Toc85695469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7.5 通信保障</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_Toc85695469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_Toc794894854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7.6 技术保障</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_Toc794894854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_Toc1363307620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7.7 保险制度</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_Toc1363307620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1"/>
        <w:tabs>
          <w:tab w:val="right" w:leader="dot" w:pos="8844"/>
        </w:tabs>
        <w:adjustRightInd w:val="0"/>
        <w:snapToGrid w:val="0"/>
        <w:spacing w:before="0" w:beforeLines="0" w:after="0" w:afterLines="0" w:line="579" w:lineRule="exact"/>
        <w:ind w:firstLine="0" w:firstLineChars="0"/>
        <w:jc w:val="both"/>
        <w:rPr>
          <w:rFonts w:hint="eastAsia" w:ascii="仿宋_GB2312" w:eastAsia="仿宋_GB2312" w:cs="仿宋_GB2312"/>
          <w:sz w:val="32"/>
          <w:szCs w:val="32"/>
        </w:rPr>
      </w:pPr>
      <w:r>
        <w:rPr>
          <w:rFonts w:hint="eastAsia" w:ascii="黑体" w:hAnsi="黑体" w:eastAsia="黑体" w:cs="黑体"/>
          <w:b w:val="0"/>
          <w:bCs w:val="0"/>
          <w:caps/>
          <w:sz w:val="32"/>
          <w:szCs w:val="32"/>
        </w:rPr>
        <w:fldChar w:fldCharType="begin"/>
      </w:r>
      <w:r>
        <w:rPr>
          <w:rFonts w:hint="eastAsia" w:ascii="黑体" w:hAnsi="黑体" w:eastAsia="黑体" w:cs="黑体"/>
          <w:b w:val="0"/>
          <w:bCs w:val="0"/>
          <w:caps/>
          <w:sz w:val="32"/>
          <w:szCs w:val="32"/>
        </w:rPr>
        <w:instrText xml:space="preserve"> HYPERLINK \l _Toc1404970256 </w:instrText>
      </w:r>
      <w:r>
        <w:rPr>
          <w:rFonts w:hint="eastAsia" w:ascii="黑体" w:hAnsi="黑体" w:eastAsia="黑体" w:cs="黑体"/>
          <w:b w:val="0"/>
          <w:bCs w:val="0"/>
          <w:caps/>
          <w:sz w:val="32"/>
          <w:szCs w:val="32"/>
        </w:rPr>
        <w:fldChar w:fldCharType="separate"/>
      </w:r>
      <w:r>
        <w:rPr>
          <w:rFonts w:hint="eastAsia" w:ascii="黑体" w:hAnsi="黑体" w:eastAsia="黑体" w:cs="黑体"/>
          <w:b w:val="0"/>
          <w:bCs w:val="0"/>
          <w:sz w:val="32"/>
          <w:szCs w:val="32"/>
        </w:rPr>
        <w:t>8 监督管理</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_Toc1404970256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29</w:t>
      </w:r>
      <w:r>
        <w:rPr>
          <w:rFonts w:hint="eastAsia" w:ascii="黑体" w:hAnsi="黑体" w:eastAsia="黑体" w:cs="黑体"/>
          <w:b w:val="0"/>
          <w:bCs w:val="0"/>
          <w:sz w:val="32"/>
          <w:szCs w:val="32"/>
        </w:rPr>
        <w:fldChar w:fldCharType="end"/>
      </w:r>
      <w:r>
        <w:rPr>
          <w:rFonts w:hint="eastAsia" w:ascii="黑体" w:hAnsi="黑体" w:eastAsia="黑体" w:cs="黑体"/>
          <w:b w:val="0"/>
          <w:bCs w:val="0"/>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_Toc563283046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8.1 预案演练</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_Toc563283046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_Toc945014312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8.2 宣传培训</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_Toc945014312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29</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_Toc46876813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8.3 奖惩与责任</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_Toc46876813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1"/>
        <w:tabs>
          <w:tab w:val="right" w:leader="dot" w:pos="8844"/>
        </w:tabs>
        <w:adjustRightInd w:val="0"/>
        <w:snapToGrid w:val="0"/>
        <w:spacing w:before="0" w:beforeLines="0" w:after="0" w:afterLines="0" w:line="579" w:lineRule="exact"/>
        <w:ind w:firstLine="0" w:firstLineChars="0"/>
        <w:jc w:val="both"/>
        <w:rPr>
          <w:rFonts w:hint="eastAsia" w:ascii="仿宋_GB2312" w:eastAsia="仿宋_GB2312" w:cs="仿宋_GB2312"/>
          <w:sz w:val="32"/>
          <w:szCs w:val="32"/>
        </w:rPr>
      </w:pPr>
      <w:r>
        <w:rPr>
          <w:rFonts w:hint="eastAsia" w:ascii="黑体" w:hAnsi="黑体" w:eastAsia="黑体" w:cs="黑体"/>
          <w:b w:val="0"/>
          <w:bCs w:val="0"/>
          <w:caps/>
          <w:sz w:val="32"/>
          <w:szCs w:val="32"/>
        </w:rPr>
        <w:fldChar w:fldCharType="begin"/>
      </w:r>
      <w:r>
        <w:rPr>
          <w:rFonts w:hint="eastAsia" w:ascii="黑体" w:hAnsi="黑体" w:eastAsia="黑体" w:cs="黑体"/>
          <w:b w:val="0"/>
          <w:bCs w:val="0"/>
          <w:caps/>
          <w:sz w:val="32"/>
          <w:szCs w:val="32"/>
        </w:rPr>
        <w:instrText xml:space="preserve"> HYPERLINK \l _Toc1120954907 </w:instrText>
      </w:r>
      <w:r>
        <w:rPr>
          <w:rFonts w:hint="eastAsia" w:ascii="黑体" w:hAnsi="黑体" w:eastAsia="黑体" w:cs="黑体"/>
          <w:b w:val="0"/>
          <w:bCs w:val="0"/>
          <w:caps/>
          <w:sz w:val="32"/>
          <w:szCs w:val="32"/>
        </w:rPr>
        <w:fldChar w:fldCharType="separate"/>
      </w:r>
      <w:r>
        <w:rPr>
          <w:rFonts w:hint="eastAsia" w:ascii="黑体" w:hAnsi="黑体" w:eastAsia="黑体" w:cs="黑体"/>
          <w:b w:val="0"/>
          <w:bCs w:val="0"/>
          <w:sz w:val="32"/>
          <w:szCs w:val="32"/>
        </w:rPr>
        <w:t>9 附则</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_Toc1120954907 \h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30</w:t>
      </w:r>
      <w:r>
        <w:rPr>
          <w:rFonts w:hint="eastAsia" w:ascii="黑体" w:hAnsi="黑体" w:eastAsia="黑体" w:cs="黑体"/>
          <w:b w:val="0"/>
          <w:bCs w:val="0"/>
          <w:sz w:val="32"/>
          <w:szCs w:val="32"/>
        </w:rPr>
        <w:fldChar w:fldCharType="end"/>
      </w:r>
      <w:r>
        <w:rPr>
          <w:rFonts w:hint="eastAsia" w:ascii="黑体" w:hAnsi="黑体" w:eastAsia="黑体" w:cs="黑体"/>
          <w:b w:val="0"/>
          <w:bCs w:val="0"/>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_Toc2098187060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9.1 名词术语</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_Toc2098187060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30</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320" w:firstLineChars="100"/>
        <w:jc w:val="both"/>
        <w:rPr>
          <w:rFonts w:hint="eastAsia" w:ascii="楷体_GB2312" w:hAnsi="楷体_GB2312" w:eastAsia="楷体_GB2312" w:cs="楷体_GB2312"/>
          <w:sz w:val="32"/>
          <w:szCs w:val="32"/>
        </w:rPr>
      </w:pPr>
      <w:r>
        <w:rPr>
          <w:rFonts w:hint="eastAsia" w:ascii="楷体_GB2312" w:hAnsi="楷体_GB2312" w:eastAsia="楷体_GB2312" w:cs="楷体_GB2312"/>
          <w:bCs/>
          <w:caps/>
          <w:sz w:val="32"/>
          <w:szCs w:val="32"/>
        </w:rPr>
        <w:fldChar w:fldCharType="begin"/>
      </w:r>
      <w:r>
        <w:rPr>
          <w:rFonts w:hint="eastAsia" w:ascii="楷体_GB2312" w:hAnsi="楷体_GB2312" w:eastAsia="楷体_GB2312" w:cs="楷体_GB2312"/>
          <w:bCs/>
          <w:caps/>
          <w:sz w:val="32"/>
          <w:szCs w:val="32"/>
        </w:rPr>
        <w:instrText xml:space="preserve"> HYPERLINK \l _Toc74911436 </w:instrText>
      </w:r>
      <w:r>
        <w:rPr>
          <w:rFonts w:hint="eastAsia" w:ascii="楷体_GB2312" w:hAnsi="楷体_GB2312" w:eastAsia="楷体_GB2312" w:cs="楷体_GB2312"/>
          <w:bCs/>
          <w:caps/>
          <w:sz w:val="32"/>
          <w:szCs w:val="32"/>
        </w:rPr>
        <w:fldChar w:fldCharType="separate"/>
      </w:r>
      <w:r>
        <w:rPr>
          <w:rFonts w:hint="eastAsia" w:ascii="楷体_GB2312" w:hAnsi="楷体_GB2312" w:eastAsia="楷体_GB2312" w:cs="楷体_GB2312"/>
          <w:sz w:val="32"/>
          <w:szCs w:val="32"/>
        </w:rPr>
        <w:t>9.2 修订与解释</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_Toc74911436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caps/>
          <w:sz w:val="32"/>
          <w:szCs w:val="32"/>
        </w:rPr>
        <w:fldChar w:fldCharType="end"/>
      </w:r>
    </w:p>
    <w:p>
      <w:pPr>
        <w:pStyle w:val="24"/>
        <w:tabs>
          <w:tab w:val="right" w:leader="dot" w:pos="8844"/>
        </w:tabs>
        <w:adjustRightInd w:val="0"/>
        <w:snapToGrid w:val="0"/>
        <w:spacing w:beforeLines="0" w:afterLines="0" w:line="579" w:lineRule="exact"/>
        <w:ind w:left="0" w:firstLine="0" w:firstLineChars="0"/>
        <w:jc w:val="both"/>
        <w:rPr>
          <w:rFonts w:hint="eastAsia" w:ascii="黑体" w:hAnsi="黑体" w:eastAsia="黑体" w:cs="黑体"/>
          <w:sz w:val="32"/>
          <w:szCs w:val="32"/>
        </w:rPr>
      </w:pPr>
      <w:r>
        <w:rPr>
          <w:rFonts w:hint="eastAsia" w:ascii="黑体" w:hAnsi="黑体" w:eastAsia="黑体" w:cs="黑体"/>
          <w:bCs/>
          <w:caps/>
          <w:sz w:val="32"/>
          <w:szCs w:val="32"/>
        </w:rPr>
        <w:fldChar w:fldCharType="begin"/>
      </w:r>
      <w:r>
        <w:rPr>
          <w:rFonts w:hint="eastAsia" w:ascii="黑体" w:hAnsi="黑体" w:eastAsia="黑体" w:cs="黑体"/>
          <w:bCs/>
          <w:caps/>
          <w:sz w:val="32"/>
          <w:szCs w:val="32"/>
        </w:rPr>
        <w:instrText xml:space="preserve"> HYPERLINK \l _Toc2064078428 </w:instrText>
      </w:r>
      <w:r>
        <w:rPr>
          <w:rFonts w:hint="eastAsia" w:ascii="黑体" w:hAnsi="黑体" w:eastAsia="黑体" w:cs="黑体"/>
          <w:bCs/>
          <w:caps/>
          <w:sz w:val="32"/>
          <w:szCs w:val="32"/>
        </w:rPr>
        <w:fldChar w:fldCharType="separate"/>
      </w:r>
      <w:r>
        <w:rPr>
          <w:rFonts w:hint="eastAsia" w:ascii="黑体" w:hAnsi="黑体" w:eastAsia="黑体" w:cs="黑体"/>
          <w:sz w:val="32"/>
          <w:szCs w:val="32"/>
        </w:rPr>
        <w:t>附件1</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突发环境事件分级标准</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_Toc2064078428 \h </w:instrText>
      </w:r>
      <w:r>
        <w:rPr>
          <w:rFonts w:hint="eastAsia" w:ascii="黑体" w:hAnsi="黑体" w:eastAsia="黑体" w:cs="黑体"/>
          <w:sz w:val="32"/>
          <w:szCs w:val="32"/>
        </w:rPr>
        <w:fldChar w:fldCharType="separate"/>
      </w:r>
      <w:r>
        <w:rPr>
          <w:rFonts w:hint="eastAsia" w:ascii="黑体" w:hAnsi="黑体" w:eastAsia="黑体" w:cs="黑体"/>
          <w:sz w:val="32"/>
          <w:szCs w:val="32"/>
        </w:rPr>
        <w:t>32</w:t>
      </w:r>
      <w:r>
        <w:rPr>
          <w:rFonts w:hint="eastAsia" w:ascii="黑体" w:hAnsi="黑体" w:eastAsia="黑体" w:cs="黑体"/>
          <w:sz w:val="32"/>
          <w:szCs w:val="32"/>
        </w:rPr>
        <w:fldChar w:fldCharType="end"/>
      </w:r>
      <w:r>
        <w:rPr>
          <w:rFonts w:hint="eastAsia" w:ascii="黑体" w:hAnsi="黑体" w:eastAsia="黑体" w:cs="黑体"/>
          <w:bCs/>
          <w:caps/>
          <w:sz w:val="32"/>
          <w:szCs w:val="32"/>
        </w:rPr>
        <w:fldChar w:fldCharType="end"/>
      </w:r>
    </w:p>
    <w:p>
      <w:pPr>
        <w:pStyle w:val="24"/>
        <w:tabs>
          <w:tab w:val="right" w:leader="dot" w:pos="8844"/>
        </w:tabs>
        <w:adjustRightInd w:val="0"/>
        <w:snapToGrid w:val="0"/>
        <w:spacing w:beforeLines="0" w:afterLines="0" w:line="579" w:lineRule="exact"/>
        <w:ind w:left="0" w:firstLine="0" w:firstLineChars="0"/>
        <w:jc w:val="both"/>
        <w:rPr>
          <w:rFonts w:hint="eastAsia" w:ascii="黑体" w:hAnsi="黑体" w:eastAsia="黑体" w:cs="黑体"/>
          <w:sz w:val="32"/>
          <w:szCs w:val="32"/>
        </w:rPr>
      </w:pPr>
      <w:r>
        <w:rPr>
          <w:rFonts w:hint="eastAsia" w:ascii="黑体" w:hAnsi="黑体" w:eastAsia="黑体" w:cs="黑体"/>
          <w:bCs/>
          <w:caps/>
          <w:sz w:val="32"/>
          <w:szCs w:val="32"/>
        </w:rPr>
        <w:fldChar w:fldCharType="begin"/>
      </w:r>
      <w:r>
        <w:rPr>
          <w:rFonts w:hint="eastAsia" w:ascii="黑体" w:hAnsi="黑体" w:eastAsia="黑体" w:cs="黑体"/>
          <w:bCs/>
          <w:caps/>
          <w:sz w:val="32"/>
          <w:szCs w:val="32"/>
        </w:rPr>
        <w:instrText xml:space="preserve"> HYPERLINK \l _Toc1496520586 </w:instrText>
      </w:r>
      <w:r>
        <w:rPr>
          <w:rFonts w:hint="eastAsia" w:ascii="黑体" w:hAnsi="黑体" w:eastAsia="黑体" w:cs="黑体"/>
          <w:bCs/>
          <w:caps/>
          <w:sz w:val="32"/>
          <w:szCs w:val="32"/>
        </w:rPr>
        <w:fldChar w:fldCharType="separate"/>
      </w:r>
      <w:r>
        <w:rPr>
          <w:rFonts w:hint="eastAsia" w:ascii="黑体" w:hAnsi="黑体" w:eastAsia="黑体" w:cs="黑体"/>
          <w:sz w:val="32"/>
          <w:szCs w:val="32"/>
        </w:rPr>
        <w:t>附件2</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突发环境事件应急响应全过程流程图</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_Toc1496520586 \h </w:instrText>
      </w:r>
      <w:r>
        <w:rPr>
          <w:rFonts w:hint="eastAsia" w:ascii="黑体" w:hAnsi="黑体" w:eastAsia="黑体" w:cs="黑体"/>
          <w:sz w:val="32"/>
          <w:szCs w:val="32"/>
        </w:rPr>
        <w:fldChar w:fldCharType="separate"/>
      </w:r>
      <w:r>
        <w:rPr>
          <w:rFonts w:hint="eastAsia" w:ascii="黑体" w:hAnsi="黑体" w:eastAsia="黑体" w:cs="黑体"/>
          <w:sz w:val="32"/>
          <w:szCs w:val="32"/>
        </w:rPr>
        <w:t>35</w:t>
      </w:r>
      <w:r>
        <w:rPr>
          <w:rFonts w:hint="eastAsia" w:ascii="黑体" w:hAnsi="黑体" w:eastAsia="黑体" w:cs="黑体"/>
          <w:sz w:val="32"/>
          <w:szCs w:val="32"/>
        </w:rPr>
        <w:fldChar w:fldCharType="end"/>
      </w:r>
      <w:r>
        <w:rPr>
          <w:rFonts w:hint="eastAsia" w:ascii="黑体" w:hAnsi="黑体" w:eastAsia="黑体" w:cs="黑体"/>
          <w:bCs/>
          <w:caps/>
          <w:sz w:val="32"/>
          <w:szCs w:val="32"/>
        </w:rP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beforeLines="0" w:afterLines="0" w:line="579" w:lineRule="exact"/>
        <w:ind w:left="0" w:firstLine="480"/>
        <w:jc w:val="both"/>
        <w:textAlignment w:val="auto"/>
        <w:rPr>
          <w:rFonts w:hint="eastAsia" w:ascii="仿宋_GB2312" w:hAnsi="仿宋_GB2312" w:eastAsia="仿宋_GB2312" w:cs="仿宋_GB2312"/>
          <w:bCs/>
          <w:caps/>
          <w:sz w:val="32"/>
          <w:szCs w:val="32"/>
        </w:rPr>
      </w:pPr>
      <w:r>
        <w:rPr>
          <w:rFonts w:hint="eastAsia" w:ascii="仿宋_GB2312" w:hAnsi="仿宋_GB2312" w:eastAsia="仿宋_GB2312" w:cs="仿宋_GB2312"/>
          <w:bCs/>
          <w:caps/>
          <w:sz w:val="32"/>
          <w:szCs w:val="32"/>
        </w:rPr>
        <w:fldChar w:fldCharType="end"/>
      </w: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pPr>
    </w:p>
    <w:p>
      <w:pPr>
        <w:rPr>
          <w:rFonts w:hint="eastAsia" w:ascii="仿宋_GB2312" w:hAnsi="仿宋_GB2312" w:eastAsia="仿宋_GB2312" w:cs="仿宋_GB2312"/>
          <w:bCs/>
          <w:caps/>
          <w:sz w:val="32"/>
          <w:szCs w:val="32"/>
        </w:rPr>
        <w:sectPr>
          <w:footerReference r:id="rId5" w:type="default"/>
          <w:pgSz w:w="11906" w:h="16838"/>
          <w:pgMar w:top="2041" w:right="1531" w:bottom="2041" w:left="1531" w:header="851" w:footer="992" w:gutter="0"/>
          <w:pgNumType w:fmt="decimal" w:start="1"/>
          <w:cols w:space="425" w:num="1"/>
          <w:docGrid w:type="lines" w:linePitch="312" w:charSpace="0"/>
        </w:sectPr>
      </w:pPr>
    </w:p>
    <w:p>
      <w:pPr>
        <w:pStyle w:val="2"/>
        <w:keepNext w:val="0"/>
        <w:keepLines w:val="0"/>
        <w:adjustRightInd w:val="0"/>
        <w:snapToGrid w:val="0"/>
        <w:spacing w:beforeLines="0" w:afterLines="0" w:line="579" w:lineRule="exact"/>
        <w:ind w:firstLine="640" w:firstLineChars="200"/>
        <w:rPr>
          <w:rFonts w:hint="eastAsia" w:ascii="黑体" w:hAnsi="黑体" w:cs="黑体"/>
          <w:sz w:val="32"/>
          <w:szCs w:val="32"/>
        </w:rPr>
      </w:pPr>
      <w:bookmarkStart w:id="0" w:name="_Toc20150129"/>
      <w:bookmarkStart w:id="1" w:name="_Toc154672806"/>
      <w:bookmarkStart w:id="2" w:name="_Toc18268392"/>
      <w:r>
        <w:rPr>
          <w:rFonts w:hint="eastAsia" w:ascii="黑体" w:hAnsi="黑体" w:cs="黑体"/>
          <w:sz w:val="32"/>
          <w:szCs w:val="32"/>
        </w:rPr>
        <w:t>1 总则</w:t>
      </w:r>
      <w:bookmarkEnd w:id="0"/>
      <w:bookmarkEnd w:id="1"/>
      <w:bookmarkEnd w:id="2"/>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3" w:name="_Toc20150130"/>
      <w:bookmarkStart w:id="4" w:name="_Toc596857522"/>
      <w:bookmarkStart w:id="5" w:name="_Toc154672807"/>
      <w:r>
        <w:rPr>
          <w:rFonts w:hint="eastAsia" w:ascii="楷体_GB2312" w:hAnsi="楷体_GB2312" w:cs="楷体_GB2312"/>
          <w:sz w:val="32"/>
        </w:rPr>
        <w:t>1.1 编制目的</w:t>
      </w:r>
      <w:bookmarkEnd w:id="3"/>
      <w:bookmarkEnd w:id="4"/>
      <w:bookmarkEnd w:id="5"/>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建立健全珠海市突发环境事件应急响应机制，提高突发环境事件预防、预警和应急处置能力，科学、有序、高效应对突发环境事件，保障公众生命健康、生态环境安全，促进社会全面、协调、可持续发展。</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6" w:name="_Toc2087226264"/>
      <w:bookmarkStart w:id="7" w:name="_Toc20150131"/>
      <w:bookmarkStart w:id="8" w:name="_Toc154672808"/>
      <w:r>
        <w:rPr>
          <w:rFonts w:hint="eastAsia" w:ascii="楷体_GB2312" w:hAnsi="楷体_GB2312" w:cs="楷体_GB2312"/>
          <w:sz w:val="32"/>
        </w:rPr>
        <w:t>1.2 编制依据</w:t>
      </w:r>
      <w:bookmarkEnd w:id="6"/>
      <w:bookmarkEnd w:id="7"/>
      <w:bookmarkEnd w:id="8"/>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依据</w:t>
      </w:r>
      <w:bookmarkStart w:id="9" w:name="OLE_LINK7"/>
      <w:bookmarkStart w:id="10" w:name="OLE_LINK8"/>
      <w:r>
        <w:rPr>
          <w:rFonts w:ascii="Times New Roman" w:hAnsi="Times New Roman" w:cs="Times New Roman"/>
          <w:sz w:val="32"/>
          <w:szCs w:val="32"/>
        </w:rPr>
        <w:t>《中华人民共和国环境保护法》《中华人民共和国突发事件应对法》《国家突发环境事件应急预案》</w:t>
      </w:r>
      <w:r>
        <w:rPr>
          <w:rFonts w:hint="eastAsia" w:ascii="Times New Roman" w:hAnsi="Times New Roman" w:cs="Times New Roman"/>
          <w:sz w:val="32"/>
          <w:szCs w:val="32"/>
        </w:rPr>
        <w:t>《突发事件应急预案管理办法》</w:t>
      </w:r>
      <w:r>
        <w:rPr>
          <w:rFonts w:ascii="Times New Roman" w:hAnsi="Times New Roman" w:cs="Times New Roman"/>
          <w:sz w:val="32"/>
          <w:szCs w:val="32"/>
        </w:rPr>
        <w:t>《突发环境事件应急管理办法》《突发环境事件信息报告办法》《广东省突发事件应对条例》</w:t>
      </w:r>
      <w:r>
        <w:rPr>
          <w:rFonts w:hint="eastAsia" w:ascii="Times New Roman" w:hAnsi="Times New Roman" w:cs="Times New Roman"/>
          <w:sz w:val="32"/>
          <w:szCs w:val="32"/>
        </w:rPr>
        <w:t>《广东省突发事件总体应急预案》</w:t>
      </w:r>
      <w:r>
        <w:rPr>
          <w:rFonts w:ascii="Times New Roman" w:hAnsi="Times New Roman" w:cs="Times New Roman"/>
          <w:sz w:val="32"/>
          <w:szCs w:val="32"/>
        </w:rPr>
        <w:t>《</w:t>
      </w:r>
      <w:r>
        <w:rPr>
          <w:rFonts w:hint="eastAsia" w:ascii="Times New Roman" w:hAnsi="Times New Roman" w:cs="Times New Roman"/>
          <w:sz w:val="32"/>
          <w:szCs w:val="32"/>
        </w:rPr>
        <w:t>广东省突发事件预警信息发布管理办法</w:t>
      </w:r>
      <w:r>
        <w:rPr>
          <w:rFonts w:ascii="Times New Roman" w:hAnsi="Times New Roman" w:cs="Times New Roman"/>
          <w:sz w:val="32"/>
          <w:szCs w:val="32"/>
        </w:rPr>
        <w:t>》《广东</w:t>
      </w:r>
      <w:r>
        <w:rPr>
          <w:rFonts w:ascii="Times New Roman" w:hAnsi="Times New Roman" w:cs="Times New Roman"/>
          <w:spacing w:val="-6"/>
          <w:sz w:val="32"/>
          <w:szCs w:val="32"/>
        </w:rPr>
        <w:t>省突发事件应急预案管理办法》</w:t>
      </w:r>
      <w:r>
        <w:rPr>
          <w:rFonts w:ascii="Times New Roman" w:hAnsi="Times New Roman" w:cs="Times New Roman"/>
          <w:sz w:val="32"/>
          <w:szCs w:val="32"/>
        </w:rPr>
        <w:t>《广东省突发环境事件应急预案》《广东省突发事件现场指挥官工作规范（试行）》</w:t>
      </w:r>
      <w:r>
        <w:rPr>
          <w:rFonts w:hint="eastAsia" w:ascii="Times New Roman" w:hAnsi="Times New Roman" w:cs="Times New Roman"/>
          <w:sz w:val="32"/>
          <w:szCs w:val="32"/>
        </w:rPr>
        <w:t>《珠海市突发事件总体应急预案》</w:t>
      </w:r>
      <w:r>
        <w:rPr>
          <w:rFonts w:ascii="Times New Roman" w:hAnsi="Times New Roman" w:cs="Times New Roman"/>
          <w:sz w:val="32"/>
          <w:szCs w:val="32"/>
        </w:rPr>
        <w:t>《珠海市生态环境保护工作责任清单》等法律法规及有关规定，制定本预案。</w:t>
      </w:r>
    </w:p>
    <w:bookmarkEnd w:id="9"/>
    <w:bookmarkEnd w:id="10"/>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1" w:name="_Toc1310333849"/>
      <w:bookmarkStart w:id="12" w:name="_Toc154672809"/>
      <w:bookmarkStart w:id="13" w:name="_Toc20150132"/>
      <w:r>
        <w:rPr>
          <w:rFonts w:hint="eastAsia" w:ascii="楷体_GB2312" w:hAnsi="楷体_GB2312" w:cs="楷体_GB2312"/>
          <w:sz w:val="32"/>
        </w:rPr>
        <w:t>1.3 适用范围</w:t>
      </w:r>
      <w:bookmarkEnd w:id="11"/>
      <w:bookmarkEnd w:id="12"/>
      <w:bookmarkEnd w:id="13"/>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本预案适用于珠海市行政区域内突发环境事件的应对工作。</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核事故及辐射事故、海上溢油事件、船舶污染事件以及重污染天气的应对工作，适用相应应急预案的规定。</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4" w:name="_Toc20150133"/>
      <w:bookmarkStart w:id="15" w:name="_Toc154672810"/>
      <w:bookmarkStart w:id="16" w:name="_Toc1106784538"/>
      <w:r>
        <w:rPr>
          <w:rFonts w:hint="eastAsia" w:ascii="楷体_GB2312" w:hAnsi="楷体_GB2312" w:cs="楷体_GB2312"/>
          <w:sz w:val="32"/>
        </w:rPr>
        <w:t>1.4 工作原则</w:t>
      </w:r>
      <w:bookmarkEnd w:id="14"/>
      <w:bookmarkEnd w:id="15"/>
      <w:bookmarkEnd w:id="16"/>
    </w:p>
    <w:p>
      <w:pPr>
        <w:adjustRightInd w:val="0"/>
        <w:snapToGrid w:val="0"/>
        <w:spacing w:beforeLines="0" w:afterLines="0" w:line="579" w:lineRule="exact"/>
        <w:ind w:firstLine="640"/>
        <w:rPr>
          <w:rFonts w:ascii="Times New Roman" w:hAnsi="Times New Roman" w:cs="Times New Roman"/>
          <w:bCs/>
          <w:sz w:val="32"/>
          <w:szCs w:val="32"/>
        </w:rPr>
      </w:pPr>
      <w:bookmarkStart w:id="17" w:name="_Toc465669115"/>
      <w:bookmarkStart w:id="18" w:name="_Toc20150134"/>
      <w:r>
        <w:rPr>
          <w:rFonts w:ascii="Times New Roman" w:hAnsi="Times New Roman" w:cs="Times New Roman"/>
          <w:b w:val="0"/>
          <w:bCs/>
          <w:sz w:val="32"/>
          <w:szCs w:val="32"/>
        </w:rPr>
        <w:t>以人为本，预防优先。</w:t>
      </w:r>
      <w:r>
        <w:rPr>
          <w:rFonts w:ascii="Times New Roman" w:hAnsi="Times New Roman" w:cs="Times New Roman"/>
          <w:bCs/>
          <w:sz w:val="32"/>
          <w:szCs w:val="32"/>
        </w:rPr>
        <w:t>将保障公众生命健康、生态环境安全作为根本出发点和落脚点，强化环境风险预防，提升预警能力，化被动处置为主动防范。</w:t>
      </w:r>
    </w:p>
    <w:p>
      <w:pPr>
        <w:adjustRightInd w:val="0"/>
        <w:snapToGrid w:val="0"/>
        <w:spacing w:beforeLines="0" w:afterLines="0" w:line="579" w:lineRule="exact"/>
        <w:ind w:firstLine="640"/>
        <w:rPr>
          <w:rFonts w:ascii="Times New Roman" w:hAnsi="Times New Roman" w:cs="Times New Roman"/>
          <w:bCs/>
          <w:sz w:val="32"/>
          <w:szCs w:val="32"/>
        </w:rPr>
      </w:pPr>
      <w:r>
        <w:rPr>
          <w:rFonts w:ascii="Times New Roman" w:hAnsi="Times New Roman" w:cs="Times New Roman"/>
          <w:b w:val="0"/>
          <w:bCs/>
          <w:sz w:val="32"/>
          <w:szCs w:val="32"/>
        </w:rPr>
        <w:t>统一领导，属地为主。</w:t>
      </w:r>
      <w:r>
        <w:rPr>
          <w:rFonts w:ascii="Times New Roman" w:hAnsi="Times New Roman" w:cs="Times New Roman"/>
          <w:bCs/>
          <w:sz w:val="32"/>
          <w:szCs w:val="32"/>
        </w:rPr>
        <w:t>突发环境事件应急处置过程中要坚持统一领导，市政府负责组织或参与较大及以上突发环境事件的应急处置，各区（功能区）政府（管委会）负责开展属地区域一般突发环境事件的应急处置。</w:t>
      </w:r>
    </w:p>
    <w:p>
      <w:pPr>
        <w:adjustRightInd w:val="0"/>
        <w:snapToGrid w:val="0"/>
        <w:spacing w:beforeLines="0" w:afterLines="0" w:line="579" w:lineRule="exact"/>
        <w:ind w:firstLine="640"/>
        <w:rPr>
          <w:rFonts w:ascii="Times New Roman" w:hAnsi="Times New Roman" w:cs="Times New Roman"/>
          <w:bCs/>
          <w:sz w:val="32"/>
          <w:szCs w:val="32"/>
        </w:rPr>
      </w:pPr>
      <w:r>
        <w:rPr>
          <w:rFonts w:ascii="Times New Roman" w:hAnsi="Times New Roman" w:cs="Times New Roman"/>
          <w:b w:val="0"/>
          <w:bCs/>
          <w:sz w:val="32"/>
          <w:szCs w:val="32"/>
        </w:rPr>
        <w:t>部门联动，协同应对。</w:t>
      </w:r>
      <w:r>
        <w:rPr>
          <w:rFonts w:ascii="Times New Roman" w:hAnsi="Times New Roman" w:cs="Times New Roman"/>
          <w:bCs/>
          <w:sz w:val="32"/>
          <w:szCs w:val="32"/>
        </w:rPr>
        <w:t>建立完善突发环境事件应急联动机制，充分发挥各相关单位专业优势和人才、技术、设备资源，充实应急救援队伍，加强环境应急演练，培养环境应急社会化救援力量，协同应对突发环境事件。</w:t>
      </w:r>
    </w:p>
    <w:p>
      <w:pPr>
        <w:adjustRightInd w:val="0"/>
        <w:snapToGrid w:val="0"/>
        <w:spacing w:beforeLines="0" w:afterLines="0" w:line="579" w:lineRule="exact"/>
        <w:ind w:firstLine="640"/>
        <w:rPr>
          <w:rFonts w:ascii="Times New Roman" w:hAnsi="Times New Roman" w:cs="Times New Roman"/>
          <w:bCs/>
          <w:sz w:val="32"/>
          <w:szCs w:val="32"/>
        </w:rPr>
      </w:pPr>
      <w:r>
        <w:rPr>
          <w:rFonts w:ascii="Times New Roman" w:hAnsi="Times New Roman" w:cs="Times New Roman"/>
          <w:b w:val="0"/>
          <w:bCs/>
          <w:sz w:val="32"/>
          <w:szCs w:val="32"/>
        </w:rPr>
        <w:t>依靠科技，规范管理。</w:t>
      </w:r>
      <w:r>
        <w:rPr>
          <w:rFonts w:ascii="Times New Roman" w:hAnsi="Times New Roman" w:cs="Times New Roman"/>
          <w:bCs/>
          <w:sz w:val="32"/>
          <w:szCs w:val="32"/>
        </w:rPr>
        <w:t>鼓励开展环境风险管控技术、预警体系及环境应急能力建设工作，</w:t>
      </w:r>
      <w:r>
        <w:rPr>
          <w:rFonts w:ascii="Times New Roman" w:hAnsi="Times New Roman" w:cs="Times New Roman"/>
          <w:bCs/>
          <w:spacing w:val="-6"/>
          <w:sz w:val="32"/>
          <w:szCs w:val="32"/>
        </w:rPr>
        <w:t>建立完善珠海市环境应急专家队伍</w:t>
      </w:r>
      <w:r>
        <w:rPr>
          <w:rFonts w:ascii="Times New Roman" w:hAnsi="Times New Roman" w:cs="Times New Roman"/>
          <w:bCs/>
          <w:sz w:val="32"/>
          <w:szCs w:val="32"/>
        </w:rPr>
        <w:t>，提升环境应急管理工作科学化、规范化水平。</w:t>
      </w:r>
    </w:p>
    <w:p>
      <w:pPr>
        <w:pStyle w:val="2"/>
        <w:keepNext w:val="0"/>
        <w:keepLines w:val="0"/>
        <w:adjustRightInd w:val="0"/>
        <w:snapToGrid w:val="0"/>
        <w:spacing w:beforeLines="0" w:afterLines="0" w:line="579" w:lineRule="exact"/>
        <w:ind w:firstLine="640" w:firstLineChars="200"/>
        <w:rPr>
          <w:rFonts w:hint="eastAsia" w:ascii="黑体" w:hAnsi="黑体" w:cs="黑体"/>
          <w:sz w:val="32"/>
          <w:szCs w:val="32"/>
        </w:rPr>
      </w:pPr>
      <w:bookmarkStart w:id="19" w:name="_Toc154672811"/>
      <w:bookmarkStart w:id="20" w:name="_Toc402094318"/>
      <w:r>
        <w:rPr>
          <w:rFonts w:hint="eastAsia" w:ascii="黑体" w:hAnsi="黑体" w:cs="黑体"/>
          <w:sz w:val="32"/>
          <w:szCs w:val="32"/>
        </w:rPr>
        <w:t>2 应急指挥体系及职责</w:t>
      </w:r>
      <w:bookmarkEnd w:id="17"/>
      <w:bookmarkEnd w:id="18"/>
      <w:bookmarkEnd w:id="19"/>
      <w:bookmarkEnd w:id="20"/>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21" w:name="_Toc969814797"/>
      <w:bookmarkStart w:id="22" w:name="_Toc20150135"/>
      <w:bookmarkStart w:id="23" w:name="_Toc154672812"/>
      <w:r>
        <w:rPr>
          <w:rFonts w:hint="eastAsia" w:ascii="楷体_GB2312" w:hAnsi="楷体_GB2312" w:cs="楷体_GB2312"/>
          <w:sz w:val="32"/>
        </w:rPr>
        <w:t>2.1 市应急指挥部</w:t>
      </w:r>
      <w:bookmarkEnd w:id="21"/>
      <w:bookmarkEnd w:id="22"/>
      <w:bookmarkEnd w:id="23"/>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珠海市行政区域内发生较大突发环境事件时，市政府根据需要建立市突发环境事件应急指挥部（以下简称市应急指挥部），统一指挥全市突发环境事件及其次生、</w:t>
      </w:r>
      <w:r>
        <w:rPr>
          <w:rFonts w:ascii="Times New Roman" w:hAnsi="Times New Roman" w:cs="Times New Roman"/>
          <w:bCs/>
          <w:spacing w:val="-6"/>
          <w:sz w:val="32"/>
          <w:szCs w:val="32"/>
        </w:rPr>
        <w:t>衍生灾害的应急处置工作</w:t>
      </w:r>
      <w:r>
        <w:rPr>
          <w:rFonts w:ascii="Times New Roman" w:hAnsi="Times New Roman" w:cs="Times New Roman"/>
          <w:sz w:val="32"/>
          <w:szCs w:val="32"/>
        </w:rPr>
        <w:t>，组织开展突发环境事件应对工作。市应急指挥部成员单位按照各自职责做好突发环境事件应对工作。</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总指挥：分管生态环境工作的副市长。</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副总指挥：市政府协调生态环境工作的副秘书长、市生态环境局局长、市应急管理局局长。</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成员：市委宣传部、市委政法委、市委网信办、各区政府（管委会）</w:t>
      </w:r>
      <w:r>
        <w:rPr>
          <w:rFonts w:hint="eastAsia" w:ascii="Times New Roman" w:hAnsi="Times New Roman" w:cs="Times New Roman"/>
          <w:sz w:val="32"/>
          <w:szCs w:val="32"/>
          <w:lang w:eastAsia="zh-CN"/>
        </w:rPr>
        <w:t>、</w:t>
      </w:r>
      <w:r>
        <w:rPr>
          <w:rFonts w:ascii="Times New Roman" w:hAnsi="Times New Roman" w:cs="Times New Roman"/>
          <w:sz w:val="32"/>
          <w:szCs w:val="32"/>
        </w:rPr>
        <w:t>市发展改革局、市工业和信息化局</w:t>
      </w:r>
      <w:r>
        <w:rPr>
          <w:rFonts w:hint="eastAsia" w:ascii="Times New Roman" w:hAnsi="Times New Roman" w:cs="Times New Roman"/>
          <w:sz w:val="32"/>
          <w:szCs w:val="32"/>
          <w:lang w:eastAsia="zh-CN"/>
        </w:rPr>
        <w:t>、</w:t>
      </w:r>
      <w:r>
        <w:rPr>
          <w:rFonts w:ascii="Times New Roman" w:hAnsi="Times New Roman" w:cs="Times New Roman"/>
          <w:sz w:val="32"/>
          <w:szCs w:val="32"/>
        </w:rPr>
        <w:t>市公安局、市民政局、市司法局、市财政局、市自然资源局、市生态环境局、市交通运输局、市水务局、市农业农村局、市商务局、市文化广电旅游体育局</w:t>
      </w:r>
      <w:r>
        <w:rPr>
          <w:rFonts w:hint="eastAsia" w:ascii="Times New Roman" w:hAnsi="Times New Roman" w:cs="Times New Roman"/>
          <w:sz w:val="32"/>
          <w:szCs w:val="32"/>
        </w:rPr>
        <w:t>、</w:t>
      </w:r>
      <w:r>
        <w:rPr>
          <w:rFonts w:ascii="Times New Roman" w:hAnsi="Times New Roman" w:cs="Times New Roman"/>
          <w:sz w:val="32"/>
          <w:szCs w:val="32"/>
        </w:rPr>
        <w:t>市卫生健康局、市应急管理局、市市场监督管理局</w:t>
      </w:r>
      <w:r>
        <w:rPr>
          <w:rFonts w:hint="eastAsia" w:ascii="Times New Roman" w:hAnsi="Times New Roman" w:cs="Times New Roman"/>
          <w:sz w:val="32"/>
          <w:szCs w:val="32"/>
        </w:rPr>
        <w:t>、市城市管理综合执法局、市海洋发展局、</w:t>
      </w:r>
      <w:r>
        <w:rPr>
          <w:rFonts w:ascii="Times New Roman" w:hAnsi="Times New Roman" w:cs="Times New Roman"/>
          <w:sz w:val="32"/>
          <w:szCs w:val="32"/>
        </w:rPr>
        <w:t>市消防救援支队</w:t>
      </w:r>
      <w:r>
        <w:rPr>
          <w:rFonts w:hint="eastAsia" w:ascii="Times New Roman" w:hAnsi="Times New Roman" w:cs="Times New Roman"/>
          <w:sz w:val="32"/>
          <w:szCs w:val="32"/>
        </w:rPr>
        <w:t>、武警珠海支队、</w:t>
      </w:r>
      <w:r>
        <w:rPr>
          <w:rFonts w:ascii="Times New Roman" w:hAnsi="Times New Roman" w:cs="Times New Roman"/>
          <w:sz w:val="32"/>
          <w:szCs w:val="32"/>
        </w:rPr>
        <w:t>珠海海事局、珠海</w:t>
      </w:r>
      <w:r>
        <w:rPr>
          <w:rFonts w:hint="eastAsia" w:ascii="Times New Roman" w:hAnsi="Times New Roman" w:cs="Times New Roman"/>
          <w:sz w:val="32"/>
          <w:szCs w:val="32"/>
          <w:lang w:eastAsia="zh-CN"/>
        </w:rPr>
        <w:t>金融</w:t>
      </w:r>
      <w:r>
        <w:rPr>
          <w:rFonts w:ascii="Times New Roman" w:hAnsi="Times New Roman" w:cs="Times New Roman"/>
          <w:sz w:val="32"/>
          <w:szCs w:val="32"/>
        </w:rPr>
        <w:t>监管分局、市气象局等相关单位负责人。</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（1）市委宣传部：负责指导、协调做好较大突发环境事件的新闻报道，会同有关部门做好信息发布和舆论引导工作。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（2）市委政法委：负责指导、协调、督促政法机关依法办理环境污染犯罪案件，配合做好突发环境事件应急处置工作。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（3）市委网信办：负责突发环境事件的舆情监测、研判和预警，配合开展突发环境事件应急处置过程网络举报和谣言治理等工作。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4</w:t>
      </w:r>
      <w:r>
        <w:rPr>
          <w:rFonts w:hint="eastAsia" w:ascii="仿宋_GB2312" w:hAnsi="仿宋_GB2312" w:cs="仿宋_GB2312"/>
          <w:sz w:val="32"/>
          <w:szCs w:val="32"/>
        </w:rPr>
        <w:t>）各区（功能区）政府（管委会）：设立本级突发环境事件应急指挥部，做好本辖区一般突发环境事件的风险控制、应急准备、应急处置和事后恢复等工作。按照属地管理的原则，发生较大突发环境事件时，事发地区（功能区）政府（管委会）应立即组织应急救援力量开展人员救护、现场隔离和危险物品转移等先期处置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5</w:t>
      </w:r>
      <w:r>
        <w:rPr>
          <w:rFonts w:hint="eastAsia" w:ascii="仿宋_GB2312" w:hAnsi="仿宋_GB2312" w:cs="仿宋_GB2312"/>
          <w:sz w:val="32"/>
          <w:szCs w:val="32"/>
        </w:rPr>
        <w:t>）市发展改革局：根据行业主管部门建议，提请市人民政府按程序将全市环境应急救援体系建设纳入市级国民经济与社会发展中长期规划。开展居民生活必需品等商品的价格监测和市场巡查，必要时依法定程序采取价格干预措施。负责组织做好储备粮油的调拨供应工作和救灾物</w:t>
      </w:r>
      <w:r>
        <w:rPr>
          <w:rFonts w:hint="eastAsia" w:ascii="仿宋_GB2312" w:hAnsi="仿宋_GB2312" w:cs="仿宋_GB2312"/>
          <w:sz w:val="32"/>
          <w:szCs w:val="32"/>
          <w:lang w:eastAsia="zh-CN"/>
        </w:rPr>
        <w:t>资</w:t>
      </w:r>
      <w:r>
        <w:rPr>
          <w:rFonts w:hint="eastAsia" w:ascii="仿宋_GB2312" w:hAnsi="仿宋_GB2312" w:cs="仿宋_GB2312"/>
          <w:sz w:val="32"/>
          <w:szCs w:val="32"/>
        </w:rPr>
        <w:t>等储备工作。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cs="仿宋_GB2312"/>
          <w:sz w:val="32"/>
          <w:szCs w:val="32"/>
          <w:lang w:val="en-US" w:eastAsia="zh-CN"/>
        </w:rPr>
        <w:t>6</w:t>
      </w:r>
      <w:r>
        <w:rPr>
          <w:rFonts w:hint="eastAsia" w:ascii="仿宋_GB2312" w:hAnsi="仿宋_GB2312" w:cs="仿宋_GB2312"/>
          <w:sz w:val="32"/>
          <w:szCs w:val="32"/>
        </w:rPr>
        <w:t>）市工业和信息化局：负责协调动员做好突发环境事件应急物资生产。</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cs="仿宋_GB2312"/>
          <w:sz w:val="32"/>
          <w:szCs w:val="32"/>
          <w:lang w:val="en-US" w:eastAsia="zh-CN"/>
        </w:rPr>
        <w:t>7</w:t>
      </w:r>
      <w:r>
        <w:rPr>
          <w:rFonts w:hint="eastAsia" w:ascii="仿宋_GB2312" w:hAnsi="仿宋_GB2312" w:cs="仿宋_GB2312"/>
          <w:sz w:val="32"/>
          <w:szCs w:val="32"/>
        </w:rPr>
        <w:t>）市公安局：负责指导危险化学品运输车辆的道路交通管理；指导人员疏散和事故现场警戒工作；对事故现场区域周边道路实行交通管制，保障救援道路畅通；维护事发地治安秩序和社会稳定；参与突发环境事件调查和处置。</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cs="仿宋_GB2312"/>
          <w:sz w:val="32"/>
          <w:szCs w:val="32"/>
          <w:lang w:val="en-US" w:eastAsia="zh-CN"/>
        </w:rPr>
        <w:t>8</w:t>
      </w:r>
      <w:r>
        <w:rPr>
          <w:rFonts w:hint="eastAsia" w:ascii="仿宋_GB2312" w:hAnsi="仿宋_GB2312" w:cs="仿宋_GB2312"/>
          <w:sz w:val="32"/>
          <w:szCs w:val="32"/>
        </w:rPr>
        <w:t>）市民政局：负责指导突发环境事件的社会捐助工作；指导各区民政部门将符合条件的困难群众纳入临时救助等基本生活保障范围。</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cs="仿宋_GB2312"/>
          <w:sz w:val="32"/>
          <w:szCs w:val="32"/>
          <w:lang w:val="en-US" w:eastAsia="zh-CN"/>
        </w:rPr>
        <w:t>9</w:t>
      </w:r>
      <w:r>
        <w:rPr>
          <w:rFonts w:hint="eastAsia" w:ascii="仿宋_GB2312" w:hAnsi="仿宋_GB2312" w:cs="仿宋_GB2312"/>
          <w:sz w:val="32"/>
          <w:szCs w:val="32"/>
        </w:rPr>
        <w:t>）市司法局：落实</w:t>
      </w:r>
      <w:r>
        <w:rPr>
          <w:rFonts w:hint="eastAsia" w:ascii="仿宋_GB2312" w:hAnsi="仿宋_GB2312" w:cs="仿宋_GB2312"/>
          <w:sz w:val="32"/>
          <w:szCs w:val="32"/>
          <w:lang w:eastAsia="zh-CN"/>
        </w:rPr>
        <w:t>“</w:t>
      </w:r>
      <w:r>
        <w:rPr>
          <w:rFonts w:hint="eastAsia" w:ascii="仿宋_GB2312" w:hAnsi="仿宋_GB2312" w:cs="仿宋_GB2312"/>
          <w:sz w:val="32"/>
          <w:szCs w:val="32"/>
        </w:rPr>
        <w:t>谁执法谁普法</w:t>
      </w:r>
      <w:r>
        <w:rPr>
          <w:rFonts w:hint="eastAsia" w:ascii="仿宋_GB2312" w:hAnsi="仿宋_GB2312" w:cs="仿宋_GB2312"/>
          <w:sz w:val="32"/>
          <w:szCs w:val="32"/>
          <w:lang w:eastAsia="zh-CN"/>
        </w:rPr>
        <w:t>”</w:t>
      </w:r>
      <w:r>
        <w:rPr>
          <w:rFonts w:hint="eastAsia" w:ascii="仿宋_GB2312" w:hAnsi="仿宋_GB2312" w:cs="仿宋_GB2312"/>
          <w:sz w:val="32"/>
          <w:szCs w:val="32"/>
        </w:rPr>
        <w:t>普法责任制，推动相关普法责任单位（部门）积极开展突发环境事件应对普法宣传，为市政府开展突发环境事件应急决策提供法律支撑。</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1</w:t>
      </w:r>
      <w:r>
        <w:rPr>
          <w:rFonts w:hint="eastAsia" w:cs="仿宋_GB2312"/>
          <w:sz w:val="32"/>
          <w:szCs w:val="32"/>
          <w:lang w:val="en-US" w:eastAsia="zh-CN"/>
        </w:rPr>
        <w:t>0</w:t>
      </w:r>
      <w:r>
        <w:rPr>
          <w:rFonts w:hint="eastAsia" w:ascii="仿宋_GB2312" w:hAnsi="仿宋_GB2312" w:cs="仿宋_GB2312"/>
          <w:sz w:val="32"/>
          <w:szCs w:val="32"/>
        </w:rPr>
        <w:t>）市财政局：做好市级应急资金保障，配合相关业务主管部门对应急资金的安排、使用、管理进行监督。</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1</w:t>
      </w:r>
      <w:r>
        <w:rPr>
          <w:rFonts w:hint="eastAsia" w:cs="仿宋_GB2312"/>
          <w:sz w:val="32"/>
          <w:szCs w:val="32"/>
          <w:lang w:val="en-US" w:eastAsia="zh-CN"/>
        </w:rPr>
        <w:t>1</w:t>
      </w:r>
      <w:r>
        <w:rPr>
          <w:rFonts w:hint="eastAsia" w:ascii="仿宋_GB2312" w:hAnsi="仿宋_GB2312" w:cs="仿宋_GB2312"/>
          <w:sz w:val="32"/>
          <w:szCs w:val="32"/>
        </w:rPr>
        <w:t>）市自然资源局：开展矿山地质环境恢复治理、林业生态保护修复等工作。负责组织对突发环境事件造成的有关林业资源损害进行评估。</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1</w:t>
      </w:r>
      <w:r>
        <w:rPr>
          <w:rFonts w:hint="eastAsia" w:cs="仿宋_GB2312"/>
          <w:sz w:val="32"/>
          <w:szCs w:val="32"/>
          <w:lang w:val="en-US" w:eastAsia="zh-CN"/>
        </w:rPr>
        <w:t>2</w:t>
      </w:r>
      <w:r>
        <w:rPr>
          <w:rFonts w:hint="eastAsia" w:ascii="仿宋_GB2312" w:hAnsi="仿宋_GB2312" w:cs="仿宋_GB2312"/>
          <w:sz w:val="32"/>
          <w:szCs w:val="32"/>
        </w:rPr>
        <w:t>）市生态环境局：负责制订、修订市突发环境事件应急预案；会同有关部门建立健全突发环境事件应急联动机制；负责市环境应急专家库的设立和管理，会同相关部门组织开展环境应急演练、人员培训和宣传教育等工作。牵头协调较大突发环境事件调查处理，协调处理跨区（功能区）、较大生态环境污染事故，以及突发环境事件的应急、预警工作，会同相关部门拟定并实施生态环境损害赔偿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1</w:t>
      </w:r>
      <w:r>
        <w:rPr>
          <w:rFonts w:hint="eastAsia" w:cs="仿宋_GB2312"/>
          <w:sz w:val="32"/>
          <w:szCs w:val="32"/>
          <w:lang w:val="en-US" w:eastAsia="zh-CN"/>
        </w:rPr>
        <w:t>3</w:t>
      </w:r>
      <w:r>
        <w:rPr>
          <w:rFonts w:hint="eastAsia" w:ascii="仿宋_GB2312" w:hAnsi="仿宋_GB2312" w:cs="仿宋_GB2312"/>
          <w:sz w:val="32"/>
          <w:szCs w:val="32"/>
        </w:rPr>
        <w:t>）市交通运输局：负责指导、协调应急人员及物资设备的应急运输工作；参与因公路、水路、特大桥、大桥、隧道及市属高速公路交通安全事故引发的突发环境事件应急处置。</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1</w:t>
      </w:r>
      <w:r>
        <w:rPr>
          <w:rFonts w:hint="eastAsia" w:cs="仿宋_GB2312"/>
          <w:sz w:val="32"/>
          <w:szCs w:val="32"/>
          <w:lang w:val="en-US" w:eastAsia="zh-CN"/>
        </w:rPr>
        <w:t>4</w:t>
      </w:r>
      <w:r>
        <w:rPr>
          <w:rFonts w:hint="eastAsia" w:ascii="仿宋_GB2312" w:hAnsi="仿宋_GB2312" w:cs="仿宋_GB2312"/>
          <w:sz w:val="32"/>
          <w:szCs w:val="32"/>
        </w:rPr>
        <w:t>）市水务局：负责配合做好水污染突发环境事件调查和应急处置工作。监测并发布相关水文信息，提供水体污染事件应急处置所需的水利、水文数据，组织协调并监督实施江河湖库和重要水工程应急水量调度。提供突发环境事件、危险化学品生产安全事故企业现场市政排水管网资料，协助提出消防废水的防控建议，指导各区（功能区）及时做好消防废水溢出可能进入市政管网的封堵等工作。</w:t>
      </w:r>
    </w:p>
    <w:p>
      <w:pPr>
        <w:adjustRightInd w:val="0"/>
        <w:snapToGrid w:val="0"/>
        <w:spacing w:beforeLines="0" w:afterLines="0" w:line="579" w:lineRule="exact"/>
        <w:ind w:firstLine="640"/>
        <w:rPr>
          <w:rFonts w:hint="eastAsia" w:ascii="仿宋_GB2312" w:hAnsi="仿宋_GB2312" w:eastAsia="仿宋_GB2312" w:cs="仿宋_GB2312"/>
          <w:sz w:val="32"/>
          <w:szCs w:val="32"/>
          <w:lang w:eastAsia="zh-CN"/>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1</w:t>
      </w:r>
      <w:r>
        <w:rPr>
          <w:rFonts w:hint="eastAsia" w:cs="仿宋_GB2312"/>
          <w:sz w:val="32"/>
          <w:szCs w:val="32"/>
          <w:lang w:val="en-US" w:eastAsia="zh-CN"/>
        </w:rPr>
        <w:t>5</w:t>
      </w:r>
      <w:r>
        <w:rPr>
          <w:rFonts w:hint="eastAsia" w:ascii="仿宋_GB2312" w:hAnsi="仿宋_GB2312" w:cs="仿宋_GB2312"/>
          <w:sz w:val="32"/>
          <w:szCs w:val="32"/>
        </w:rPr>
        <w:t>）市农业农村局：负责组织对突发环境事件造成的农业资源破坏进行评估，配合做好因</w:t>
      </w:r>
      <w:r>
        <w:rPr>
          <w:rFonts w:hint="eastAsia" w:cs="仿宋_GB2312"/>
          <w:sz w:val="32"/>
          <w:szCs w:val="32"/>
          <w:lang w:eastAsia="zh-CN"/>
        </w:rPr>
        <w:t>农业</w:t>
      </w:r>
      <w:r>
        <w:rPr>
          <w:rFonts w:hint="eastAsia" w:ascii="仿宋_GB2312" w:hAnsi="仿宋_GB2312" w:cs="仿宋_GB2312"/>
          <w:sz w:val="32"/>
          <w:szCs w:val="32"/>
        </w:rPr>
        <w:t>污染引起的突发环境事件的调查和处置工作，配合开展相关生态修复。</w:t>
      </w:r>
    </w:p>
    <w:p>
      <w:pPr>
        <w:adjustRightInd w:val="0"/>
        <w:snapToGrid w:val="0"/>
        <w:spacing w:beforeLines="0" w:afterLines="0" w:line="579"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1</w:t>
      </w:r>
      <w:r>
        <w:rPr>
          <w:rFonts w:hint="eastAsia" w:cs="仿宋_GB2312"/>
          <w:sz w:val="32"/>
          <w:szCs w:val="32"/>
          <w:lang w:val="en-US" w:eastAsia="zh-CN"/>
        </w:rPr>
        <w:t>6</w:t>
      </w:r>
      <w:r>
        <w:rPr>
          <w:rFonts w:hint="eastAsia" w:ascii="仿宋_GB2312" w:hAnsi="仿宋_GB2312" w:cs="仿宋_GB2312"/>
          <w:sz w:val="32"/>
          <w:szCs w:val="32"/>
        </w:rPr>
        <w:t>）市商务局：依职责配合相关部门做好有关生活必需品的市场保供。</w:t>
      </w:r>
    </w:p>
    <w:p>
      <w:pPr>
        <w:adjustRightInd w:val="0"/>
        <w:snapToGrid w:val="0"/>
        <w:spacing w:beforeLines="0" w:afterLines="0" w:line="579" w:lineRule="exact"/>
        <w:ind w:firstLine="640"/>
        <w:rPr>
          <w:rFonts w:hint="eastAsia"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1</w:t>
      </w:r>
      <w:r>
        <w:rPr>
          <w:rFonts w:hint="eastAsia" w:cs="仿宋_GB2312"/>
          <w:sz w:val="32"/>
          <w:szCs w:val="32"/>
          <w:lang w:val="en-US" w:eastAsia="zh-CN"/>
        </w:rPr>
        <w:t>7</w:t>
      </w:r>
      <w:r>
        <w:rPr>
          <w:rFonts w:hint="eastAsia" w:ascii="仿宋_GB2312" w:hAnsi="仿宋_GB2312" w:cs="仿宋_GB2312"/>
          <w:sz w:val="32"/>
          <w:szCs w:val="32"/>
        </w:rPr>
        <w:t>）市文化广电旅游体育局：负责配合市委宣传部组织落实突发环境事件宣传任务，指导广播电视新闻媒体和网络视听节目服务机构协助主管部门发布预警信息和公益广告宣传；配合开展舆情分析研判，及时做好信息发布和舆论引导。</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1</w:t>
      </w:r>
      <w:r>
        <w:rPr>
          <w:rFonts w:hint="eastAsia" w:cs="仿宋_GB2312"/>
          <w:sz w:val="32"/>
          <w:szCs w:val="32"/>
          <w:lang w:val="en-US" w:eastAsia="zh-CN"/>
        </w:rPr>
        <w:t>8</w:t>
      </w:r>
      <w:r>
        <w:rPr>
          <w:rFonts w:hint="eastAsia" w:ascii="仿宋_GB2312" w:hAnsi="仿宋_GB2312" w:cs="仿宋_GB2312"/>
          <w:sz w:val="32"/>
          <w:szCs w:val="32"/>
        </w:rPr>
        <w:t>）市卫生健康局：负责组织、指导和协调医疗卫生资源，开展卫生应急救援。</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cs="仿宋_GB2312"/>
          <w:sz w:val="32"/>
          <w:szCs w:val="32"/>
          <w:lang w:val="en-US" w:eastAsia="zh-CN"/>
        </w:rPr>
        <w:t>19</w:t>
      </w:r>
      <w:r>
        <w:rPr>
          <w:rFonts w:hint="eastAsia" w:ascii="仿宋_GB2312" w:hAnsi="仿宋_GB2312" w:cs="仿宋_GB2312"/>
          <w:sz w:val="32"/>
          <w:szCs w:val="32"/>
        </w:rPr>
        <w:t>）市应急管理局：负责</w:t>
      </w:r>
      <w:r>
        <w:rPr>
          <w:rFonts w:hint="eastAsia" w:ascii="仿宋_GB2312" w:hAnsi="仿宋_GB2312" w:cs="仿宋_GB2312"/>
          <w:sz w:val="32"/>
          <w:szCs w:val="32"/>
          <w:lang w:eastAsia="zh-CN"/>
        </w:rPr>
        <w:t>对地震</w:t>
      </w:r>
      <w:r>
        <w:rPr>
          <w:rFonts w:hint="eastAsia" w:cs="仿宋_GB2312"/>
          <w:sz w:val="32"/>
          <w:szCs w:val="32"/>
          <w:lang w:eastAsia="zh-CN"/>
        </w:rPr>
        <w:t>震情和</w:t>
      </w:r>
      <w:r>
        <w:rPr>
          <w:rFonts w:hint="eastAsia" w:ascii="仿宋_GB2312" w:hAnsi="仿宋_GB2312" w:cs="仿宋_GB2312"/>
          <w:sz w:val="32"/>
          <w:szCs w:val="32"/>
          <w:lang w:eastAsia="zh-CN"/>
        </w:rPr>
        <w:t>灾情进行通报，</w:t>
      </w:r>
      <w:r>
        <w:rPr>
          <w:rFonts w:hint="eastAsia" w:ascii="仿宋_GB2312" w:hAnsi="仿宋_GB2312" w:cs="仿宋_GB2312"/>
          <w:sz w:val="32"/>
          <w:szCs w:val="32"/>
        </w:rPr>
        <w:t>配合安全生产类、自然灾害类</w:t>
      </w:r>
      <w:r>
        <w:rPr>
          <w:rFonts w:hint="eastAsia" w:ascii="仿宋_GB2312" w:hAnsi="仿宋_GB2312" w:cs="仿宋_GB2312"/>
          <w:spacing w:val="-6"/>
          <w:sz w:val="32"/>
          <w:szCs w:val="32"/>
        </w:rPr>
        <w:t>等突发环境事件的应急处置及调查评估工作</w:t>
      </w:r>
      <w:r>
        <w:rPr>
          <w:rFonts w:hint="eastAsia" w:ascii="仿宋_GB2312" w:hAnsi="仿宋_GB2312" w:cs="仿宋_GB2312"/>
          <w:sz w:val="32"/>
          <w:szCs w:val="32"/>
        </w:rPr>
        <w:t>；及时通报生产安全事故、自然灾害可能引发的次生突发环境事件信息；依法指导、监督有关生产经营单位安全生产情况；在职责范围内指导、监督检查生产安全事故隐患排查治理工作；统筹协调应急救援物资和装备，会同市发展改革局做好基本生活物资储备工作；指导做好受灾群众安置和生活救助，以及因灾倒损民房恢复重建；组织指导救灾捐赠；推动应急避难设施建设。</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2</w:t>
      </w:r>
      <w:r>
        <w:rPr>
          <w:rFonts w:hint="eastAsia" w:cs="仿宋_GB2312"/>
          <w:sz w:val="32"/>
          <w:szCs w:val="32"/>
          <w:lang w:val="en-US" w:eastAsia="zh-CN"/>
        </w:rPr>
        <w:t>0</w:t>
      </w:r>
      <w:r>
        <w:rPr>
          <w:rFonts w:hint="eastAsia" w:ascii="仿宋_GB2312" w:hAnsi="仿宋_GB2312" w:cs="仿宋_GB2312"/>
          <w:sz w:val="32"/>
          <w:szCs w:val="32"/>
        </w:rPr>
        <w:t>）市市场监督管理局：负责做好应急处置中食品、药品和医疗器械质量监管，保障食品药械安全工作。依法监督检查特种设备安全法律法规执行情况，对特种设备实施安全监察；参与事件调查处理。</w:t>
      </w:r>
    </w:p>
    <w:p>
      <w:pPr>
        <w:adjustRightInd w:val="0"/>
        <w:snapToGrid w:val="0"/>
        <w:spacing w:beforeLines="0" w:afterLines="0" w:line="579" w:lineRule="exact"/>
        <w:ind w:firstLine="640"/>
        <w:rPr>
          <w:rFonts w:hint="eastAsia" w:ascii="仿宋_GB2312" w:hAnsi="仿宋_GB2312" w:cs="仿宋_GB2312"/>
          <w:color w:val="auto"/>
          <w:sz w:val="32"/>
          <w:szCs w:val="32"/>
        </w:rPr>
      </w:pPr>
      <w:r>
        <w:rPr>
          <w:rFonts w:hint="eastAsia" w:ascii="仿宋_GB2312" w:hAnsi="仿宋_GB2312" w:cs="仿宋_GB2312"/>
          <w:color w:val="auto"/>
          <w:sz w:val="32"/>
          <w:szCs w:val="32"/>
        </w:rPr>
        <w:t>（</w:t>
      </w:r>
      <w:r>
        <w:rPr>
          <w:rFonts w:hint="eastAsia" w:ascii="仿宋_GB2312" w:hAnsi="仿宋_GB2312" w:cs="仿宋_GB2312"/>
          <w:color w:val="auto"/>
          <w:sz w:val="32"/>
          <w:szCs w:val="32"/>
          <w:lang w:val="en-US" w:eastAsia="zh-CN"/>
        </w:rPr>
        <w:t>2</w:t>
      </w:r>
      <w:r>
        <w:rPr>
          <w:rFonts w:hint="eastAsia" w:cs="仿宋_GB2312"/>
          <w:color w:val="auto"/>
          <w:sz w:val="32"/>
          <w:szCs w:val="32"/>
          <w:lang w:val="en-US" w:eastAsia="zh-CN"/>
        </w:rPr>
        <w:t>1</w:t>
      </w:r>
      <w:r>
        <w:rPr>
          <w:rFonts w:hint="eastAsia" w:ascii="仿宋_GB2312" w:hAnsi="仿宋_GB2312" w:cs="仿宋_GB2312"/>
          <w:color w:val="auto"/>
          <w:sz w:val="32"/>
          <w:szCs w:val="32"/>
        </w:rPr>
        <w:t>）市城市管理综合执法局：参与由城镇燃气、环卫设施、建筑废弃物等引发的突发环境事件的调查和应急处置工作。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22）市海洋发展局：开展海洋灾害观测预报，开展海洋生态预警监测，开展海洋生态保护工作。按照规定权限参与海洋环境污染事故应急处置和调查处理。负责组织对突发环境事件造成的渔业资源破坏进行评估，配合做好因养殖污染引起的突发环境事件的调查和处置工作，配合开展相关生态修复。</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23</w:t>
      </w:r>
      <w:r>
        <w:rPr>
          <w:rFonts w:hint="eastAsia" w:ascii="仿宋_GB2312" w:hAnsi="仿宋_GB2312" w:cs="仿宋_GB2312"/>
          <w:sz w:val="32"/>
          <w:szCs w:val="32"/>
        </w:rPr>
        <w:t>）市消防救援支队：负责根据事故灭火救援发展态势，协助提出消防废水防控的意见建议，协助开展下游污染水体应急处置工作。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24</w:t>
      </w:r>
      <w:r>
        <w:rPr>
          <w:rFonts w:hint="eastAsia" w:ascii="仿宋_GB2312" w:hAnsi="仿宋_GB2312" w:cs="仿宋_GB2312"/>
          <w:sz w:val="32"/>
          <w:szCs w:val="32"/>
        </w:rPr>
        <w:t>）武警珠海支队：协助公安部门维护应急期间社会治安秩序，协助区（功能区）政府（管委会）转移、解救危险区域的群众。</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25</w:t>
      </w:r>
      <w:r>
        <w:rPr>
          <w:rFonts w:hint="eastAsia" w:ascii="仿宋_GB2312" w:hAnsi="仿宋_GB2312" w:cs="仿宋_GB2312"/>
          <w:sz w:val="32"/>
          <w:szCs w:val="32"/>
        </w:rPr>
        <w:t>）珠海海事局：负责辖区内船舶较大污染事故处置及调查处理的组织、指挥和协调工作；为突发环境事件开展水上环境监测等活动提供船舶、人员等方面支持。</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26</w:t>
      </w:r>
      <w:r>
        <w:rPr>
          <w:rFonts w:hint="eastAsia" w:ascii="仿宋_GB2312" w:hAnsi="仿宋_GB2312" w:cs="仿宋_GB2312"/>
          <w:sz w:val="32"/>
          <w:szCs w:val="32"/>
        </w:rPr>
        <w:t>）珠海</w:t>
      </w:r>
      <w:r>
        <w:rPr>
          <w:rFonts w:hint="eastAsia" w:ascii="仿宋_GB2312" w:hAnsi="仿宋_GB2312" w:cs="仿宋_GB2312"/>
          <w:sz w:val="32"/>
          <w:szCs w:val="32"/>
          <w:lang w:eastAsia="zh-CN"/>
        </w:rPr>
        <w:t>金融</w:t>
      </w:r>
      <w:r>
        <w:rPr>
          <w:rFonts w:hint="eastAsia" w:ascii="仿宋_GB2312" w:hAnsi="仿宋_GB2312" w:cs="仿宋_GB2312"/>
          <w:sz w:val="32"/>
          <w:szCs w:val="32"/>
        </w:rPr>
        <w:t>监管分局：负责鼓励保险公司开展产品和服务创新，为处置突发环境事件提供保险服务；鼓励社会公众参与商业保险和参加互助保险，建立风险分担机制；依法监督保险公司提高与事件相关的理赔效率。</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27</w:t>
      </w:r>
      <w:r>
        <w:rPr>
          <w:rFonts w:hint="eastAsia" w:ascii="仿宋_GB2312" w:hAnsi="仿宋_GB2312" w:cs="仿宋_GB2312"/>
          <w:sz w:val="32"/>
          <w:szCs w:val="32"/>
        </w:rPr>
        <w:t>）市气象局：负责提供有关的气象监测预报服务；必要时，对突发环境事件区域进行加密气象监测，提供现场气象预报信息。</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24" w:name="_Toc154672813"/>
      <w:bookmarkStart w:id="25" w:name="_Toc1515199246"/>
      <w:bookmarkStart w:id="26" w:name="_Toc20150136"/>
      <w:r>
        <w:rPr>
          <w:rFonts w:hint="eastAsia" w:ascii="楷体_GB2312" w:hAnsi="楷体_GB2312" w:cs="楷体_GB2312"/>
          <w:sz w:val="32"/>
        </w:rPr>
        <w:t>2.2 市应急指挥部办公室</w:t>
      </w:r>
      <w:bookmarkEnd w:id="24"/>
      <w:bookmarkEnd w:id="25"/>
      <w:bookmarkEnd w:id="26"/>
    </w:p>
    <w:p>
      <w:pPr>
        <w:adjustRightInd w:val="0"/>
        <w:snapToGrid w:val="0"/>
        <w:spacing w:beforeLines="0" w:afterLines="0" w:line="579" w:lineRule="exact"/>
        <w:ind w:firstLine="640"/>
        <w:rPr>
          <w:rFonts w:ascii="Times New Roman" w:hAnsi="Times New Roman" w:cs="Times New Roman"/>
          <w:sz w:val="32"/>
          <w:szCs w:val="32"/>
        </w:rPr>
      </w:pPr>
      <w:r>
        <w:rPr>
          <w:rFonts w:hint="eastAsia" w:ascii="Times New Roman" w:hAnsi="Times New Roman" w:cs="Times New Roman"/>
          <w:sz w:val="32"/>
          <w:szCs w:val="32"/>
        </w:rPr>
        <w:t>市应急指挥部办公室设在市生态环境局，办公室主任由市生态环境局局长兼任</w:t>
      </w:r>
      <w:r>
        <w:rPr>
          <w:rFonts w:ascii="Times New Roman" w:hAnsi="Times New Roman" w:cs="Times New Roman"/>
          <w:sz w:val="32"/>
          <w:szCs w:val="32"/>
        </w:rPr>
        <w:t>。市应急指挥部办公室主要职责为：</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（1）贯彻落实市应急指挥部决定和部署，协调市应急指挥部成员单位参与应急处置工作。汇总、上报重要信息、应急处置情况；</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（2）根据市应急指挥部的决定，组织实施启动、变更或终止突发环境事件应急响应；</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（3）组织</w:t>
      </w:r>
      <w:r>
        <w:rPr>
          <w:rFonts w:hint="eastAsia" w:ascii="仿宋_GB2312" w:hAnsi="仿宋_GB2312" w:cs="仿宋_GB2312"/>
          <w:spacing w:val="6"/>
          <w:sz w:val="32"/>
          <w:szCs w:val="32"/>
        </w:rPr>
        <w:t>、协调开展突发环境事件风险隐患排查、整改工作；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（4）配合有关部门承担突发环境事件信息发布工作；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（5）建立和完善环境应急预警机制，参与协调修订市突发环境事件应急预案，参与市各相关部门制定、修订与突发环境事件相关的应急预案；</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（6）组织协调突发环境事件的环境应急演练、人员培训和宣传教育；</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（7）组织各成员单位对事件级别、危害程度及范围进行分析研判，及时向市应急指挥部汇报；</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（8）办理市应急指挥部交办的其他任务。</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27" w:name="_Toc465669119"/>
      <w:bookmarkStart w:id="28" w:name="_Toc228019594"/>
      <w:bookmarkStart w:id="29" w:name="_Toc154672814"/>
      <w:bookmarkStart w:id="30" w:name="_Toc20150137"/>
      <w:r>
        <w:rPr>
          <w:rFonts w:hint="eastAsia" w:ascii="楷体_GB2312" w:hAnsi="楷体_GB2312" w:cs="楷体_GB2312"/>
          <w:sz w:val="32"/>
        </w:rPr>
        <w:t>2.3 市现场指挥部</w:t>
      </w:r>
      <w:bookmarkEnd w:id="27"/>
      <w:bookmarkEnd w:id="28"/>
      <w:bookmarkEnd w:id="29"/>
      <w:bookmarkEnd w:id="30"/>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较大突发环境事件发生后，市应急指挥部应当设立市现场指挥部，统一组织协调指挥突发环境事件现场应急处置工作。市现场指挥部由市应急指挥</w:t>
      </w:r>
      <w:r>
        <w:rPr>
          <w:rFonts w:hint="eastAsia" w:ascii="仿宋_GB2312" w:hAnsi="仿宋_GB2312" w:cs="仿宋_GB2312"/>
          <w:sz w:val="32"/>
          <w:szCs w:val="32"/>
        </w:rPr>
        <w:t>部根据《广东省突发事件现场指挥官工作规范（试行）》设现场指挥官1名，负责我市较大突发环境事件的现场应急指挥。当发生重大及以上突发环境事件时，市现场指挥部在实施较大突发环</w:t>
      </w:r>
      <w:r>
        <w:rPr>
          <w:rFonts w:ascii="Times New Roman" w:hAnsi="Times New Roman" w:cs="Times New Roman"/>
          <w:sz w:val="32"/>
          <w:szCs w:val="32"/>
        </w:rPr>
        <w:t>境事件应急处置的基础上，向省政府请求支援。省政府已成立环境应急指挥部的，市现场指挥部负责配合省政府成立的省应急指挥部开展突发环境事件应对工作。市现场指挥部主要职责：</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（1）提出现场应急行动方案和应急处置措施；</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（2）组织市应急指挥部相关单位成员参与应急处置工作；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（3）协调各部门、各专业应急力量实施应急支援行动；</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（4）开展受威胁周边地区危险源的监控工作；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（5）划定建立现场警戒区和交通管制区域，确定重点防护区域；</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（6）根据应急监测结果，确定被转移、疏散群众返回时间；</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（7）及时向市应急指挥部报告应急行动的进展情况。</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31" w:name="_Toc154672815"/>
      <w:bookmarkStart w:id="32" w:name="_Toc1752307977"/>
      <w:bookmarkStart w:id="33" w:name="_Toc20150138"/>
      <w:r>
        <w:rPr>
          <w:rFonts w:hint="eastAsia" w:ascii="楷体_GB2312" w:hAnsi="楷体_GB2312" w:cs="楷体_GB2312"/>
          <w:sz w:val="32"/>
        </w:rPr>
        <w:t>2.4 现场工作组</w:t>
      </w:r>
      <w:bookmarkEnd w:id="31"/>
      <w:bookmarkEnd w:id="32"/>
      <w:bookmarkEnd w:id="33"/>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市现场指挥部可根据需要设立现场工作组，现场工作组通常分为综合协调组、污染处置组、专家咨询组、应急监测组、医学救援组、新闻宣传组、社会稳定组。现场工作组组成、职责可根据工作需要作适当调整，各现场工作组组长由牵头单位负责人担任或市现场指挥部指定专人担任，具体为：</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（1）综合协调组</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组成：由市应急管理局牵头，</w:t>
      </w:r>
      <w:r>
        <w:rPr>
          <w:rFonts w:hint="eastAsia" w:ascii="仿宋_GB2312" w:hAnsi="仿宋_GB2312" w:cs="仿宋_GB2312"/>
          <w:b w:val="0"/>
          <w:bCs/>
          <w:sz w:val="32"/>
          <w:szCs w:val="32"/>
          <w:lang w:eastAsia="zh-CN"/>
        </w:rPr>
        <w:t>市发展改革局</w:t>
      </w:r>
      <w:r>
        <w:rPr>
          <w:rFonts w:hint="eastAsia" w:ascii="仿宋_GB2312" w:hAnsi="仿宋_GB2312" w:cs="仿宋_GB2312"/>
          <w:b w:val="0"/>
          <w:bCs/>
          <w:sz w:val="32"/>
          <w:szCs w:val="32"/>
        </w:rPr>
        <w:t>、市工业和信息化局、市公安局、市民政局、市财政局、市生态环境局、市交通运输局、市水务局、市商务局、事发地区（功能区）政府（管委会）等参加。</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职责：负责协调各部门开展应急处置，协调有关方面派出应急队伍，做好应急救援物资及临时安置重要物资的紧急生产、储备调拨和紧急配送工作；及时组织调运重要生活必需品，保障群众基本生活和市场供应。</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（2）污染处置组</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组成：由市生态环境局牵头，市委政法委、事发地区（功能区）政府（管委会）</w:t>
      </w:r>
      <w:r>
        <w:rPr>
          <w:rFonts w:hint="eastAsia" w:ascii="仿宋_GB2312" w:hAnsi="仿宋_GB2312" w:cs="仿宋_GB2312"/>
          <w:b w:val="0"/>
          <w:bCs/>
          <w:sz w:val="32"/>
          <w:szCs w:val="32"/>
          <w:lang w:val="en"/>
        </w:rPr>
        <w:t>、</w:t>
      </w:r>
      <w:r>
        <w:rPr>
          <w:rFonts w:hint="eastAsia" w:ascii="仿宋_GB2312" w:hAnsi="仿宋_GB2312" w:cs="仿宋_GB2312"/>
          <w:b w:val="0"/>
          <w:bCs/>
          <w:sz w:val="32"/>
          <w:szCs w:val="32"/>
        </w:rPr>
        <w:t>市公安局、市自然资源局、市交通运输局、市水务局、市农业农村局、市应急管理局、市城市管理综合执法局、市海洋发展局、市消防救援支队、武警珠海支队、珠海海事局等参加。</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职责：负责收集汇总相关数据，组织进行技术研判，开展事态分析；迅速组织切断污染源，分析污染途径，明确防止污染物扩散的程序；组织采取有效措施，</w:t>
      </w:r>
      <w:r>
        <w:rPr>
          <w:rFonts w:hint="eastAsia" w:ascii="仿宋_GB2312" w:hAnsi="仿宋_GB2312" w:cs="仿宋_GB2312"/>
          <w:b w:val="0"/>
          <w:bCs/>
          <w:spacing w:val="6"/>
          <w:sz w:val="32"/>
          <w:szCs w:val="32"/>
        </w:rPr>
        <w:t>消除或减轻已经造成的污染</w:t>
      </w:r>
      <w:r>
        <w:rPr>
          <w:rFonts w:hint="eastAsia" w:ascii="仿宋_GB2312" w:hAnsi="仿宋_GB2312" w:cs="仿宋_GB2312"/>
          <w:b w:val="0"/>
          <w:bCs/>
          <w:sz w:val="32"/>
          <w:szCs w:val="32"/>
        </w:rPr>
        <w:t>；组织建立现场警戒区和交通管制区域，确定重点防护区域，确定受威胁人员疏散方式和途径，疏散转移受威胁人员至安全紧急避险场所。</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（3）专家咨询组</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组成：由市生态环境局牵头，组织水污染防治、大气污染防治、生态破坏与土壤污染防治、海洋和船舶污染防治、化学品和危废处理、卫生和饮用水安全、农业安全、渔业安全、重金属污染防治、环境工程、环境地质、环境评估和损害鉴定、环境监测、遥感和地理信息系统等领域专家参与，专家咨询组原则上优先选取省、市环境应急专家库的专家。</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主要职责：负责分析环境污染事故性质和类别、研判环境污染事故发展趋势及其对人群健康或环境的影响；确定环境污染事故级别；研究、评估污染处置、人员撤离等工作方案；对生态修复和恢复重建等提出建议。</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（4）应急监测组</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组成：由市生态环境局牵头，事发地区（功能区）政府（管委会）</w:t>
      </w:r>
      <w:r>
        <w:rPr>
          <w:rFonts w:hint="eastAsia" w:ascii="仿宋_GB2312" w:hAnsi="仿宋_GB2312" w:cs="仿宋_GB2312"/>
          <w:b w:val="0"/>
          <w:bCs/>
          <w:sz w:val="32"/>
          <w:szCs w:val="32"/>
          <w:lang w:val="en"/>
        </w:rPr>
        <w:t>、市自然资源局、市应急管理局、</w:t>
      </w:r>
      <w:r>
        <w:rPr>
          <w:rFonts w:hint="eastAsia" w:ascii="仿宋_GB2312" w:hAnsi="仿宋_GB2312" w:cs="仿宋_GB2312"/>
          <w:b w:val="0"/>
          <w:bCs/>
          <w:sz w:val="32"/>
          <w:szCs w:val="32"/>
        </w:rPr>
        <w:t>市水务局、市农业农村局、武警珠海支队、珠海海事局、市气象局等参加。</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职责：负责根据突发环境事件污染物种类、性质以及当地气象、自然、社会环境状况等，明确相应的应急监测方案和方法；确定污染物扩散范围，明确监测布点和频次，做好大气、水体、土壤等应急监测，为突发环境事件应急提供决策依据。</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（5）医学救援组</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组成：由市卫生健康局牵头，事发地区（功能区）政府（管委会）</w:t>
      </w:r>
      <w:r>
        <w:rPr>
          <w:rFonts w:hint="eastAsia" w:ascii="仿宋_GB2312" w:hAnsi="仿宋_GB2312" w:cs="仿宋_GB2312"/>
          <w:b w:val="0"/>
          <w:bCs/>
          <w:sz w:val="32"/>
          <w:szCs w:val="32"/>
          <w:lang w:val="en"/>
        </w:rPr>
        <w:t>、</w:t>
      </w:r>
      <w:r>
        <w:rPr>
          <w:rFonts w:hint="eastAsia" w:ascii="仿宋_GB2312" w:hAnsi="仿宋_GB2312" w:cs="仿宋_GB2312"/>
          <w:b w:val="0"/>
          <w:bCs/>
          <w:sz w:val="32"/>
          <w:szCs w:val="32"/>
        </w:rPr>
        <w:t>市生态环境局、市市场监督管理局等参加。</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职责：明确不同情况下</w:t>
      </w:r>
      <w:r>
        <w:rPr>
          <w:rFonts w:hint="eastAsia" w:ascii="仿宋_GB2312" w:hAnsi="仿宋_GB2312" w:cs="仿宋_GB2312"/>
          <w:b w:val="0"/>
          <w:bCs/>
          <w:spacing w:val="-6"/>
          <w:sz w:val="32"/>
          <w:szCs w:val="32"/>
        </w:rPr>
        <w:t>现场处置人员须采取的个人防护措施</w:t>
      </w:r>
      <w:r>
        <w:rPr>
          <w:rFonts w:hint="eastAsia" w:ascii="仿宋_GB2312" w:hAnsi="仿宋_GB2312" w:cs="仿宋_GB2312"/>
          <w:b w:val="0"/>
          <w:bCs/>
          <w:sz w:val="32"/>
          <w:szCs w:val="32"/>
        </w:rPr>
        <w:t>；负责组织开展伤病员医疗救治、应急心理援助；指导和协助开展受污染人员的去污洗消工作；提出保护公众健康的措施建议。</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（6）新闻宣传组</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组成：由市委宣传部牵头，市委网信办、事发地区（功能区）政府（管委会）</w:t>
      </w:r>
      <w:r>
        <w:rPr>
          <w:rFonts w:hint="eastAsia" w:ascii="仿宋_GB2312" w:hAnsi="仿宋_GB2312" w:cs="仿宋_GB2312"/>
          <w:b w:val="0"/>
          <w:bCs/>
          <w:sz w:val="32"/>
          <w:szCs w:val="32"/>
          <w:lang w:val="en"/>
        </w:rPr>
        <w:t>、</w:t>
      </w:r>
      <w:r>
        <w:rPr>
          <w:rFonts w:hint="eastAsia" w:ascii="仿宋_GB2312" w:hAnsi="仿宋_GB2312" w:cs="仿宋_GB2312"/>
          <w:b w:val="0"/>
          <w:bCs/>
          <w:sz w:val="32"/>
          <w:szCs w:val="32"/>
        </w:rPr>
        <w:t>市生态环境局、市应急管理局、市文化广电旅游体育局等参加。</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主要职责：负责组织开展事件进展、应急工作情况等权威信息发布，加强新闻宣传报道；收集分析我市舆情和社会公众动态，加强媒体和互联网管理，正确引导舆论；通过多种方式做好相关知识普及；及时澄清不实信息，回应社会关切。</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（7）社会稳定组</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组成：由市公安局牵头，市委网信办、事发地区（功能区）政府（管委会）</w:t>
      </w:r>
      <w:r>
        <w:rPr>
          <w:rFonts w:hint="eastAsia" w:ascii="仿宋_GB2312" w:hAnsi="仿宋_GB2312" w:cs="仿宋_GB2312"/>
          <w:b w:val="0"/>
          <w:bCs/>
          <w:sz w:val="32"/>
          <w:szCs w:val="32"/>
          <w:lang w:val="en"/>
        </w:rPr>
        <w:t>、</w:t>
      </w:r>
      <w:r>
        <w:rPr>
          <w:rFonts w:hint="eastAsia" w:ascii="仿宋_GB2312" w:hAnsi="仿宋_GB2312" w:cs="仿宋_GB2312"/>
          <w:b w:val="0"/>
          <w:bCs/>
          <w:sz w:val="32"/>
          <w:szCs w:val="32"/>
          <w:lang w:eastAsia="zh-CN"/>
        </w:rPr>
        <w:t>市发展改革局</w:t>
      </w:r>
      <w:r>
        <w:rPr>
          <w:rFonts w:hint="eastAsia" w:ascii="仿宋_GB2312" w:hAnsi="仿宋_GB2312" w:cs="仿宋_GB2312"/>
          <w:b w:val="0"/>
          <w:bCs/>
          <w:sz w:val="32"/>
          <w:szCs w:val="32"/>
        </w:rPr>
        <w:t>、市司法局、市生态环境局、市商务局、市应急管理局、市市场监督管理局等参加。</w:t>
      </w:r>
    </w:p>
    <w:p>
      <w:pPr>
        <w:adjustRightInd w:val="0"/>
        <w:snapToGrid w:val="0"/>
        <w:spacing w:beforeLines="0" w:afterLines="0" w:line="579" w:lineRule="exact"/>
        <w:ind w:firstLine="640"/>
        <w:rPr>
          <w:rFonts w:hint="eastAsia" w:ascii="仿宋_GB2312" w:hAnsi="仿宋_GB2312" w:cs="仿宋_GB2312"/>
          <w:b w:val="0"/>
          <w:bCs/>
          <w:sz w:val="32"/>
          <w:szCs w:val="32"/>
        </w:rPr>
      </w:pPr>
      <w:r>
        <w:rPr>
          <w:rFonts w:hint="eastAsia" w:ascii="仿宋_GB2312" w:hAnsi="仿宋_GB2312" w:cs="仿宋_GB2312"/>
          <w:b w:val="0"/>
          <w:bCs/>
          <w:sz w:val="32"/>
          <w:szCs w:val="32"/>
        </w:rPr>
        <w:t>主要职责：负责加强受影响地区社会治安管理，严厉打击借机传播谣言制造社会恐慌、哄抢物资等违法犯罪行为；指导做好事件影响区域有关人员的紧急转移和临时安置工作；加强转移人员安置点、救灾物资存放点等重点地区治安管控；做好受影响人员与涉事单位、各级人民政府及有关部门矛盾纠纷化解和法律服务工作，防止出现群体性事件，维护社会稳定；</w:t>
      </w:r>
      <w:r>
        <w:rPr>
          <w:rFonts w:hint="eastAsia" w:ascii="仿宋_GB2312" w:hAnsi="仿宋_GB2312" w:cs="仿宋_GB2312"/>
          <w:b w:val="0"/>
          <w:bCs/>
          <w:sz w:val="32"/>
          <w:szCs w:val="32"/>
          <w:lang w:eastAsia="zh-CN"/>
        </w:rPr>
        <w:t>市公安局配合职能部门</w:t>
      </w:r>
      <w:r>
        <w:rPr>
          <w:rFonts w:hint="eastAsia" w:ascii="仿宋_GB2312" w:hAnsi="仿宋_GB2312" w:cs="仿宋_GB2312"/>
          <w:b w:val="0"/>
          <w:bCs/>
          <w:sz w:val="32"/>
          <w:szCs w:val="32"/>
        </w:rPr>
        <w:t>加强对重要生活必需品等商品的市场监管和调控。</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34" w:name="_Toc1612554017"/>
      <w:bookmarkStart w:id="35" w:name="_Toc465669120"/>
      <w:bookmarkStart w:id="36" w:name="_Toc154672816"/>
      <w:bookmarkStart w:id="37" w:name="_Toc20150139"/>
      <w:r>
        <w:rPr>
          <w:rFonts w:hint="eastAsia" w:ascii="楷体_GB2312" w:hAnsi="楷体_GB2312" w:cs="楷体_GB2312"/>
          <w:sz w:val="32"/>
        </w:rPr>
        <w:t>2.5 各区（功能区）政府（管委会）应急指挥机构</w:t>
      </w:r>
      <w:bookmarkEnd w:id="34"/>
      <w:bookmarkEnd w:id="35"/>
      <w:bookmarkEnd w:id="36"/>
      <w:bookmarkEnd w:id="37"/>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各区（功能区）政府（管委会）参照本预案，设立突发环境事件应急指挥部，负责本级行政区域突发环境事件防范应对和组织协调指挥等工作。初判发生一般突发环境事件，由区（功能区）政府（管委会）负责应对，</w:t>
      </w:r>
      <w:r>
        <w:rPr>
          <w:rFonts w:hint="eastAsia" w:ascii="Times New Roman" w:hAnsi="Times New Roman" w:cs="Times New Roman"/>
          <w:sz w:val="32"/>
          <w:szCs w:val="32"/>
        </w:rPr>
        <w:t>必要时，</w:t>
      </w:r>
      <w:r>
        <w:rPr>
          <w:rFonts w:ascii="Times New Roman" w:hAnsi="Times New Roman" w:cs="Times New Roman"/>
          <w:sz w:val="32"/>
          <w:szCs w:val="32"/>
        </w:rPr>
        <w:t>市政府可设立现场指挥部。</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各区（功能区）政府（管委会）应建立健全相应的应急指挥机构，及时启动应急响应，组织做好应对工作。鼓励相邻、相近的区（功能区）政府（管委会）及其有关部门联合制定应对区域性、流域性突发环境事件的联合应急预案。</w:t>
      </w:r>
    </w:p>
    <w:p>
      <w:pPr>
        <w:pStyle w:val="3"/>
        <w:keepNext w:val="0"/>
        <w:keepLines w:val="0"/>
        <w:adjustRightInd w:val="0"/>
        <w:snapToGrid w:val="0"/>
        <w:spacing w:beforeLines="0" w:afterLines="0" w:line="579" w:lineRule="exact"/>
        <w:ind w:firstLine="640" w:firstLineChars="200"/>
        <w:jc w:val="both"/>
        <w:outlineLvl w:val="1"/>
        <w:rPr>
          <w:rFonts w:hint="eastAsia" w:ascii="楷体_GB2312" w:hAnsi="楷体_GB2312" w:eastAsia="楷体_GB2312" w:cs="楷体_GB2312"/>
          <w:b w:val="0"/>
          <w:bCs/>
          <w:sz w:val="32"/>
          <w:szCs w:val="32"/>
        </w:rPr>
      </w:pPr>
      <w:bookmarkStart w:id="38" w:name="_Toc7855"/>
      <w:bookmarkStart w:id="39" w:name="_Toc154672817"/>
      <w:bookmarkStart w:id="40" w:name="_Toc1779320479"/>
      <w:r>
        <w:rPr>
          <w:rFonts w:hint="eastAsia" w:ascii="楷体_GB2312" w:hAnsi="楷体_GB2312" w:eastAsia="楷体_GB2312" w:cs="楷体_GB2312"/>
          <w:b w:val="0"/>
          <w:bCs/>
          <w:sz w:val="32"/>
          <w:szCs w:val="32"/>
        </w:rPr>
        <w:t>2.6 跨行政区域应急指挥机构</w:t>
      </w:r>
      <w:bookmarkEnd w:id="38"/>
      <w:bookmarkEnd w:id="39"/>
      <w:bookmarkEnd w:id="40"/>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跨地市级以上行政区域（如中山市、江门市等）的突发环境事件的应对工作，由有关行政区域地市政府建立应急联动机制、共同负责，或由省政府负责。跨省级行政区域（如澳门特别行政区）突发环境事件的应对工作，由省政府与澳门特别行政区建立应急联动机制、共同负责。对需要省级协调的跨地市行政区域突发环境事件，由市政府向省政府提出请求，或由市生态环境局向省生态环境厅提出请求。</w:t>
      </w:r>
    </w:p>
    <w:p>
      <w:pPr>
        <w:pStyle w:val="2"/>
        <w:keepNext w:val="0"/>
        <w:keepLines w:val="0"/>
        <w:adjustRightInd w:val="0"/>
        <w:snapToGrid w:val="0"/>
        <w:spacing w:beforeLines="0" w:afterLines="0" w:line="579" w:lineRule="exact"/>
        <w:ind w:firstLine="640" w:firstLineChars="200"/>
        <w:rPr>
          <w:rFonts w:hint="eastAsia" w:ascii="黑体" w:hAnsi="黑体" w:cs="黑体"/>
          <w:sz w:val="32"/>
          <w:szCs w:val="32"/>
        </w:rPr>
      </w:pPr>
      <w:bookmarkStart w:id="41" w:name="_Toc1953685401"/>
      <w:bookmarkStart w:id="42" w:name="_Toc154672818"/>
      <w:r>
        <w:rPr>
          <w:rFonts w:hint="eastAsia" w:ascii="黑体" w:hAnsi="黑体" w:cs="黑体"/>
          <w:sz w:val="32"/>
          <w:szCs w:val="32"/>
        </w:rPr>
        <w:t>3 运行机制</w:t>
      </w:r>
      <w:bookmarkEnd w:id="41"/>
      <w:bookmarkEnd w:id="42"/>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43" w:name="_Toc154672819"/>
      <w:bookmarkStart w:id="44" w:name="_Toc2115453492"/>
      <w:r>
        <w:rPr>
          <w:rFonts w:hint="eastAsia" w:ascii="楷体_GB2312" w:hAnsi="楷体_GB2312" w:cs="楷体_GB2312"/>
          <w:sz w:val="32"/>
        </w:rPr>
        <w:t>3.1 风险防控</w:t>
      </w:r>
      <w:bookmarkEnd w:id="43"/>
      <w:bookmarkEnd w:id="44"/>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各区（功能区）政府（管委会）要健全环境风险防范化解机制，提升环境风险早期识别能力，指导企事业单位开展突发环境事件风险评估，研究制定环境风险分类分级标准和管理办法，对不同类别的环境风险实行差异化监督管理。</w:t>
      </w:r>
    </w:p>
    <w:p>
      <w:pPr>
        <w:adjustRightInd w:val="0"/>
        <w:snapToGrid w:val="0"/>
        <w:spacing w:beforeLines="0" w:afterLines="0" w:line="579" w:lineRule="exact"/>
        <w:ind w:firstLine="640"/>
        <w:rPr>
          <w:rFonts w:hint="eastAsia" w:ascii="Times New Roman" w:hAnsi="Times New Roman" w:eastAsia="仿宋_GB2312" w:cs="Times New Roman"/>
          <w:sz w:val="32"/>
          <w:szCs w:val="32"/>
          <w:lang w:eastAsia="zh-CN"/>
        </w:rPr>
      </w:pPr>
      <w:r>
        <w:rPr>
          <w:rFonts w:ascii="Times New Roman" w:hAnsi="Times New Roman" w:cs="Times New Roman"/>
          <w:sz w:val="32"/>
          <w:szCs w:val="32"/>
        </w:rPr>
        <w:t>有关部门要加强与相关各方的沟通，及时发现和处置各类环境风险隐患，落实环境风险管控和隐患治理措施；对重大环境风险点和危险源，督促制定防控措施和应急预案，同时做好应急准备工作</w:t>
      </w:r>
      <w:r>
        <w:rPr>
          <w:rFonts w:hint="eastAsia" w:ascii="Times New Roman" w:hAnsi="Times New Roman" w:cs="Times New Roman"/>
          <w:sz w:val="32"/>
          <w:szCs w:val="32"/>
          <w:lang w:eastAsia="zh-CN"/>
        </w:rPr>
        <w:t>。</w:t>
      </w:r>
    </w:p>
    <w:p>
      <w:pPr>
        <w:adjustRightInd w:val="0"/>
        <w:snapToGrid w:val="0"/>
        <w:spacing w:beforeLines="0" w:afterLines="0" w:line="579" w:lineRule="exact"/>
        <w:ind w:firstLine="640"/>
        <w:rPr>
          <w:rFonts w:ascii="仿宋_GB2312" w:hAnsi="仿宋_GB2312" w:cstheme="minorBidi"/>
          <w:sz w:val="32"/>
          <w:szCs w:val="32"/>
        </w:rPr>
      </w:pPr>
      <w:r>
        <w:rPr>
          <w:rFonts w:hint="eastAsia" w:ascii="Times New Roman" w:hAnsi="Times New Roman" w:cs="Times New Roman"/>
          <w:sz w:val="32"/>
          <w:szCs w:val="32"/>
          <w:lang w:eastAsia="zh-CN"/>
        </w:rPr>
        <w:t>不断完善</w:t>
      </w:r>
      <w:r>
        <w:rPr>
          <w:rFonts w:hint="eastAsia" w:ascii="Times New Roman" w:hAnsi="Times New Roman" w:cs="Times New Roman"/>
          <w:sz w:val="32"/>
          <w:szCs w:val="32"/>
        </w:rPr>
        <w:t>与香港、澳门</w:t>
      </w:r>
      <w:r>
        <w:rPr>
          <w:rFonts w:hint="eastAsia" w:ascii="Times New Roman" w:hAnsi="Times New Roman" w:cs="Times New Roman"/>
          <w:sz w:val="32"/>
          <w:szCs w:val="32"/>
          <w:lang w:eastAsia="zh-CN"/>
        </w:rPr>
        <w:t>、横琴</w:t>
      </w:r>
      <w:r>
        <w:rPr>
          <w:rFonts w:hint="eastAsia" w:ascii="Times New Roman" w:hAnsi="Times New Roman" w:cs="Times New Roman"/>
          <w:sz w:val="32"/>
          <w:szCs w:val="32"/>
        </w:rPr>
        <w:t>及相邻地市区域应急联动机制，深化信息共享、应急救援等方面的合作，提高区域应急管理能力</w:t>
      </w:r>
      <w:r>
        <w:rPr>
          <w:rFonts w:ascii="Times New Roman" w:hAnsi="Times New Roman" w:cs="Times New Roman"/>
          <w:sz w:val="32"/>
          <w:szCs w:val="32"/>
        </w:rPr>
        <w:t>。</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45" w:name="_Toc1319274787"/>
      <w:bookmarkStart w:id="46" w:name="_Toc154672820"/>
      <w:r>
        <w:rPr>
          <w:rFonts w:hint="eastAsia" w:ascii="楷体_GB2312" w:hAnsi="楷体_GB2312" w:cs="楷体_GB2312"/>
          <w:sz w:val="32"/>
        </w:rPr>
        <w:t>3.2 信息监测</w:t>
      </w:r>
      <w:bookmarkEnd w:id="45"/>
      <w:bookmarkEnd w:id="46"/>
    </w:p>
    <w:p>
      <w:pPr>
        <w:adjustRightInd w:val="0"/>
        <w:snapToGrid w:val="0"/>
        <w:spacing w:beforeLines="0" w:afterLines="0" w:line="579" w:lineRule="exact"/>
        <w:ind w:firstLine="640" w:firstLineChars="200"/>
        <w:rPr>
          <w:rFonts w:ascii="Times New Roman" w:hAnsi="Times New Roman" w:cs="Times New Roman"/>
          <w:sz w:val="32"/>
          <w:szCs w:val="32"/>
        </w:rPr>
      </w:pPr>
      <w:r>
        <w:rPr>
          <w:rFonts w:ascii="Times New Roman" w:hAnsi="Times New Roman" w:cs="Times New Roman"/>
          <w:sz w:val="32"/>
          <w:szCs w:val="32"/>
        </w:rPr>
        <w:t>市应急指挥部有关成员单位要加强对环境污染信息、自然灾害信息、相关监测数据等开展综合分析、预警预防、风险评估和整理传报工作。市生态环境局负责可能导致突发环境事件的信息收集和研判，做好环境污染事件的信息接收、报告、处理、统计分析等工作，对较大及以上突发环境事件的预警信息，核实后应按规定及时上报。</w:t>
      </w:r>
    </w:p>
    <w:p>
      <w:pPr>
        <w:adjustRightInd w:val="0"/>
        <w:snapToGrid w:val="0"/>
        <w:spacing w:beforeLines="0" w:afterLines="0" w:line="579" w:lineRule="exact"/>
        <w:ind w:firstLine="640" w:firstLineChars="200"/>
        <w:rPr>
          <w:rFonts w:ascii="Times New Roman" w:hAnsi="Times New Roman" w:cs="Times New Roman"/>
          <w:b w:val="0"/>
          <w:bCs w:val="0"/>
          <w:sz w:val="32"/>
          <w:szCs w:val="32"/>
        </w:rPr>
      </w:pPr>
      <w:r>
        <w:rPr>
          <w:rFonts w:ascii="Times New Roman" w:hAnsi="Times New Roman" w:cs="Times New Roman"/>
          <w:b w:val="0"/>
          <w:bCs w:val="0"/>
          <w:sz w:val="32"/>
          <w:szCs w:val="32"/>
        </w:rPr>
        <w:t>各级生态环境部门要加强日常环境质量监测和企业污染排放环境执法，并通过互联网信息监测、环境污染举报热线等多种渠道，加强对可能导致突发环境事件的风险信息收集，及时掌握突发环境事件发生情况并开展分析研判。公安、</w:t>
      </w:r>
      <w:r>
        <w:rPr>
          <w:rFonts w:hint="eastAsia" w:ascii="Times New Roman" w:hAnsi="Times New Roman" w:cs="Times New Roman"/>
          <w:b w:val="0"/>
          <w:bCs w:val="0"/>
          <w:sz w:val="32"/>
          <w:szCs w:val="32"/>
        </w:rPr>
        <w:t>自然资源、</w:t>
      </w:r>
      <w:r>
        <w:rPr>
          <w:rFonts w:ascii="Times New Roman" w:hAnsi="Times New Roman" w:cs="Times New Roman"/>
          <w:b w:val="0"/>
          <w:bCs w:val="0"/>
          <w:sz w:val="32"/>
          <w:szCs w:val="32"/>
        </w:rPr>
        <w:t>交通运输、水务、农业农村、卫生健康、应急管理、消防救援、海事、气象等有关部门按照职责分工，负责相关突发环境事件信息处理及监控，及时将可能导致突发环境事件的信息通报同级生态环境部门。</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47" w:name="_Toc20150143"/>
      <w:bookmarkStart w:id="48" w:name="_Toc154672821"/>
      <w:bookmarkStart w:id="49" w:name="_Toc1915871840"/>
      <w:r>
        <w:rPr>
          <w:rFonts w:hint="eastAsia" w:ascii="楷体_GB2312" w:hAnsi="楷体_GB2312" w:cs="楷体_GB2312"/>
          <w:sz w:val="32"/>
        </w:rPr>
        <w:t>3.3 预警</w:t>
      </w:r>
      <w:bookmarkEnd w:id="47"/>
      <w:r>
        <w:rPr>
          <w:rFonts w:hint="eastAsia" w:ascii="楷体_GB2312" w:hAnsi="楷体_GB2312" w:cs="楷体_GB2312"/>
          <w:sz w:val="32"/>
        </w:rPr>
        <w:t>机制</w:t>
      </w:r>
      <w:bookmarkEnd w:id="48"/>
      <w:bookmarkEnd w:id="49"/>
    </w:p>
    <w:p>
      <w:pPr>
        <w:pStyle w:val="4"/>
        <w:keepNext w:val="0"/>
        <w:keepLines w:val="0"/>
        <w:adjustRightInd w:val="0"/>
        <w:snapToGrid w:val="0"/>
        <w:spacing w:beforeLines="0" w:afterLines="0" w:line="579" w:lineRule="exact"/>
        <w:ind w:firstLine="640" w:firstLineChars="200"/>
        <w:rPr>
          <w:rFonts w:hint="eastAsia" w:ascii="仿宋_GB2312" w:hAnsi="仿宋_GB2312" w:cs="仿宋_GB2312"/>
          <w:b w:val="0"/>
          <w:bCs w:val="0"/>
          <w:sz w:val="32"/>
        </w:rPr>
      </w:pPr>
      <w:bookmarkStart w:id="50" w:name="_Toc154672822"/>
      <w:bookmarkStart w:id="51" w:name="_Toc1729190339"/>
      <w:bookmarkStart w:id="52" w:name="_Toc20150144"/>
      <w:r>
        <w:rPr>
          <w:rFonts w:hint="eastAsia" w:ascii="仿宋_GB2312" w:hAnsi="仿宋_GB2312" w:cs="仿宋_GB2312"/>
          <w:b w:val="0"/>
          <w:bCs w:val="0"/>
          <w:sz w:val="32"/>
        </w:rPr>
        <w:t>3.3.1 预警分级</w:t>
      </w:r>
      <w:bookmarkEnd w:id="50"/>
      <w:bookmarkEnd w:id="51"/>
      <w:bookmarkEnd w:id="52"/>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按照突发环境事件发生的可能性大小、紧急程度、发展态势和可能造成的社会危害程度，将突发环境事件预警级别由低到高分为四级，颜色依次为蓝色、黄色、橙色、红色。预计可能发生或引发特别重大突发环境事件时，发布红色预警；可能发生重大突发环境事件时，发布橙色预警；可能发生较大突发环境事件时，发布黄色预警；可能发生一般突发环境事件时，发布蓝色预警。</w:t>
      </w:r>
    </w:p>
    <w:p>
      <w:pPr>
        <w:pStyle w:val="4"/>
        <w:keepNext w:val="0"/>
        <w:keepLines w:val="0"/>
        <w:adjustRightInd w:val="0"/>
        <w:snapToGrid w:val="0"/>
        <w:spacing w:beforeLines="0" w:afterLines="0" w:line="579" w:lineRule="exact"/>
        <w:ind w:firstLine="640" w:firstLineChars="200"/>
        <w:rPr>
          <w:rFonts w:hint="eastAsia" w:ascii="仿宋_GB2312" w:hAnsi="仿宋_GB2312" w:cs="仿宋_GB2312"/>
          <w:b w:val="0"/>
          <w:bCs w:val="0"/>
          <w:sz w:val="32"/>
        </w:rPr>
      </w:pPr>
      <w:bookmarkStart w:id="53" w:name="_Toc789390204"/>
      <w:bookmarkStart w:id="54" w:name="_Toc20150145"/>
      <w:bookmarkStart w:id="55" w:name="_Toc154672823"/>
      <w:r>
        <w:rPr>
          <w:rFonts w:hint="eastAsia" w:ascii="仿宋_GB2312" w:hAnsi="仿宋_GB2312" w:cs="仿宋_GB2312"/>
          <w:b w:val="0"/>
          <w:bCs w:val="0"/>
          <w:sz w:val="32"/>
        </w:rPr>
        <w:t>3.3.2 预警条件</w:t>
      </w:r>
      <w:bookmarkEnd w:id="53"/>
      <w:bookmarkEnd w:id="54"/>
      <w:bookmarkEnd w:id="55"/>
    </w:p>
    <w:p>
      <w:pPr>
        <w:adjustRightInd w:val="0"/>
        <w:snapToGrid w:val="0"/>
        <w:spacing w:beforeLines="0" w:afterLines="0" w:line="579" w:lineRule="exact"/>
        <w:ind w:firstLine="640"/>
        <w:rPr>
          <w:rFonts w:hint="eastAsia" w:ascii="Times New Roman" w:hAnsi="Times New Roman" w:eastAsia="仿宋_GB2312" w:cs="Times New Roman"/>
          <w:sz w:val="32"/>
          <w:szCs w:val="32"/>
          <w:lang w:val="en-US" w:eastAsia="zh-CN"/>
        </w:rPr>
      </w:pPr>
      <w:r>
        <w:rPr>
          <w:rFonts w:ascii="Times New Roman" w:hAnsi="Times New Roman" w:cs="Times New Roman"/>
          <w:sz w:val="32"/>
          <w:szCs w:val="32"/>
        </w:rPr>
        <w:t>可能发生较大及以上突发环境事件的紧急条件情况包括但不限于以下几方面：</w:t>
      </w:r>
      <w:r>
        <w:rPr>
          <w:rFonts w:hint="eastAsia" w:ascii="Times New Roman" w:hAnsi="Times New Roman" w:cs="Times New Roman"/>
          <w:sz w:val="32"/>
          <w:szCs w:val="32"/>
          <w:lang w:val="en-US" w:eastAsia="zh-CN"/>
        </w:rPr>
        <w:t xml:space="preserve"> </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（1）监测数据显著异常。大气自动监测站、常规水质监测断面、污染源在线监测装置、工业园区大气环境监测点等出现数据异常，可能发生较大及以上突发环境事件的；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（2）出现自然灾害。天气预报或已经出现台风、暴雨、高温、寒冷等自然灾害可能引发较大及以上突发环境事件的；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（3）发生危险化学品或危险废物泄漏、企业火灾或爆炸衍生水环境污染事件、危化品交通运输事故等情况，可能引发较大及以上突发环境事件的。</w:t>
      </w:r>
    </w:p>
    <w:p>
      <w:pPr>
        <w:pStyle w:val="4"/>
        <w:keepNext w:val="0"/>
        <w:keepLines w:val="0"/>
        <w:adjustRightInd w:val="0"/>
        <w:snapToGrid w:val="0"/>
        <w:spacing w:beforeLines="0" w:afterLines="0" w:line="579" w:lineRule="exact"/>
        <w:ind w:firstLine="640" w:firstLineChars="200"/>
        <w:rPr>
          <w:rFonts w:hint="eastAsia" w:ascii="仿宋_GB2312" w:hAnsi="仿宋_GB2312" w:cs="仿宋_GB2312"/>
          <w:b w:val="0"/>
          <w:bCs w:val="0"/>
          <w:sz w:val="32"/>
        </w:rPr>
      </w:pPr>
      <w:bookmarkStart w:id="56" w:name="_Toc557671860"/>
      <w:bookmarkStart w:id="57" w:name="_Toc154672824"/>
      <w:bookmarkStart w:id="58" w:name="_Toc20150146"/>
      <w:r>
        <w:rPr>
          <w:rFonts w:hint="eastAsia" w:ascii="仿宋_GB2312" w:hAnsi="仿宋_GB2312" w:cs="仿宋_GB2312"/>
          <w:b w:val="0"/>
          <w:bCs w:val="0"/>
          <w:sz w:val="32"/>
        </w:rPr>
        <w:t>3.3.3 预警信息发布</w:t>
      </w:r>
      <w:bookmarkEnd w:id="56"/>
      <w:bookmarkEnd w:id="57"/>
      <w:bookmarkEnd w:id="58"/>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蓝色预警由区（功能区）政府（管委会）负责发布，黄色预警由市政府负责发布，</w:t>
      </w:r>
      <w:r>
        <w:rPr>
          <w:rFonts w:ascii="Times New Roman" w:hAnsi="Times New Roman" w:cs="Times New Roman"/>
          <w:spacing w:val="6"/>
          <w:sz w:val="32"/>
          <w:szCs w:val="32"/>
        </w:rPr>
        <w:t>橙色及红色预警由市政府报请省政府后</w:t>
      </w:r>
      <w:r>
        <w:rPr>
          <w:rFonts w:ascii="Times New Roman" w:hAnsi="Times New Roman" w:cs="Times New Roman"/>
          <w:sz w:val="32"/>
          <w:szCs w:val="32"/>
        </w:rPr>
        <w:t>，由省政府发布。</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发布制度。突发环境事件预警信息发布遵循“归口管理、统一发布、快速传播”的原则，按照《广东省突发环境预警信息发布管理办法》执行。突发环境事件预警信息，由生态环境部门负责制定，并按规定程序报批后，按预警级别分级发布。突发环境事件引发的次生、衍生灾害预警信息，由有关单位制作，并按规定程序报批后，按预警级别分级发布。市及各区（功能区）生态环境部门研判可能发生突发环境事件时，应当及时向本级人民政府提出预警信息发布建议，同时通报同级相关部门和单位。</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（2）发布内容。突发环境事件预警发布信息内容主要包括：突发事件的类别、预警级别、起始时间、可能影响范围、警示事项、事态发展、相关措施和发布机关、咨询电话等。</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3）发布途径。一般突发环境事件预警信息由区（功能区）政府（管委会）直接发布或授权区（功能区）生态环境部门及时通过电视、广播、报纸、互联网、手机短信、当面告知等渠道或方式向本行政区域公众发布预警信息，并上报市政府。较大突发环境事件预警信息由市生态环境局根据突发环境事件隐患或信息的分析评估，初步判定预警级别，由市政府直接发布或授权市应急指挥部及时通过电视、广播、报纸、互联网、手机短信、当面告知等渠道或方式向本行政区域公众发布预警信息，并上报省政府。需要发布的预警信息经市政府核定级别和审批后，及时向公众发布。其他任何组织和个人不得向社会发布预警信息。重大及以上突发环境事件预警信息由市政府上报省政府。</w:t>
      </w:r>
    </w:p>
    <w:p>
      <w:pPr>
        <w:pStyle w:val="4"/>
        <w:keepNext w:val="0"/>
        <w:keepLines w:val="0"/>
        <w:adjustRightInd w:val="0"/>
        <w:snapToGrid w:val="0"/>
        <w:spacing w:beforeLines="0" w:afterLines="0" w:line="579" w:lineRule="exact"/>
        <w:ind w:firstLine="640" w:firstLineChars="200"/>
        <w:rPr>
          <w:rFonts w:hint="eastAsia" w:ascii="仿宋_GB2312" w:hAnsi="仿宋_GB2312" w:cs="仿宋_GB2312"/>
          <w:b w:val="0"/>
          <w:bCs w:val="0"/>
          <w:sz w:val="32"/>
        </w:rPr>
      </w:pPr>
      <w:bookmarkStart w:id="59" w:name="_Toc20150147"/>
      <w:bookmarkStart w:id="60" w:name="_Toc1153172748"/>
      <w:bookmarkStart w:id="61" w:name="_Toc154672825"/>
      <w:r>
        <w:rPr>
          <w:rFonts w:hint="eastAsia" w:ascii="仿宋_GB2312" w:hAnsi="仿宋_GB2312" w:cs="仿宋_GB2312"/>
          <w:b w:val="0"/>
          <w:bCs w:val="0"/>
          <w:sz w:val="32"/>
        </w:rPr>
        <w:t>3.3.4 预警行动</w:t>
      </w:r>
      <w:bookmarkEnd w:id="59"/>
      <w:bookmarkEnd w:id="60"/>
      <w:bookmarkEnd w:id="61"/>
    </w:p>
    <w:p>
      <w:pPr>
        <w:adjustRightInd w:val="0"/>
        <w:snapToGrid w:val="0"/>
        <w:spacing w:beforeLines="0" w:afterLines="0" w:line="579" w:lineRule="exact"/>
        <w:ind w:firstLine="640"/>
        <w:rPr>
          <w:rFonts w:hint="eastAsia" w:ascii="仿宋_GB2312" w:hAnsi="仿宋_GB2312" w:cs="仿宋_GB2312"/>
          <w:sz w:val="32"/>
          <w:szCs w:val="32"/>
        </w:rPr>
      </w:pPr>
      <w:r>
        <w:rPr>
          <w:rFonts w:ascii="Times New Roman" w:hAnsi="Times New Roman" w:cs="Times New Roman"/>
          <w:sz w:val="32"/>
          <w:szCs w:val="32"/>
        </w:rPr>
        <w:t>蓝色预警：</w:t>
      </w:r>
      <w:r>
        <w:rPr>
          <w:rFonts w:hint="eastAsia" w:ascii="仿宋_GB2312" w:hAnsi="仿宋_GB2312" w:cs="仿宋_GB2312"/>
          <w:sz w:val="32"/>
          <w:szCs w:val="32"/>
        </w:rPr>
        <w:t>事发地区（功能区）政府（管委会）落实24小时值班制度，加强信息监控、收集和监测；市应急指挥部成员单位根据预警内容组织检查、督导重点防控企事业单位做好应急准备工作；市应急指挥部及时发布事态最新情况，公布咨询电话，加强相关舆情监测、舆论引导工作。</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黄色预警：市应急指挥部有关工作人员赶赴事发现场，调查核实有关情况；组织有关部门和机构、专业技术人员、有关专家，及时对突发环境事件进行分析评估，预测影响范围、强度以及可能发生的突发环境事件的级别；市应急指挥部通知相关救援人员进入待命状态，做好应急处置准备；调集、准备应急处置所需物资、工具、设备设施。</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橙色预警：市应急指挥部相关人员赶赴事发现场，加强对重点环境敏感点的安全保卫、监控，转移、疏散易受突发环境事件危害的人员并予以妥善安置，确保供水、排水、供电、交通等公共基础设施的安全和正常运行。</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红色预警：市应急指挥部相关人员赶赴事发现场，关闭或者限制使用易受到突发环境事件危害的场所，控制或限制容易导致危害扩大的公共场所的活动。</w:t>
      </w:r>
    </w:p>
    <w:p>
      <w:pPr>
        <w:pStyle w:val="4"/>
        <w:keepNext w:val="0"/>
        <w:keepLines w:val="0"/>
        <w:adjustRightInd w:val="0"/>
        <w:snapToGrid w:val="0"/>
        <w:spacing w:beforeLines="0" w:afterLines="0" w:line="579" w:lineRule="exact"/>
        <w:ind w:firstLine="640" w:firstLineChars="200"/>
        <w:rPr>
          <w:rFonts w:hint="eastAsia" w:ascii="仿宋_GB2312" w:hAnsi="仿宋_GB2312" w:cs="仿宋_GB2312"/>
          <w:b w:val="0"/>
          <w:bCs w:val="0"/>
          <w:sz w:val="32"/>
        </w:rPr>
      </w:pPr>
      <w:bookmarkStart w:id="62" w:name="_Toc20150148"/>
      <w:bookmarkStart w:id="63" w:name="_Toc154672826"/>
      <w:bookmarkStart w:id="64" w:name="_Toc28034623"/>
      <w:r>
        <w:rPr>
          <w:rFonts w:hint="eastAsia" w:ascii="仿宋_GB2312" w:hAnsi="仿宋_GB2312" w:cs="仿宋_GB2312"/>
          <w:b w:val="0"/>
          <w:bCs w:val="0"/>
          <w:sz w:val="32"/>
        </w:rPr>
        <w:t>3.3.5 预警级别的调整和解除</w:t>
      </w:r>
      <w:bookmarkEnd w:id="62"/>
      <w:bookmarkEnd w:id="63"/>
      <w:bookmarkEnd w:id="64"/>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市应急指挥部应当根据事态发展情况适时调整预警级别，当判断不可能发生突发环境事件，或判断危险已经消除时，宣布解除预警，并报告市政府。</w:t>
      </w:r>
    </w:p>
    <w:p>
      <w:pPr>
        <w:pStyle w:val="2"/>
        <w:keepNext w:val="0"/>
        <w:keepLines w:val="0"/>
        <w:adjustRightInd w:val="0"/>
        <w:snapToGrid w:val="0"/>
        <w:spacing w:beforeLines="0" w:afterLines="0" w:line="579" w:lineRule="exact"/>
        <w:ind w:firstLine="640" w:firstLineChars="200"/>
        <w:rPr>
          <w:rFonts w:hint="eastAsia" w:ascii="黑体" w:hAnsi="黑体" w:cs="黑体"/>
          <w:sz w:val="32"/>
          <w:szCs w:val="32"/>
        </w:rPr>
      </w:pPr>
      <w:bookmarkStart w:id="65" w:name="_Toc154672827"/>
      <w:bookmarkStart w:id="66" w:name="_Toc197499409"/>
      <w:bookmarkStart w:id="67" w:name="_Toc20150149"/>
      <w:r>
        <w:rPr>
          <w:rFonts w:hint="eastAsia" w:ascii="黑体" w:hAnsi="黑体" w:cs="黑体"/>
          <w:sz w:val="32"/>
          <w:szCs w:val="32"/>
        </w:rPr>
        <w:t>4 信息报告</w:t>
      </w:r>
      <w:bookmarkEnd w:id="65"/>
      <w:bookmarkEnd w:id="66"/>
      <w:bookmarkEnd w:id="67"/>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68" w:name="_Toc2113375015"/>
      <w:bookmarkStart w:id="69" w:name="_Toc20150150"/>
      <w:bookmarkStart w:id="70" w:name="_Toc154672828"/>
      <w:r>
        <w:rPr>
          <w:rFonts w:hint="eastAsia" w:ascii="楷体_GB2312" w:hAnsi="楷体_GB2312" w:cs="楷体_GB2312"/>
          <w:sz w:val="32"/>
        </w:rPr>
        <w:t>4.1 信息接报</w:t>
      </w:r>
      <w:bookmarkEnd w:id="68"/>
      <w:bookmarkEnd w:id="69"/>
      <w:bookmarkEnd w:id="70"/>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市应急指挥部相关成员单位接到突发环境事件信息报告时，接报人员应记录好事件发生的时间、地点、污染物、人员伤害、联系人及电话等情况，立即进行核实，并按相关规定及时报告市应急指挥部。</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71" w:name="_Toc20150151"/>
      <w:bookmarkStart w:id="72" w:name="_Toc1421609150"/>
      <w:bookmarkStart w:id="73" w:name="_Toc154672829"/>
      <w:r>
        <w:rPr>
          <w:rFonts w:hint="eastAsia" w:ascii="楷体_GB2312" w:hAnsi="楷体_GB2312" w:cs="楷体_GB2312"/>
          <w:sz w:val="32"/>
        </w:rPr>
        <w:t>4.2 信息</w:t>
      </w:r>
      <w:bookmarkEnd w:id="71"/>
      <w:r>
        <w:rPr>
          <w:rFonts w:hint="eastAsia" w:ascii="楷体_GB2312" w:hAnsi="楷体_GB2312" w:cs="楷体_GB2312"/>
          <w:sz w:val="32"/>
        </w:rPr>
        <w:t>报告</w:t>
      </w:r>
      <w:bookmarkEnd w:id="72"/>
      <w:bookmarkEnd w:id="73"/>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突发环境事件发生后，涉事企业或其他生产经营者必须采取应对措施，并立即向市及各区（功能区）政府（管委会）生态环境部门和相关部门报告，同时通报可能受到污染危害的单位和居民。市应急指挥部相关成员单位或者其他负有安全监管职责的部门接报后要及时通报市生态环境局。市生态环境局应通过互联网信息监测、环境污染举报热线等渠道，加强对突发环境事件的信息收集，及时掌握突发环境事件发生情况。</w:t>
      </w:r>
    </w:p>
    <w:p>
      <w:pPr>
        <w:adjustRightInd w:val="0"/>
        <w:snapToGrid w:val="0"/>
        <w:spacing w:beforeLines="0" w:afterLines="0" w:line="579" w:lineRule="exact"/>
        <w:ind w:firstLine="640"/>
        <w:rPr>
          <w:rFonts w:hint="eastAsia" w:ascii="仿宋_GB2312" w:hAnsi="仿宋_GB2312" w:cs="仿宋_GB2312"/>
          <w:sz w:val="32"/>
          <w:szCs w:val="32"/>
        </w:rPr>
      </w:pPr>
      <w:r>
        <w:rPr>
          <w:rFonts w:ascii="Times New Roman" w:hAnsi="Times New Roman" w:cs="Times New Roman"/>
          <w:sz w:val="32"/>
          <w:szCs w:val="32"/>
        </w:rPr>
        <w:t>根据《突发环境事件信息报告办法》有关规定，对初步认定为一般或较大突发环境事件的，</w:t>
      </w:r>
      <w:r>
        <w:rPr>
          <w:rFonts w:hint="eastAsia" w:ascii="仿宋_GB2312" w:hAnsi="仿宋_GB2312" w:cs="仿宋_GB2312"/>
          <w:sz w:val="32"/>
          <w:szCs w:val="32"/>
        </w:rPr>
        <w:t>市应急指挥部应在4小时内向市政府和省生态环境厅报告。对初步认定为重大或特别重大突发环境事件以及《突发环境事件信息报告办法》中要求的六类敏感事件，市应急指挥部应当在2小时内分别向市政府、省生态环境厅报告，并根据事件发展态势，适时续报相关信息。</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74" w:name="_Toc8733425"/>
      <w:bookmarkStart w:id="75" w:name="_Toc154672830"/>
      <w:r>
        <w:rPr>
          <w:rFonts w:hint="eastAsia" w:ascii="楷体_GB2312" w:hAnsi="楷体_GB2312" w:cs="楷体_GB2312"/>
          <w:sz w:val="32"/>
        </w:rPr>
        <w:t>4.3 报告形式</w:t>
      </w:r>
      <w:bookmarkEnd w:id="74"/>
      <w:bookmarkEnd w:id="75"/>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突发环境事件的报告分为初报、续报和终报。初报在发现或者得知突发环境事件后首次上报；续报在查清有关基本情况、事件发展情况后随时上报；终报在突发环境事件处理完毕后上报。</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续报应当在初报的基础上，报告有关处置进展情况。</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终报应当在初报和续报的基础上，报告处理突发环境事件的措施、过程和结果，突发环境事件潜在或者间接危害以及损失、社会影响、处理后的遗留问题、责任追究等详细情况。</w:t>
      </w:r>
    </w:p>
    <w:p>
      <w:pPr>
        <w:pStyle w:val="2"/>
        <w:keepNext w:val="0"/>
        <w:keepLines w:val="0"/>
        <w:adjustRightInd w:val="0"/>
        <w:snapToGrid w:val="0"/>
        <w:spacing w:beforeLines="0" w:afterLines="0" w:line="579" w:lineRule="exact"/>
        <w:ind w:firstLine="640" w:firstLineChars="200"/>
        <w:rPr>
          <w:rFonts w:hint="eastAsia" w:ascii="黑体" w:hAnsi="黑体" w:cs="黑体"/>
          <w:sz w:val="32"/>
          <w:szCs w:val="32"/>
        </w:rPr>
      </w:pPr>
      <w:bookmarkStart w:id="76" w:name="_Toc20150153"/>
      <w:bookmarkStart w:id="77" w:name="_Toc154672831"/>
      <w:bookmarkStart w:id="78" w:name="_Toc375996974"/>
      <w:r>
        <w:rPr>
          <w:rFonts w:hint="eastAsia" w:ascii="黑体" w:hAnsi="黑体" w:cs="黑体"/>
          <w:sz w:val="32"/>
          <w:szCs w:val="32"/>
        </w:rPr>
        <w:t>5 应急响应</w:t>
      </w:r>
      <w:bookmarkEnd w:id="76"/>
      <w:bookmarkEnd w:id="77"/>
      <w:bookmarkEnd w:id="78"/>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79" w:name="_Toc154672832"/>
      <w:bookmarkStart w:id="80" w:name="_Toc20150154"/>
      <w:bookmarkStart w:id="81" w:name="_Toc1330783662"/>
      <w:r>
        <w:rPr>
          <w:rFonts w:hint="eastAsia" w:ascii="楷体_GB2312" w:hAnsi="楷体_GB2312" w:cs="楷体_GB2312"/>
          <w:sz w:val="32"/>
        </w:rPr>
        <w:t>5.1 响应启动</w:t>
      </w:r>
      <w:bookmarkEnd w:id="79"/>
      <w:bookmarkEnd w:id="80"/>
      <w:bookmarkEnd w:id="81"/>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根据突发环境事件及其引发的次生、衍生灾害严重程度、影响范围和发展态势等，突发环境事件应急响应级别从高到低分为一级、二级、三级、四级四个等级。</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（1）一级响应。</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符合特别重大突发环境事件情形之一，或突发环境事件发生后经市生态环境局分析研判、综合评估，认为需要启动一级应急响应的，由市应急指挥部报告市政府，市政府报请省政府决定。一级应急响应启动后，市应急指挥部总指挥、副总指挥及各成员单位相关负责人应在第一时间迅速到达现场，部署各现场工作组</w:t>
      </w:r>
      <w:r>
        <w:rPr>
          <w:rFonts w:hint="eastAsia" w:ascii="仿宋_GB2312" w:hAnsi="仿宋_GB2312" w:cs="仿宋_GB2312"/>
          <w:spacing w:val="6"/>
          <w:sz w:val="32"/>
          <w:szCs w:val="32"/>
        </w:rPr>
        <w:t>参与应急响应，配合省政府成立的省应急指挥部开展应急处置工作。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（2）二级响应。</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符合重大突发环境事件情形之一，或突发环境事件发生后经市生态环境局分析研判、综合评估，认为需要启动二级应急响应的，由市应急指挥部报告市政府，市政府报请省政府决定。二级应急响应启动后，市应急指挥部总指挥、副总指挥及各成员单位相关负责人应在第一时间迅速到达现场，部署各现场工作组参与应急响应，配合省政府成立的省应急指挥部开展应急处置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（3）三级响应。</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符合较大突发环境事件情形之一，或突发环境事件发生后经市生态环境局分析研判、综合评估，认为需要启动三级应急响应的，由市应急指挥部报告市政府，市政府决定启动三级应急响应并报告省政府。三级应急响应启动后，市应急指挥部总指挥、副总指挥及各成员单位相关负责人应在第一时间迅速到达现场，并成立市现场指挥部，由市现场指挥部组织部署各现场工作组参与应急响应，进行污染源排查、应急监测、现场处置、医疗救治、后勤保障等工作。</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涉及跨地市级以上行政区域、超出市政府处置能力或者需要省政府负责处置的，应由市政府报请省政府启动相关应急响应。</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（4）四级响应</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一般突发环境事件发生后，经市生态环境局分析研判、综合评估分析研判、综合评估，认为需要启动四级应急响应的，由市应急指挥部通知事发地区（功能区）政府（管委会），由事发地区（功能区）政府（管委会）启动四级响应。必要时，由市应急指挥部调派污染处置组、应急监测组等工作小组，指导、协助事发地区（功能区）政府（管委会）开展应急处置工作。</w:t>
      </w:r>
    </w:p>
    <w:p>
      <w:pPr>
        <w:adjustRightInd w:val="0"/>
        <w:snapToGrid w:val="0"/>
        <w:spacing w:beforeLines="0" w:afterLines="0" w:line="579" w:lineRule="exact"/>
        <w:ind w:firstLine="640"/>
        <w:jc w:val="both"/>
        <w:rPr>
          <w:rFonts w:ascii="Times New Roman" w:hAnsi="Times New Roman" w:cs="Times New Roman"/>
          <w:sz w:val="32"/>
          <w:szCs w:val="32"/>
        </w:rPr>
      </w:pPr>
      <w:r>
        <w:rPr>
          <w:rFonts w:hint="eastAsia" w:ascii="仿宋_GB2312" w:hAnsi="仿宋_GB2312" w:cs="仿宋_GB2312"/>
          <w:sz w:val="32"/>
          <w:szCs w:val="32"/>
        </w:rPr>
        <w:t>突发环境事件分级</w:t>
      </w:r>
      <w:r>
        <w:rPr>
          <w:rFonts w:hint="eastAsia" w:ascii="仿宋_GB2312" w:hAnsi="仿宋_GB2312" w:cs="仿宋_GB2312"/>
          <w:spacing w:val="-6"/>
          <w:sz w:val="32"/>
          <w:szCs w:val="32"/>
        </w:rPr>
        <w:t>根据本预案的分级标准确定，对涉及面广</w:t>
      </w:r>
      <w:r>
        <w:rPr>
          <w:rFonts w:hint="eastAsia" w:ascii="仿宋_GB2312" w:hAnsi="仿宋_GB2312" w:cs="仿宋_GB2312"/>
          <w:sz w:val="32"/>
          <w:szCs w:val="32"/>
        </w:rPr>
        <w:t>、敏感复杂或处置不当后果严重的一般突发环境事件，不受突发环境事件分级标准限制，可根据需要由事发地区（功能区）政府（管委会）报请市应急指挥部，启动三级应急响应。应急响应启动后，可视事件损失情况及其发展趋势调整相应级别，避免响应不足或响应过度。</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82" w:name="_Toc20150155"/>
      <w:bookmarkStart w:id="83" w:name="_Toc154672833"/>
      <w:bookmarkStart w:id="84" w:name="_Toc1171841228"/>
      <w:r>
        <w:rPr>
          <w:rFonts w:hint="eastAsia" w:ascii="楷体_GB2312" w:hAnsi="楷体_GB2312" w:cs="楷体_GB2312"/>
          <w:sz w:val="32"/>
        </w:rPr>
        <w:t>5.2 响应措施</w:t>
      </w:r>
      <w:bookmarkEnd w:id="82"/>
      <w:bookmarkEnd w:id="83"/>
      <w:bookmarkEnd w:id="84"/>
    </w:p>
    <w:p>
      <w:pPr>
        <w:pStyle w:val="4"/>
        <w:keepNext w:val="0"/>
        <w:keepLines w:val="0"/>
        <w:adjustRightInd w:val="0"/>
        <w:snapToGrid w:val="0"/>
        <w:spacing w:beforeLines="0" w:afterLines="0" w:line="579" w:lineRule="exact"/>
        <w:ind w:firstLine="640" w:firstLineChars="200"/>
        <w:rPr>
          <w:rFonts w:hint="eastAsia" w:ascii="仿宋_GB2312" w:hAnsi="仿宋_GB2312" w:cs="仿宋_GB2312"/>
          <w:b w:val="0"/>
          <w:bCs w:val="0"/>
          <w:sz w:val="32"/>
        </w:rPr>
      </w:pPr>
      <w:bookmarkStart w:id="85" w:name="_Toc154672834"/>
      <w:bookmarkStart w:id="86" w:name="_Toc20150156"/>
      <w:bookmarkStart w:id="87" w:name="_Toc1232935382"/>
      <w:r>
        <w:rPr>
          <w:rFonts w:hint="eastAsia" w:ascii="仿宋_GB2312" w:hAnsi="仿宋_GB2312" w:cs="仿宋_GB2312"/>
          <w:b w:val="0"/>
          <w:bCs w:val="0"/>
          <w:sz w:val="32"/>
        </w:rPr>
        <w:t>5.2.1 先期处置</w:t>
      </w:r>
      <w:bookmarkEnd w:id="85"/>
      <w:bookmarkEnd w:id="86"/>
      <w:bookmarkEnd w:id="87"/>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突发环境事件发生后，涉事企事业单位应当立即启动突发环境事件应急预案，采取切断或者控制污染源以及其他防止危害扩大的必要措施，及时通报可能受到危害的单位和居民，并向所在地区（功能区）政府（管委会）及其生态环境部门报告。涉事企事业单位应采取必要的关闭、停产、封堵、围挡、喷淋、转移等措施，迅速切断和控制污染源，防止污染蔓延扩散。做好有毒有害物质和消防废水、废液等收集、清理和安全处置工作。</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事发地区（功能区）政府（管委会）及其生态环境部门应迅速实施先期处置工作，对于非正常排污或有毒有害物质泄漏的固定源突发环境事件，尽快查找污染源或泄漏源，通过关闭、封堵、收集、转移等措施，切断污染源或泄漏源；对于道路交通运输造成的流动源突发环境事件，可启动路面系统中建设的导流槽、应急池，或通过紧急设置围堰、闸坝、围油栏等对污染物进行封堵和收集。</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当涉事企事业单位或其他生产经营者不明时，由事发地区（功能区）政府（管委会）生态环境部门会同公安等部门组织对污染来源开展调查，查明涉事单位，确定污染物种类和污染范围，切断污染源。</w:t>
      </w:r>
    </w:p>
    <w:p>
      <w:pPr>
        <w:pStyle w:val="4"/>
        <w:keepNext w:val="0"/>
        <w:keepLines w:val="0"/>
        <w:adjustRightInd w:val="0"/>
        <w:snapToGrid w:val="0"/>
        <w:spacing w:beforeLines="0" w:afterLines="0" w:line="579" w:lineRule="exact"/>
        <w:ind w:firstLine="640" w:firstLineChars="200"/>
        <w:rPr>
          <w:rFonts w:hint="eastAsia" w:ascii="仿宋_GB2312" w:hAnsi="仿宋_GB2312" w:cs="仿宋_GB2312"/>
          <w:b w:val="0"/>
          <w:bCs w:val="0"/>
          <w:sz w:val="32"/>
        </w:rPr>
      </w:pPr>
      <w:bookmarkStart w:id="88" w:name="_Toc20150158"/>
      <w:bookmarkStart w:id="89" w:name="_Toc858909749"/>
      <w:bookmarkStart w:id="90" w:name="_Toc154672835"/>
      <w:r>
        <w:rPr>
          <w:rFonts w:hint="eastAsia" w:ascii="仿宋_GB2312" w:hAnsi="仿宋_GB2312" w:cs="仿宋_GB2312"/>
          <w:b w:val="0"/>
          <w:bCs w:val="0"/>
          <w:sz w:val="32"/>
        </w:rPr>
        <w:t>5.2.2 指挥和协调</w:t>
      </w:r>
      <w:bookmarkEnd w:id="88"/>
      <w:bookmarkEnd w:id="89"/>
      <w:bookmarkEnd w:id="90"/>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对于特别重大、重大突发环境事件，由省政府成立的省级现场指挥机构开展应急处置工作，市应急指挥部应当接受省级现场指挥机构的业务指导，并按要求做好保障工作。对于较大突发环境事件，市应急指挥部应成立市现场指挥部，负责事故现场的应急处置与救援工作。参与现场救援的现场工作小组到达现场后，应当及时与市现场指挥部做好衔接，服从市现场指挥部的决策，接受统一指挥调度，并及时报告现场救援进展情况。对于一般突发环境事件，由事发地区（功能区）政府（管委会）成立现场指挥部，负责事故现场的应急处置与救援工作。必要时，由市应急指挥部调派污染处置组、应急监测组等工作小组，指导、协助应急处置工作。</w:t>
      </w:r>
    </w:p>
    <w:p>
      <w:pPr>
        <w:pStyle w:val="4"/>
        <w:keepNext w:val="0"/>
        <w:keepLines w:val="0"/>
        <w:adjustRightInd w:val="0"/>
        <w:snapToGrid w:val="0"/>
        <w:spacing w:beforeLines="0" w:afterLines="0" w:line="579" w:lineRule="exact"/>
        <w:ind w:firstLine="640" w:firstLineChars="200"/>
        <w:rPr>
          <w:rFonts w:hint="eastAsia" w:ascii="仿宋_GB2312" w:hAnsi="仿宋_GB2312" w:cs="仿宋_GB2312"/>
          <w:b w:val="0"/>
          <w:bCs w:val="0"/>
          <w:sz w:val="32"/>
        </w:rPr>
      </w:pPr>
      <w:bookmarkStart w:id="91" w:name="_Toc499109027"/>
      <w:bookmarkStart w:id="92" w:name="_Toc20150159"/>
      <w:bookmarkStart w:id="93" w:name="_Toc154672836"/>
      <w:bookmarkStart w:id="94" w:name="_Toc2031485756"/>
      <w:r>
        <w:rPr>
          <w:rFonts w:hint="eastAsia" w:ascii="仿宋_GB2312" w:hAnsi="仿宋_GB2312" w:cs="仿宋_GB2312"/>
          <w:b w:val="0"/>
          <w:bCs w:val="0"/>
          <w:sz w:val="32"/>
        </w:rPr>
        <w:t xml:space="preserve">5.2.3 </w:t>
      </w:r>
      <w:bookmarkEnd w:id="91"/>
      <w:bookmarkEnd w:id="92"/>
      <w:r>
        <w:rPr>
          <w:rFonts w:hint="eastAsia" w:ascii="仿宋_GB2312" w:hAnsi="仿宋_GB2312" w:cs="仿宋_GB2312"/>
          <w:b w:val="0"/>
          <w:bCs w:val="0"/>
          <w:sz w:val="32"/>
        </w:rPr>
        <w:t>处置措施</w:t>
      </w:r>
      <w:bookmarkEnd w:id="93"/>
      <w:bookmarkEnd w:id="94"/>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突发环境事件发生后，事发地区（功能区）政府（管委会）必须迅速采取措施，各有关单位按照职责参与，主要包括环境应急监测、污染源监控、确定重点防护区域、分配救援任务，协调各级、各类救援队伍的行动，疏散群众，查明并及时组织力量消除次生、衍生灾害，组织抢修公共设施、接收和分配救援物资。</w:t>
      </w:r>
    </w:p>
    <w:p>
      <w:pPr>
        <w:pStyle w:val="4"/>
        <w:keepNext w:val="0"/>
        <w:keepLines w:val="0"/>
        <w:adjustRightInd w:val="0"/>
        <w:snapToGrid w:val="0"/>
        <w:spacing w:before="0" w:beforeLines="0" w:after="0" w:afterLines="0" w:line="579"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5.2.3.1 现场污染处置</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事发地区（功能区）政府（管委会）应组织制订综合治污方案，采用监测和模拟等手段追踪污染气体扩散途径和范围；采取拦截、导流、疏浚等形式防止水体污染扩大；采取隔离、吸附、打捞、氧化还原、中和、沉淀、消毒、去污洗消、临时收贮、微生物降解、调水稀释、转移异地处置、临时改造污染处置工艺或临时建设污染处置工程等方法处置污染物。必要时，依法要求其他排污单位停产、限产、限排，减轻环境污染负荷。应及时对应急处置效果进行跟踪评估，适时调整与完善应急处置措施。</w:t>
      </w:r>
    </w:p>
    <w:p>
      <w:pPr>
        <w:pStyle w:val="4"/>
        <w:keepNext w:val="0"/>
        <w:keepLines w:val="0"/>
        <w:adjustRightInd w:val="0"/>
        <w:snapToGrid w:val="0"/>
        <w:spacing w:before="0" w:beforeLines="0" w:after="0" w:afterLines="0" w:line="579" w:lineRule="exact"/>
        <w:ind w:firstLine="640" w:firstLineChars="200"/>
        <w:jc w:val="both"/>
        <w:rPr>
          <w:rFonts w:hint="eastAsia" w:ascii="仿宋_GB2312" w:hAnsi="仿宋_GB2312" w:eastAsia="仿宋_GB2312" w:cs="仿宋_GB2312"/>
          <w:b w:val="0"/>
          <w:bCs w:val="0"/>
          <w:sz w:val="32"/>
          <w:szCs w:val="32"/>
        </w:rPr>
      </w:pPr>
      <w:bookmarkStart w:id="95" w:name="_Toc20150160"/>
      <w:r>
        <w:rPr>
          <w:rFonts w:hint="eastAsia" w:ascii="仿宋_GB2312" w:hAnsi="仿宋_GB2312" w:eastAsia="仿宋_GB2312" w:cs="仿宋_GB2312"/>
          <w:b w:val="0"/>
          <w:bCs w:val="0"/>
          <w:sz w:val="32"/>
          <w:szCs w:val="32"/>
        </w:rPr>
        <w:t>5.2.3.2 转移安置人员</w:t>
      </w:r>
      <w:bookmarkEnd w:id="95"/>
    </w:p>
    <w:p>
      <w:pPr>
        <w:adjustRightInd w:val="0"/>
        <w:snapToGrid w:val="0"/>
        <w:spacing w:beforeLines="0" w:afterLines="0" w:line="579" w:lineRule="exact"/>
        <w:ind w:firstLine="640" w:firstLineChars="200"/>
        <w:rPr>
          <w:rFonts w:ascii="Times New Roman" w:hAnsi="Times New Roman" w:cs="Times New Roman"/>
          <w:sz w:val="32"/>
          <w:szCs w:val="32"/>
        </w:rPr>
      </w:pPr>
      <w:r>
        <w:rPr>
          <w:rFonts w:ascii="Times New Roman" w:hAnsi="Times New Roman" w:cs="Times New Roman"/>
          <w:sz w:val="32"/>
          <w:szCs w:val="32"/>
        </w:rPr>
        <w:t>根据突发环境事件影响及事发当地的气象、地理环境、人员密集度等，研判是否需要转移安置人员。建立现场警戒区、交通管制区域和重点防护区域，确定受威胁人员疏散的方式和途径，有组织、有秩序地及时疏散转移受威胁人员和可能受影响地区居民。妥善做好转移人员安置工作，确保有饭吃、有水喝、有衣穿、有住处和必要医疗条件。</w:t>
      </w:r>
    </w:p>
    <w:p>
      <w:pPr>
        <w:pStyle w:val="4"/>
        <w:keepNext w:val="0"/>
        <w:keepLines w:val="0"/>
        <w:adjustRightInd w:val="0"/>
        <w:snapToGrid w:val="0"/>
        <w:spacing w:before="0" w:beforeLines="0" w:after="0" w:afterLines="0" w:line="579" w:lineRule="exact"/>
        <w:ind w:firstLine="640" w:firstLineChars="200"/>
        <w:jc w:val="both"/>
        <w:rPr>
          <w:rFonts w:hint="eastAsia" w:ascii="仿宋_GB2312" w:hAnsi="仿宋_GB2312" w:eastAsia="仿宋_GB2312" w:cs="仿宋_GB2312"/>
          <w:b w:val="0"/>
          <w:bCs w:val="0"/>
          <w:sz w:val="32"/>
          <w:szCs w:val="32"/>
        </w:rPr>
      </w:pPr>
      <w:bookmarkStart w:id="96" w:name="_Toc20150161"/>
      <w:r>
        <w:rPr>
          <w:rFonts w:hint="eastAsia" w:ascii="仿宋_GB2312" w:hAnsi="仿宋_GB2312" w:eastAsia="仿宋_GB2312" w:cs="仿宋_GB2312"/>
          <w:b w:val="0"/>
          <w:bCs w:val="0"/>
          <w:sz w:val="32"/>
          <w:szCs w:val="32"/>
        </w:rPr>
        <w:t>5.2.3.3 医学救援</w:t>
      </w:r>
      <w:bookmarkEnd w:id="96"/>
    </w:p>
    <w:p>
      <w:pPr>
        <w:adjustRightInd w:val="0"/>
        <w:snapToGrid w:val="0"/>
        <w:spacing w:beforeLines="0" w:afterLines="0" w:line="579" w:lineRule="exact"/>
        <w:ind w:firstLine="640" w:firstLineChars="200"/>
        <w:rPr>
          <w:rFonts w:ascii="Times New Roman" w:hAnsi="Times New Roman" w:cs="Times New Roman"/>
          <w:sz w:val="32"/>
          <w:szCs w:val="32"/>
        </w:rPr>
      </w:pPr>
      <w:r>
        <w:rPr>
          <w:rFonts w:ascii="Times New Roman" w:hAnsi="Times New Roman" w:cs="Times New Roman"/>
          <w:sz w:val="32"/>
          <w:szCs w:val="32"/>
        </w:rPr>
        <w:t>迅速组织当地医疗资源和力量，对伤病员进行诊断治疗，根据需要及时、安全地将</w:t>
      </w:r>
      <w:r>
        <w:rPr>
          <w:rFonts w:ascii="Times New Roman" w:hAnsi="Times New Roman" w:cs="Times New Roman"/>
          <w:spacing w:val="-6"/>
          <w:sz w:val="32"/>
          <w:szCs w:val="32"/>
        </w:rPr>
        <w:t>重症伤病员转运到有条件的医疗机构救治</w:t>
      </w:r>
      <w:r>
        <w:rPr>
          <w:rFonts w:ascii="Times New Roman" w:hAnsi="Times New Roman" w:cs="Times New Roman"/>
          <w:sz w:val="32"/>
          <w:szCs w:val="32"/>
        </w:rPr>
        <w:t>。指导和协助开展受污染人员的去污洗消工作，提出保护公众健康的措施建议。视情增派医疗卫生专家和卫生应急队伍、调配急需</w:t>
      </w:r>
      <w:r>
        <w:rPr>
          <w:rFonts w:ascii="Times New Roman" w:hAnsi="Times New Roman" w:cs="Times New Roman"/>
          <w:spacing w:val="6"/>
          <w:sz w:val="32"/>
          <w:szCs w:val="32"/>
        </w:rPr>
        <w:t>医药物资，支持事发地医学救援工作。做好受影响人员的心理辅导。</w:t>
      </w:r>
    </w:p>
    <w:p>
      <w:pPr>
        <w:pStyle w:val="4"/>
        <w:keepNext w:val="0"/>
        <w:keepLines w:val="0"/>
        <w:adjustRightInd w:val="0"/>
        <w:snapToGrid w:val="0"/>
        <w:spacing w:before="0" w:beforeLines="0" w:after="0" w:afterLines="0" w:line="579" w:lineRule="exact"/>
        <w:ind w:firstLine="640" w:firstLineChars="200"/>
        <w:jc w:val="both"/>
        <w:rPr>
          <w:rFonts w:hint="eastAsia" w:ascii="仿宋_GB2312" w:hAnsi="仿宋_GB2312" w:eastAsia="仿宋_GB2312" w:cs="仿宋_GB2312"/>
          <w:b w:val="0"/>
          <w:bCs w:val="0"/>
          <w:sz w:val="32"/>
          <w:szCs w:val="32"/>
        </w:rPr>
      </w:pPr>
      <w:bookmarkStart w:id="97" w:name="_Toc20150162"/>
      <w:r>
        <w:rPr>
          <w:rFonts w:hint="eastAsia" w:ascii="仿宋_GB2312" w:hAnsi="仿宋_GB2312" w:eastAsia="仿宋_GB2312" w:cs="仿宋_GB2312"/>
          <w:b w:val="0"/>
          <w:bCs w:val="0"/>
          <w:sz w:val="32"/>
          <w:szCs w:val="32"/>
        </w:rPr>
        <w:t>5.2.3.4 应急监测</w:t>
      </w:r>
      <w:bookmarkEnd w:id="97"/>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加强大气、水体、土壤等应急监测工作，根据突发环境事件的污染物种类、性质以及当地自然、社会环境状况等，明确相应的应急监测方案和方法，确定监测布点和频次，调配应急监测设备、车辆，及时准确监测，为突发环境事件应急决策提供依据。</w:t>
      </w:r>
    </w:p>
    <w:p>
      <w:pPr>
        <w:pStyle w:val="4"/>
        <w:keepNext w:val="0"/>
        <w:keepLines w:val="0"/>
        <w:adjustRightInd w:val="0"/>
        <w:snapToGrid w:val="0"/>
        <w:spacing w:before="0" w:beforeLines="0" w:after="0" w:afterLines="0" w:line="579" w:lineRule="exact"/>
        <w:ind w:firstLine="640" w:firstLineChars="200"/>
        <w:jc w:val="both"/>
        <w:rPr>
          <w:rFonts w:hint="eastAsia" w:ascii="仿宋_GB2312" w:hAnsi="仿宋_GB2312" w:eastAsia="仿宋_GB2312" w:cs="仿宋_GB2312"/>
          <w:b w:val="0"/>
          <w:bCs w:val="0"/>
          <w:sz w:val="32"/>
          <w:szCs w:val="32"/>
        </w:rPr>
      </w:pPr>
      <w:bookmarkStart w:id="98" w:name="_Toc20150163"/>
      <w:r>
        <w:rPr>
          <w:rFonts w:hint="eastAsia" w:ascii="仿宋_GB2312" w:hAnsi="仿宋_GB2312" w:eastAsia="仿宋_GB2312" w:cs="仿宋_GB2312"/>
          <w:b w:val="0"/>
          <w:bCs w:val="0"/>
          <w:sz w:val="32"/>
          <w:szCs w:val="32"/>
        </w:rPr>
        <w:t>5.2.3.5 市场监管和调控</w:t>
      </w:r>
      <w:bookmarkEnd w:id="98"/>
    </w:p>
    <w:p>
      <w:pPr>
        <w:adjustRightInd w:val="0"/>
        <w:snapToGrid w:val="0"/>
        <w:spacing w:beforeLines="0" w:afterLines="0" w:line="579" w:lineRule="exact"/>
        <w:ind w:firstLine="640" w:firstLineChars="200"/>
        <w:rPr>
          <w:rFonts w:ascii="Times New Roman" w:hAnsi="Times New Roman" w:cs="Times New Roman"/>
          <w:sz w:val="32"/>
          <w:szCs w:val="32"/>
        </w:rPr>
      </w:pPr>
      <w:r>
        <w:rPr>
          <w:rFonts w:ascii="Times New Roman" w:hAnsi="Times New Roman" w:cs="Times New Roman"/>
          <w:sz w:val="32"/>
          <w:szCs w:val="32"/>
        </w:rPr>
        <w:t>密切关注受事件影响地区市场供应情况及公众反应，加强对重要生活必需品等商品的市场监管和价格监测调控。禁止受污染食品和饮用水的生产、加工、流通，防范因突发环境事件造成集体中毒等。</w:t>
      </w:r>
    </w:p>
    <w:p>
      <w:pPr>
        <w:pStyle w:val="4"/>
        <w:keepNext w:val="0"/>
        <w:keepLines w:val="0"/>
        <w:adjustRightInd w:val="0"/>
        <w:snapToGrid w:val="0"/>
        <w:spacing w:before="0" w:beforeLines="0" w:after="0" w:afterLines="0" w:line="579" w:lineRule="exact"/>
        <w:ind w:firstLine="640" w:firstLineChars="200"/>
        <w:jc w:val="both"/>
        <w:rPr>
          <w:rFonts w:hint="eastAsia" w:ascii="仿宋_GB2312" w:hAnsi="仿宋_GB2312" w:eastAsia="仿宋_GB2312" w:cs="仿宋_GB2312"/>
          <w:b w:val="0"/>
          <w:bCs w:val="0"/>
          <w:sz w:val="32"/>
          <w:szCs w:val="32"/>
        </w:rPr>
      </w:pPr>
      <w:bookmarkStart w:id="99" w:name="_Toc20150164"/>
      <w:r>
        <w:rPr>
          <w:rFonts w:hint="eastAsia" w:ascii="仿宋_GB2312" w:hAnsi="仿宋_GB2312" w:eastAsia="仿宋_GB2312" w:cs="仿宋_GB2312"/>
          <w:b w:val="0"/>
          <w:bCs w:val="0"/>
          <w:sz w:val="32"/>
          <w:szCs w:val="32"/>
        </w:rPr>
        <w:t>5.2.3.6 维护社会稳定</w:t>
      </w:r>
      <w:bookmarkEnd w:id="99"/>
    </w:p>
    <w:p>
      <w:pPr>
        <w:adjustRightInd w:val="0"/>
        <w:snapToGrid w:val="0"/>
        <w:spacing w:beforeLines="0" w:afterLines="0" w:line="579" w:lineRule="exact"/>
        <w:ind w:firstLine="640" w:firstLineChars="200"/>
        <w:rPr>
          <w:rFonts w:ascii="Times New Roman" w:hAnsi="Times New Roman" w:cs="Times New Roman"/>
          <w:sz w:val="32"/>
          <w:szCs w:val="32"/>
        </w:rPr>
      </w:pPr>
      <w:r>
        <w:rPr>
          <w:rFonts w:ascii="Times New Roman" w:hAnsi="Times New Roman" w:cs="Times New Roman"/>
          <w:sz w:val="32"/>
          <w:szCs w:val="32"/>
        </w:rPr>
        <w:t>加强事故现场区域周边道路交通管制与受影响地区社会治安管理，严厉打击借机传播谣言制造社会恐慌、哄抢救灾物资等违法犯罪行为；加强转移人员安置点、救灾物资存放点等重点区域治安管控；做好受影响人员与涉事单位、相关地方人民政府及有关部门矛盾纠纷化解和法律服务工作，防止出现群体性事件，维护社会稳定。</w:t>
      </w:r>
    </w:p>
    <w:p>
      <w:pPr>
        <w:pStyle w:val="4"/>
        <w:keepNext w:val="0"/>
        <w:keepLines w:val="0"/>
        <w:adjustRightInd w:val="0"/>
        <w:snapToGrid w:val="0"/>
        <w:spacing w:before="0" w:beforeLines="0" w:after="0" w:afterLines="0" w:line="579" w:lineRule="exact"/>
        <w:ind w:firstLine="640" w:firstLineChars="200"/>
        <w:jc w:val="both"/>
        <w:rPr>
          <w:rFonts w:hint="eastAsia" w:ascii="仿宋_GB2312" w:hAnsi="仿宋_GB2312" w:eastAsia="仿宋_GB2312" w:cs="仿宋_GB2312"/>
          <w:b w:val="0"/>
          <w:bCs w:val="0"/>
          <w:sz w:val="32"/>
          <w:szCs w:val="32"/>
        </w:rPr>
      </w:pPr>
      <w:bookmarkStart w:id="100" w:name="_Toc18118"/>
      <w:r>
        <w:rPr>
          <w:rFonts w:hint="eastAsia" w:ascii="仿宋_GB2312" w:hAnsi="仿宋_GB2312" w:eastAsia="仿宋_GB2312" w:cs="仿宋_GB2312"/>
          <w:b w:val="0"/>
          <w:bCs w:val="0"/>
          <w:sz w:val="32"/>
          <w:szCs w:val="32"/>
        </w:rPr>
        <w:t>5.2.3.7 信息发布与舆情应对</w:t>
      </w:r>
      <w:bookmarkEnd w:id="100"/>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信息发布机制。通过市政府授权发布事件信息、接受记者采访、举行新闻发布会、组织专家解读等方式，主动、及时、准确、客观地向社会发布突发环境事件和应对工作信息，回应社会关切，澄清不实信息，正确引导社会舆论。特别重大、重大突发环境事件发生后，要快速反应，务必在5小时内发布权威信息、在24小时内举行新闻发布会，并根据应对情况做好后续发布工作。发生较大、一般突发环境事件后，应当及时发布权威信息，根据处置进展动态发布信息。法律法规对信息发布另有规定的，从其规定。</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（2）信息发布内容。信息发布内容包括事件原因、污染程度、影响范围、应对措施、需要公众配合采取的措施、公众防范常识和事件调查处理进展情况等。</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3）舆情应对。加强突发环境事件舆情收集、研判和报告，把政务新媒体作为突发事件舆情收集、回应、引导的重要平台。根据舆情传播不同节点，及时滚动发布事件或舆情处置进展的权威信息，回应社会关切，澄清不实信息，避免群众恐慌和带来社会不稳定。</w:t>
      </w:r>
    </w:p>
    <w:p>
      <w:pPr>
        <w:pStyle w:val="4"/>
        <w:keepNext w:val="0"/>
        <w:keepLines w:val="0"/>
        <w:adjustRightInd w:val="0"/>
        <w:snapToGrid w:val="0"/>
        <w:spacing w:beforeLines="0" w:afterLines="0" w:line="579" w:lineRule="exact"/>
        <w:ind w:firstLine="640" w:firstLineChars="200"/>
        <w:rPr>
          <w:rFonts w:hint="eastAsia" w:ascii="仿宋_GB2312" w:hAnsi="仿宋_GB2312" w:cs="仿宋_GB2312"/>
          <w:b w:val="0"/>
          <w:bCs w:val="0"/>
          <w:sz w:val="32"/>
        </w:rPr>
      </w:pPr>
      <w:bookmarkStart w:id="101" w:name="_Toc20150165"/>
      <w:bookmarkStart w:id="102" w:name="_Toc154672837"/>
      <w:bookmarkStart w:id="103" w:name="_Toc1251203774"/>
      <w:r>
        <w:rPr>
          <w:rFonts w:hint="eastAsia" w:ascii="仿宋_GB2312" w:hAnsi="仿宋_GB2312" w:cs="仿宋_GB2312"/>
          <w:b w:val="0"/>
          <w:bCs w:val="0"/>
          <w:sz w:val="32"/>
        </w:rPr>
        <w:t>5.2.4 社会动员</w:t>
      </w:r>
      <w:bookmarkEnd w:id="101"/>
      <w:bookmarkEnd w:id="102"/>
      <w:bookmarkEnd w:id="103"/>
    </w:p>
    <w:p>
      <w:pPr>
        <w:adjustRightInd w:val="0"/>
        <w:snapToGrid w:val="0"/>
        <w:spacing w:beforeLines="0" w:afterLines="0" w:line="579" w:lineRule="exact"/>
        <w:ind w:firstLine="640" w:firstLineChars="200"/>
        <w:rPr>
          <w:rFonts w:ascii="Times New Roman" w:hAnsi="Times New Roman" w:cs="Times New Roman"/>
          <w:sz w:val="32"/>
          <w:szCs w:val="32"/>
        </w:rPr>
      </w:pPr>
      <w:r>
        <w:rPr>
          <w:rFonts w:ascii="Times New Roman" w:hAnsi="Times New Roman" w:cs="Times New Roman"/>
          <w:sz w:val="32"/>
          <w:szCs w:val="32"/>
        </w:rPr>
        <w:t>市应急指挥部有关成员单位要根据突发环境事件的性质、危害程度和范围，广泛调动社会力量参与突发环境事件处置，紧急情况下可依法征用、调用车辆、物资、人员等。突发环境事件发生后，市应急指挥部组织各方面力量开展应急处置工作，组织基层单位和人员开展自救、互救；邻近的区（功能区）政府（管委会）根据灾情组织和动员社会力量，对事发地提供援助。</w:t>
      </w:r>
    </w:p>
    <w:p>
      <w:pPr>
        <w:adjustRightInd w:val="0"/>
        <w:snapToGrid w:val="0"/>
        <w:spacing w:beforeLines="0" w:afterLines="0" w:line="579" w:lineRule="exact"/>
        <w:ind w:firstLine="640" w:firstLineChars="200"/>
        <w:rPr>
          <w:rFonts w:ascii="Times New Roman" w:hAnsi="Times New Roman" w:cs="Times New Roman"/>
          <w:sz w:val="32"/>
          <w:szCs w:val="32"/>
        </w:rPr>
      </w:pPr>
      <w:r>
        <w:rPr>
          <w:rFonts w:ascii="Times New Roman" w:hAnsi="Times New Roman" w:cs="Times New Roman"/>
          <w:sz w:val="32"/>
          <w:szCs w:val="32"/>
        </w:rPr>
        <w:t>鼓励公民、法人和其他社会组织按照有关法律法规的规定进行捐赠和援助。审计、监察部门对捐赠资金与物资的使用情况进行审计和监督。</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04" w:name="_Toc1455767271"/>
      <w:bookmarkStart w:id="105" w:name="_Toc154672838"/>
      <w:bookmarkStart w:id="106" w:name="_Toc20150166"/>
      <w:r>
        <w:rPr>
          <w:rFonts w:hint="eastAsia" w:ascii="楷体_GB2312" w:hAnsi="楷体_GB2312" w:cs="楷体_GB2312"/>
          <w:sz w:val="32"/>
        </w:rPr>
        <w:t>5.3 响应终止</w:t>
      </w:r>
      <w:bookmarkEnd w:id="104"/>
      <w:bookmarkEnd w:id="105"/>
      <w:bookmarkEnd w:id="106"/>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经研判满足响应结束条件，或者相关威胁和危害得到控制、消除的，由市应急指挥部宣布响应结束，逐步停止有关应急措施，有序撤离应急力量和工作人员，并做好后续相关工作。</w:t>
      </w:r>
    </w:p>
    <w:p>
      <w:pPr>
        <w:pStyle w:val="2"/>
        <w:keepNext w:val="0"/>
        <w:keepLines w:val="0"/>
        <w:adjustRightInd w:val="0"/>
        <w:snapToGrid w:val="0"/>
        <w:spacing w:beforeLines="0" w:afterLines="0" w:line="579" w:lineRule="exact"/>
        <w:ind w:firstLine="640" w:firstLineChars="200"/>
        <w:rPr>
          <w:rFonts w:hint="eastAsia" w:ascii="黑体" w:hAnsi="黑体" w:cs="黑体"/>
          <w:sz w:val="32"/>
          <w:szCs w:val="32"/>
        </w:rPr>
      </w:pPr>
      <w:bookmarkStart w:id="107" w:name="_Toc154672839"/>
      <w:bookmarkStart w:id="108" w:name="_Toc1971228372"/>
      <w:r>
        <w:rPr>
          <w:rFonts w:hint="eastAsia" w:ascii="黑体" w:hAnsi="黑体" w:cs="黑体"/>
          <w:sz w:val="32"/>
          <w:szCs w:val="32"/>
        </w:rPr>
        <w:t>6 后期工作</w:t>
      </w:r>
      <w:bookmarkEnd w:id="107"/>
      <w:bookmarkEnd w:id="108"/>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09" w:name="_Toc154672840"/>
      <w:bookmarkStart w:id="110" w:name="_Toc414053975"/>
      <w:r>
        <w:rPr>
          <w:rFonts w:hint="eastAsia" w:ascii="楷体_GB2312" w:hAnsi="楷体_GB2312" w:cs="楷体_GB2312"/>
          <w:sz w:val="32"/>
        </w:rPr>
        <w:t>6.1 总结评估</w:t>
      </w:r>
      <w:bookmarkEnd w:id="109"/>
      <w:bookmarkEnd w:id="110"/>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突发环境事件应急响应结束后，生态环境部门要及时组织开展事件总结，查明突发环境事件的发生经过和原因，评估突发环境事件应急处置工作的成效，总结事件经验教训，完善环境应急长效机制。</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突发环境事件应急响应结束后，生态环境部门应当在本级人民政府的统一部署下，按照生态环境部相关工作程序规定组织开展生态环境损害鉴定评估，将评估报告报送同级人民政府和上一级生态环境部门，并向社会公开评估结论。评估结论应作为事件调查处理、环境修复和生态恢复重建的依据。突发环境事件损害评估方法按照生态环境部的相关规定执行。突发环境事件的生态环境损害赔偿按照国家、省、市相关办法执行。</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11" w:name="_Toc154672841"/>
      <w:bookmarkStart w:id="112" w:name="_Toc415068161"/>
      <w:r>
        <w:rPr>
          <w:rFonts w:hint="eastAsia" w:ascii="楷体_GB2312" w:hAnsi="楷体_GB2312" w:cs="楷体_GB2312"/>
          <w:sz w:val="32"/>
        </w:rPr>
        <w:t>6.2 事件调查</w:t>
      </w:r>
      <w:bookmarkEnd w:id="111"/>
      <w:bookmarkEnd w:id="112"/>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突发环境事件发生后，根据有关规定，省生态环境厅负责组织较大突发环境事件的调查处理，市生态环境局组织一般突发环境事件的调查处理，及时、准确查明事件原因，确认事件性质，认定事件责任，总结事件经验教训，提出防范和整改措施建议以及处理意见。调查报告要</w:t>
      </w:r>
      <w:r>
        <w:rPr>
          <w:rFonts w:ascii="Times New Roman" w:hAnsi="Times New Roman" w:cs="Times New Roman"/>
          <w:spacing w:val="-6"/>
          <w:sz w:val="32"/>
          <w:szCs w:val="32"/>
        </w:rPr>
        <w:t>报送同级人民政府和上级生态环境部门</w:t>
      </w:r>
      <w:r>
        <w:rPr>
          <w:rFonts w:ascii="Times New Roman" w:hAnsi="Times New Roman" w:cs="Times New Roman"/>
          <w:sz w:val="32"/>
          <w:szCs w:val="32"/>
        </w:rPr>
        <w:t>，并依法向社会公开调查结论相关信息。在调查中发现涉嫌</w:t>
      </w:r>
      <w:r>
        <w:rPr>
          <w:rFonts w:hint="eastAsia" w:ascii="Times New Roman" w:hAnsi="Times New Roman" w:cs="Times New Roman"/>
          <w:sz w:val="32"/>
          <w:szCs w:val="32"/>
          <w:lang w:eastAsia="zh-CN"/>
        </w:rPr>
        <w:t>违反</w:t>
      </w:r>
      <w:r>
        <w:rPr>
          <w:rFonts w:ascii="Times New Roman" w:hAnsi="Times New Roman" w:cs="Times New Roman"/>
          <w:sz w:val="32"/>
          <w:szCs w:val="32"/>
        </w:rPr>
        <w:t>党纪、职务违法和职务犯罪的问题线索，应当及时移送纪检监察机关，由纪检监察机关依规依纪依法处理。</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13" w:name="_Toc225839043"/>
      <w:bookmarkStart w:id="114" w:name="_Toc154672842"/>
      <w:r>
        <w:rPr>
          <w:rFonts w:hint="eastAsia" w:ascii="楷体_GB2312" w:hAnsi="楷体_GB2312" w:cs="楷体_GB2312"/>
          <w:sz w:val="32"/>
        </w:rPr>
        <w:t>6.3 善后处置</w:t>
      </w:r>
      <w:bookmarkEnd w:id="113"/>
      <w:bookmarkEnd w:id="114"/>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突发环境事件</w:t>
      </w:r>
      <w:r>
        <w:rPr>
          <w:rFonts w:ascii="Times New Roman" w:hAnsi="Times New Roman" w:cs="Times New Roman"/>
          <w:spacing w:val="-6"/>
          <w:sz w:val="32"/>
          <w:szCs w:val="32"/>
        </w:rPr>
        <w:t>应急工作结束后，市政府要及时组织制定补助</w:t>
      </w:r>
      <w:r>
        <w:rPr>
          <w:rFonts w:ascii="Times New Roman" w:hAnsi="Times New Roman" w:cs="Times New Roman"/>
          <w:sz w:val="32"/>
          <w:szCs w:val="32"/>
        </w:rPr>
        <w:t>、补偿、抚慰、抚恤、安置和环境恢复等善后工作方案并组织实施。</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区（功能区）政府（管委会）要按照规定及时返还被征用的财产，财产被征用或者征用后毁损、灭失的，要按照省和市的有关规定给予补偿。保险机构要及时按规定开展相关理赔工作。</w:t>
      </w:r>
    </w:p>
    <w:p>
      <w:pPr>
        <w:pStyle w:val="2"/>
        <w:keepNext w:val="0"/>
        <w:keepLines w:val="0"/>
        <w:adjustRightInd w:val="0"/>
        <w:snapToGrid w:val="0"/>
        <w:spacing w:beforeLines="0" w:afterLines="0" w:line="579" w:lineRule="exact"/>
        <w:ind w:firstLine="640" w:firstLineChars="200"/>
        <w:rPr>
          <w:rFonts w:hint="eastAsia" w:ascii="黑体" w:hAnsi="黑体" w:cs="黑体"/>
          <w:sz w:val="32"/>
          <w:szCs w:val="32"/>
        </w:rPr>
      </w:pPr>
      <w:bookmarkStart w:id="115" w:name="_Toc1383868772"/>
      <w:bookmarkStart w:id="116" w:name="_Toc154672843"/>
      <w:r>
        <w:rPr>
          <w:rFonts w:hint="eastAsia" w:ascii="黑体" w:hAnsi="黑体" w:cs="黑体"/>
          <w:sz w:val="32"/>
          <w:szCs w:val="32"/>
        </w:rPr>
        <w:t>7 应急保障</w:t>
      </w:r>
      <w:bookmarkEnd w:id="115"/>
      <w:bookmarkEnd w:id="116"/>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17" w:name="_Toc1930267407"/>
      <w:bookmarkStart w:id="118" w:name="_Toc154672844"/>
      <w:r>
        <w:rPr>
          <w:rFonts w:hint="eastAsia" w:ascii="楷体_GB2312" w:hAnsi="楷体_GB2312" w:cs="楷体_GB2312"/>
          <w:sz w:val="32"/>
        </w:rPr>
        <w:t>7.1 救援队伍保障</w:t>
      </w:r>
      <w:bookmarkEnd w:id="117"/>
      <w:bookmarkEnd w:id="118"/>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市政府要依托消防救援队伍或其他专业应急救援队伍，建立市、区（功能区）两级突发环境事件应急综合性救援队伍；高环境风险行业企业建立专职或兼职的应急救援队伍；有条件的地区通过市场化方式，委托当地有应急处置能力的环保技术单位参与突发环境事件应急处置。</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市生态环境局要加强环境应急专家队伍管理，建立完善专家库并定期更新，优化相关咨询机制和管理程序，及时为突发环境事件应急工作提供技术与决策支持。加强应急队伍相关知识、技能培训，定期组织应急演练，强化部门间应急联动机制建设，提高突发环境事件快速响应及应急处置能力。</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19" w:name="_Toc154672845"/>
      <w:bookmarkStart w:id="120" w:name="_Toc453858637"/>
      <w:r>
        <w:rPr>
          <w:rFonts w:hint="eastAsia" w:ascii="楷体_GB2312" w:hAnsi="楷体_GB2312" w:cs="楷体_GB2312"/>
          <w:sz w:val="32"/>
        </w:rPr>
        <w:t>7.2 资金保障</w:t>
      </w:r>
      <w:bookmarkEnd w:id="119"/>
      <w:bookmarkEnd w:id="120"/>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突发环境事件应急处置所需经费首先由事件责任单位承担。市应急指挥部有关部门应当把突发环境事件应对工作所需经费列入财政预算。</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21" w:name="_Toc154672846"/>
      <w:bookmarkStart w:id="122" w:name="_Toc988693101"/>
      <w:r>
        <w:rPr>
          <w:rFonts w:hint="eastAsia" w:ascii="楷体_GB2312" w:hAnsi="楷体_GB2312" w:cs="楷体_GB2312"/>
          <w:sz w:val="32"/>
        </w:rPr>
        <w:t>7.3 物资保障</w:t>
      </w:r>
      <w:bookmarkEnd w:id="121"/>
      <w:bookmarkEnd w:id="122"/>
    </w:p>
    <w:p>
      <w:pPr>
        <w:adjustRightInd w:val="0"/>
        <w:snapToGrid w:val="0"/>
        <w:spacing w:beforeLines="0" w:afterLines="0" w:line="579" w:lineRule="exact"/>
        <w:ind w:firstLine="640"/>
        <w:rPr>
          <w:rFonts w:ascii="Times New Roman" w:hAnsi="Times New Roman" w:cs="Times New Roman"/>
          <w:sz w:val="32"/>
          <w:szCs w:val="32"/>
        </w:rPr>
      </w:pPr>
      <w:r>
        <w:rPr>
          <w:rFonts w:hint="eastAsia" w:ascii="Times New Roman" w:hAnsi="Times New Roman" w:cs="Times New Roman"/>
          <w:sz w:val="32"/>
          <w:szCs w:val="32"/>
        </w:rPr>
        <w:t>市发展改革局负责粮油应急保障以及救灾物资，食盐、冻猪肉等物资储备</w:t>
      </w:r>
      <w:r>
        <w:rPr>
          <w:rFonts w:hint="eastAsia" w:ascii="Times New Roman" w:hAnsi="Times New Roman" w:cs="Times New Roman"/>
          <w:sz w:val="32"/>
          <w:szCs w:val="32"/>
          <w:lang w:eastAsia="zh-CN"/>
        </w:rPr>
        <w:t>。</w:t>
      </w:r>
      <w:r>
        <w:rPr>
          <w:rFonts w:ascii="Times New Roman" w:hAnsi="Times New Roman" w:cs="Times New Roman"/>
          <w:sz w:val="32"/>
          <w:szCs w:val="32"/>
        </w:rPr>
        <w:t>生态环境部门归口负责应急监测仪器设备等专业应急物资储备。市工业和信息化、民政、生态环境、应急管理等有关部门按照职责分工，组织做好环境应急救援物资紧急生产、储备调拨和紧急配送工作，保障突发环境事件应急处置和环境恢复治理工作的需要。</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区（功能区）政府（管委会）及其相关部门要加强应急物资储备，鼓励支持社会化应急物资储备，保障应急物资、生活必需品的生产和供给。生态环境部门要加强对当地环境应急物资储备信息的动态管理。</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23" w:name="_Toc1395337776"/>
      <w:bookmarkStart w:id="124" w:name="_Toc154672847"/>
      <w:r>
        <w:rPr>
          <w:rFonts w:hint="eastAsia" w:ascii="楷体_GB2312" w:hAnsi="楷体_GB2312" w:cs="楷体_GB2312"/>
          <w:sz w:val="32"/>
        </w:rPr>
        <w:t>7.4 交通保障</w:t>
      </w:r>
      <w:bookmarkEnd w:id="123"/>
      <w:bookmarkEnd w:id="124"/>
    </w:p>
    <w:p>
      <w:pPr>
        <w:adjustRightInd w:val="0"/>
        <w:snapToGrid w:val="0"/>
        <w:spacing w:beforeLines="0" w:afterLines="0" w:line="579" w:lineRule="exact"/>
        <w:ind w:firstLine="640"/>
        <w:rPr>
          <w:rFonts w:ascii="Times New Roman" w:hAnsi="Times New Roman" w:cs="Times New Roman"/>
          <w:sz w:val="32"/>
          <w:szCs w:val="32"/>
        </w:rPr>
      </w:pPr>
      <w:r>
        <w:rPr>
          <w:rFonts w:hint="eastAsia"/>
          <w:sz w:val="32"/>
          <w:szCs w:val="32"/>
        </w:rPr>
        <w:t>交通运输</w:t>
      </w:r>
      <w:r>
        <w:rPr>
          <w:rFonts w:ascii="Times New Roman" w:hAnsi="Times New Roman" w:cs="Times New Roman"/>
          <w:sz w:val="32"/>
          <w:szCs w:val="32"/>
        </w:rPr>
        <w:t>等相关部门要健全公路、水路</w:t>
      </w:r>
      <w:r>
        <w:rPr>
          <w:rFonts w:hint="eastAsia" w:ascii="Times New Roman" w:hAnsi="Times New Roman" w:cs="Times New Roman"/>
          <w:sz w:val="32"/>
          <w:szCs w:val="32"/>
        </w:rPr>
        <w:t>、桥梁、隧道</w:t>
      </w:r>
      <w:r>
        <w:rPr>
          <w:rFonts w:ascii="Times New Roman" w:hAnsi="Times New Roman" w:cs="Times New Roman"/>
          <w:sz w:val="32"/>
          <w:szCs w:val="32"/>
        </w:rPr>
        <w:t>等紧急运输保障体系，负责组织提供应急响应所需的运输保障。</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公安部门要加强应急交通管理，保障运送伤病员、应急救援人员、物资、装备、器材的车辆优先通行。</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25" w:name="_Toc85695469"/>
      <w:bookmarkStart w:id="126" w:name="_Toc154672848"/>
      <w:r>
        <w:rPr>
          <w:rFonts w:hint="eastAsia" w:ascii="楷体_GB2312" w:hAnsi="楷体_GB2312" w:cs="楷体_GB2312"/>
          <w:sz w:val="32"/>
        </w:rPr>
        <w:t>7.5 通信保障</w:t>
      </w:r>
      <w:bookmarkEnd w:id="125"/>
      <w:bookmarkEnd w:id="126"/>
    </w:p>
    <w:p>
      <w:pPr>
        <w:adjustRightInd w:val="0"/>
        <w:snapToGrid w:val="0"/>
        <w:spacing w:beforeLines="0" w:afterLines="0" w:line="579" w:lineRule="exact"/>
        <w:ind w:firstLine="64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rPr>
        <w:t>市通信建设管理办公室及负有相应职责的部门要建立健全突发环境事件应急通讯保障体系，确保应急期间通信联络和信息传递需要</w:t>
      </w:r>
      <w:r>
        <w:rPr>
          <w:rFonts w:hint="eastAsia" w:ascii="Times New Roman" w:hAnsi="Times New Roman" w:cs="Times New Roman"/>
          <w:sz w:val="32"/>
          <w:szCs w:val="32"/>
          <w:lang w:eastAsia="zh-CN"/>
        </w:rPr>
        <w:t>。</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27" w:name="_Toc794894854"/>
      <w:bookmarkStart w:id="128" w:name="_Toc154672849"/>
      <w:r>
        <w:rPr>
          <w:rFonts w:hint="eastAsia" w:ascii="楷体_GB2312" w:hAnsi="楷体_GB2312" w:cs="楷体_GB2312"/>
          <w:sz w:val="32"/>
        </w:rPr>
        <w:t>7.6 技术保障</w:t>
      </w:r>
      <w:bookmarkEnd w:id="127"/>
      <w:bookmarkEnd w:id="128"/>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市应急指挥部相关成员单位要支持突发环境事件应急处置技术和装备的研发。市生态环境局要依托广东省环境应急综合管理系统，实现环境应急指挥作战、环境风险监测预警的智能化和数字化。</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29" w:name="_Toc26481"/>
      <w:bookmarkStart w:id="130" w:name="_Toc10112924"/>
      <w:bookmarkStart w:id="131" w:name="_Toc98336057"/>
      <w:bookmarkStart w:id="132" w:name="_Toc21108"/>
      <w:bookmarkStart w:id="133" w:name="_Toc28901"/>
      <w:bookmarkStart w:id="134" w:name="_Toc154672850"/>
      <w:bookmarkStart w:id="135" w:name="_Toc6724"/>
      <w:bookmarkStart w:id="136" w:name="_Toc678668791"/>
      <w:bookmarkStart w:id="137" w:name="_Toc75771245"/>
      <w:bookmarkStart w:id="138" w:name="_Toc1363307620"/>
      <w:bookmarkStart w:id="139" w:name="_Toc14022"/>
      <w:bookmarkStart w:id="140" w:name="_Toc26561"/>
      <w:bookmarkStart w:id="141" w:name="_Toc2649"/>
      <w:r>
        <w:rPr>
          <w:rFonts w:hint="eastAsia" w:ascii="楷体_GB2312" w:hAnsi="楷体_GB2312" w:cs="楷体_GB2312"/>
          <w:sz w:val="32"/>
        </w:rPr>
        <w:t>7.7 保险制度</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鼓励市应急指挥部各成员单位建立政府推动与市场运作相结合的突发环境事件防范、处置及补偿机制。鼓励有条件的地方积极开展环境污染责任保险。鼓励保险公司根据生态环境部门要求、地区环境风险评估情况和企业需求，做好环境污染责任保险产品的开发工作，为环境风险提供保险保障，做好突发环境事件的应急处置、定损、赔偿等服务。鼓励社会公众参与商业保险和参加互助保险，建立突发环境事件风险分担机制。</w:t>
      </w:r>
    </w:p>
    <w:p>
      <w:pPr>
        <w:pStyle w:val="2"/>
        <w:keepNext w:val="0"/>
        <w:keepLines w:val="0"/>
        <w:adjustRightInd w:val="0"/>
        <w:snapToGrid w:val="0"/>
        <w:spacing w:beforeLines="0" w:afterLines="0" w:line="579" w:lineRule="exact"/>
        <w:ind w:firstLine="640" w:firstLineChars="200"/>
        <w:rPr>
          <w:rFonts w:hint="eastAsia" w:ascii="黑体" w:hAnsi="黑体" w:cs="黑体"/>
          <w:sz w:val="32"/>
          <w:szCs w:val="32"/>
        </w:rPr>
      </w:pPr>
      <w:bookmarkStart w:id="142" w:name="_Toc154672851"/>
      <w:bookmarkStart w:id="143" w:name="_Toc1404970256"/>
      <w:r>
        <w:rPr>
          <w:rFonts w:hint="eastAsia" w:ascii="黑体" w:hAnsi="黑体" w:cs="黑体"/>
          <w:sz w:val="32"/>
          <w:szCs w:val="32"/>
        </w:rPr>
        <w:t>8 监督管理</w:t>
      </w:r>
      <w:bookmarkEnd w:id="142"/>
      <w:bookmarkEnd w:id="143"/>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44" w:name="_Toc154672852"/>
      <w:bookmarkStart w:id="145" w:name="_Toc563283046"/>
      <w:r>
        <w:rPr>
          <w:rFonts w:hint="eastAsia" w:ascii="楷体_GB2312" w:hAnsi="楷体_GB2312" w:cs="楷体_GB2312"/>
          <w:sz w:val="32"/>
        </w:rPr>
        <w:t>8.1 预案演练</w:t>
      </w:r>
      <w:bookmarkEnd w:id="144"/>
      <w:bookmarkEnd w:id="145"/>
      <w:r>
        <w:rPr>
          <w:rFonts w:hint="eastAsia" w:ascii="楷体_GB2312" w:hAnsi="楷体_GB2312" w:cs="楷体_GB2312"/>
          <w:sz w:val="32"/>
        </w:rPr>
        <w:t xml:space="preserve"> </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市生态环境局负责定期组织本预案应急演练。</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46" w:name="_Toc154672853"/>
      <w:bookmarkStart w:id="147" w:name="_Toc945014312"/>
      <w:r>
        <w:rPr>
          <w:rFonts w:hint="eastAsia" w:ascii="楷体_GB2312" w:hAnsi="楷体_GB2312" w:cs="楷体_GB2312"/>
          <w:sz w:val="32"/>
        </w:rPr>
        <w:t>8.2 宣传培训</w:t>
      </w:r>
      <w:bookmarkEnd w:id="146"/>
      <w:bookmarkEnd w:id="147"/>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市应急指挥部各成员单位要建立健全突发环境事件应急管理培训制度，定期开展环境应急管理形势和突发环境事件应急预案的宣传和教育工作，普及突发环境事件预防、避险、自救、互救和应急处置知识。</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48" w:name="_Toc46876813"/>
      <w:bookmarkStart w:id="149" w:name="_Toc154672854"/>
      <w:r>
        <w:rPr>
          <w:rFonts w:hint="eastAsia" w:ascii="楷体_GB2312" w:hAnsi="楷体_GB2312" w:cs="楷体_GB2312"/>
          <w:sz w:val="32"/>
        </w:rPr>
        <w:t>8.3 奖惩与责任</w:t>
      </w:r>
      <w:bookmarkEnd w:id="148"/>
      <w:bookmarkEnd w:id="149"/>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对在突发环境事件应对工作中作出突出贡献的单位和个人，要依照有关规定给予表扬和奖励。对玩忽职守、失职、渎职的有关责任人，要依据有关规定严肃追究责任，构成犯罪的，依法追究刑事责任。</w:t>
      </w:r>
    </w:p>
    <w:p>
      <w:pPr>
        <w:pStyle w:val="2"/>
        <w:keepNext w:val="0"/>
        <w:keepLines w:val="0"/>
        <w:adjustRightInd w:val="0"/>
        <w:snapToGrid w:val="0"/>
        <w:spacing w:beforeLines="0" w:afterLines="0" w:line="579" w:lineRule="exact"/>
        <w:ind w:firstLine="640" w:firstLineChars="200"/>
        <w:rPr>
          <w:rFonts w:hint="eastAsia" w:ascii="黑体" w:hAnsi="黑体" w:cs="黑体"/>
          <w:sz w:val="32"/>
          <w:szCs w:val="32"/>
        </w:rPr>
      </w:pPr>
      <w:bookmarkStart w:id="150" w:name="_Toc20150188"/>
      <w:bookmarkStart w:id="151" w:name="_Toc1120954907"/>
      <w:bookmarkStart w:id="152" w:name="_Toc154672855"/>
      <w:r>
        <w:rPr>
          <w:rFonts w:hint="eastAsia" w:ascii="黑体" w:hAnsi="黑体" w:cs="黑体"/>
          <w:sz w:val="32"/>
          <w:szCs w:val="32"/>
        </w:rPr>
        <w:t>9 附则</w:t>
      </w:r>
      <w:bookmarkEnd w:id="150"/>
      <w:bookmarkEnd w:id="151"/>
      <w:bookmarkEnd w:id="152"/>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53" w:name="_Toc2098187060"/>
      <w:bookmarkStart w:id="154" w:name="_Toc154672856"/>
      <w:r>
        <w:rPr>
          <w:rFonts w:hint="eastAsia" w:ascii="楷体_GB2312" w:hAnsi="楷体_GB2312" w:cs="楷体_GB2312"/>
          <w:sz w:val="32"/>
        </w:rPr>
        <w:t>9.1 名词术语</w:t>
      </w:r>
      <w:bookmarkEnd w:id="153"/>
      <w:bookmarkEnd w:id="154"/>
      <w:r>
        <w:rPr>
          <w:rFonts w:hint="eastAsia" w:ascii="楷体_GB2312" w:hAnsi="楷体_GB2312" w:cs="楷体_GB2312"/>
          <w:sz w:val="32"/>
        </w:rPr>
        <w:t xml:space="preserve"> </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（1）本预案有关数量的表述中，“以上”含本数，“以下”不含本数。</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3）泄漏处理：泄漏处理是指对危险化学品、危险废物、放射性物质、有毒气体等污染源因事件发生泄漏时所采取的应急处置措施。泄漏处理要及时、得当，避免重大事件的发生。泄漏处理一般分为泄漏源控制和泄漏物处置两部分。</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（4）应急监测：环境应急情况下，为发现和查明环境污染情况和污染范围而进行的环境监测。</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（5）应急响应：指环境污染事故发生后，有关组织或人员采取的应急行动。</w:t>
      </w:r>
    </w:p>
    <w:p>
      <w:pPr>
        <w:pStyle w:val="3"/>
        <w:keepNext w:val="0"/>
        <w:keepLines w:val="0"/>
        <w:adjustRightInd w:val="0"/>
        <w:snapToGrid w:val="0"/>
        <w:spacing w:beforeLines="0" w:afterLines="0" w:line="579" w:lineRule="exact"/>
        <w:ind w:firstLine="640" w:firstLineChars="200"/>
        <w:rPr>
          <w:rFonts w:hint="eastAsia" w:ascii="楷体_GB2312" w:hAnsi="楷体_GB2312" w:cs="楷体_GB2312"/>
          <w:sz w:val="32"/>
        </w:rPr>
      </w:pPr>
      <w:bookmarkStart w:id="155" w:name="_Toc74911436"/>
      <w:bookmarkStart w:id="156" w:name="_Toc13634"/>
      <w:bookmarkStart w:id="157" w:name="_Toc154672857"/>
      <w:r>
        <w:rPr>
          <w:rFonts w:hint="eastAsia" w:ascii="楷体_GB2312" w:hAnsi="楷体_GB2312" w:cs="楷体_GB2312"/>
          <w:sz w:val="32"/>
        </w:rPr>
        <w:t>9.2 修订与解释</w:t>
      </w:r>
      <w:bookmarkEnd w:id="155"/>
      <w:bookmarkEnd w:id="156"/>
      <w:bookmarkEnd w:id="157"/>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（1）本预案由珠海市人民政府组织修订，由市生态环境局负责解释。</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（2）各区（功能区）政府（管委会）及其有关单位、群众自治组织、企</w:t>
      </w:r>
      <w:r>
        <w:rPr>
          <w:rFonts w:hint="eastAsia" w:ascii="仿宋_GB2312" w:hAnsi="仿宋_GB2312" w:cs="仿宋_GB2312"/>
          <w:sz w:val="32"/>
          <w:szCs w:val="32"/>
          <w:lang w:eastAsia="zh-CN"/>
        </w:rPr>
        <w:t>事</w:t>
      </w:r>
      <w:r>
        <w:rPr>
          <w:rFonts w:hint="eastAsia" w:ascii="仿宋_GB2312" w:hAnsi="仿宋_GB2312" w:cs="仿宋_GB2312"/>
          <w:sz w:val="32"/>
          <w:szCs w:val="32"/>
        </w:rPr>
        <w:t>业单位等按照本预案的规定履行职责，并制订、完善相应的应急预案。</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（3）本预案自印发之日起实施。2018年珠海市人民政府印发的《珠海市突发环境事件应急预案》（珠府函〔2018〕464）同时废止。</w:t>
      </w:r>
    </w:p>
    <w:p>
      <w:pPr>
        <w:pStyle w:val="9"/>
        <w:rPr>
          <w:rFonts w:hint="eastAsia" w:ascii="仿宋_GB2312" w:hAnsi="仿宋_GB2312" w:eastAsia="仿宋_GB2312" w:cs="仿宋_GB2312"/>
          <w:sz w:val="32"/>
          <w:szCs w:val="32"/>
          <w:lang w:val="en-US" w:eastAsia="zh-CN"/>
        </w:rPr>
      </w:pPr>
      <w:bookmarkStart w:id="158" w:name="_Toc154672858"/>
      <w:bookmarkStart w:id="159" w:name="_Toc1318454316"/>
      <w:bookmarkStart w:id="160" w:name="_Toc8247"/>
      <w:bookmarkStart w:id="161" w:name="_Toc453871165"/>
      <w:bookmarkStart w:id="162" w:name="_Toc465669170"/>
    </w:p>
    <w:p>
      <w:pPr>
        <w:adjustRightInd w:val="0"/>
        <w:snapToGrid w:val="0"/>
        <w:spacing w:beforeLines="0" w:afterLines="0" w:line="579" w:lineRule="exact"/>
        <w:ind w:firstLine="640"/>
        <w:rPr>
          <w:rFonts w:hint="eastAsia" w:ascii="黑体" w:hAnsi="黑体" w:eastAsia="黑体" w:cs="黑体"/>
          <w:sz w:val="32"/>
          <w:szCs w:val="32"/>
        </w:rPr>
      </w:pPr>
    </w:p>
    <w:p>
      <w:pPr>
        <w:adjustRightInd w:val="0"/>
        <w:snapToGrid w:val="0"/>
        <w:spacing w:beforeLines="0" w:afterLines="0" w:line="579" w:lineRule="exact"/>
        <w:ind w:firstLine="640"/>
        <w:rPr>
          <w:rFonts w:hint="eastAsia" w:ascii="黑体" w:hAnsi="黑体" w:eastAsia="黑体" w:cs="黑体"/>
          <w:sz w:val="32"/>
          <w:szCs w:val="32"/>
        </w:rPr>
      </w:pPr>
    </w:p>
    <w:p>
      <w:pPr>
        <w:adjustRightInd w:val="0"/>
        <w:snapToGrid w:val="0"/>
        <w:spacing w:beforeLines="0" w:afterLines="0" w:line="579" w:lineRule="exact"/>
        <w:ind w:firstLine="640"/>
        <w:rPr>
          <w:rFonts w:hint="eastAsia" w:ascii="黑体" w:hAnsi="黑体" w:eastAsia="黑体" w:cs="黑体"/>
          <w:sz w:val="32"/>
          <w:szCs w:val="32"/>
        </w:rPr>
      </w:pPr>
    </w:p>
    <w:p>
      <w:pPr>
        <w:adjustRightInd w:val="0"/>
        <w:snapToGrid w:val="0"/>
        <w:spacing w:beforeLines="0" w:afterLines="0" w:line="579" w:lineRule="exact"/>
        <w:ind w:firstLine="640"/>
        <w:rPr>
          <w:rFonts w:hint="eastAsia" w:ascii="黑体" w:hAnsi="黑体" w:eastAsia="黑体" w:cs="黑体"/>
          <w:sz w:val="32"/>
          <w:szCs w:val="32"/>
        </w:rPr>
      </w:pPr>
    </w:p>
    <w:p>
      <w:pPr>
        <w:adjustRightInd w:val="0"/>
        <w:snapToGrid w:val="0"/>
        <w:spacing w:beforeLines="0" w:afterLines="0" w:line="579" w:lineRule="exact"/>
        <w:ind w:firstLine="640"/>
        <w:rPr>
          <w:rFonts w:hint="eastAsia" w:ascii="黑体" w:hAnsi="黑体" w:eastAsia="黑体" w:cs="黑体"/>
          <w:sz w:val="32"/>
          <w:szCs w:val="32"/>
        </w:rPr>
      </w:pPr>
    </w:p>
    <w:p>
      <w:pPr>
        <w:adjustRightInd w:val="0"/>
        <w:snapToGrid w:val="0"/>
        <w:spacing w:beforeLines="0" w:afterLines="0" w:line="579" w:lineRule="exact"/>
        <w:ind w:firstLine="640"/>
        <w:rPr>
          <w:rFonts w:hint="eastAsia" w:ascii="黑体" w:hAnsi="黑体" w:eastAsia="黑体" w:cs="黑体"/>
          <w:sz w:val="32"/>
          <w:szCs w:val="32"/>
        </w:rPr>
      </w:pPr>
    </w:p>
    <w:bookmarkEnd w:id="158"/>
    <w:bookmarkEnd w:id="159"/>
    <w:p>
      <w:pPr>
        <w:pStyle w:val="3"/>
        <w:keepNext w:val="0"/>
        <w:keepLines w:val="0"/>
        <w:adjustRightInd w:val="0"/>
        <w:snapToGrid w:val="0"/>
        <w:spacing w:beforeLines="0" w:afterLines="0" w:line="579" w:lineRule="exact"/>
        <w:ind w:firstLine="0" w:firstLineChars="0"/>
        <w:rPr>
          <w:rFonts w:hint="eastAsia" w:ascii="黑体" w:hAnsi="黑体" w:eastAsia="黑体" w:cs="黑体"/>
          <w:sz w:val="32"/>
        </w:rPr>
      </w:pPr>
      <w:bookmarkStart w:id="163" w:name="_Toc154672859"/>
      <w:bookmarkStart w:id="164" w:name="_Toc2064078428"/>
      <w:r>
        <w:rPr>
          <w:rFonts w:hint="eastAsia" w:ascii="黑体" w:hAnsi="黑体" w:eastAsia="黑体" w:cs="黑体"/>
          <w:sz w:val="32"/>
        </w:rPr>
        <w:t>附件1</w:t>
      </w:r>
    </w:p>
    <w:p>
      <w:pPr>
        <w:pStyle w:val="3"/>
        <w:keepNext w:val="0"/>
        <w:keepLines w:val="0"/>
        <w:adjustRightInd w:val="0"/>
        <w:snapToGrid w:val="0"/>
        <w:spacing w:beforeLines="0" w:afterLines="0" w:line="579" w:lineRule="exact"/>
        <w:ind w:firstLine="0" w:firstLineChars="0"/>
        <w:rPr>
          <w:rFonts w:hint="eastAsia" w:ascii="楷体_GB2312" w:hAnsi="楷体_GB2312" w:cs="楷体_GB2312"/>
          <w:sz w:val="32"/>
        </w:rPr>
      </w:pPr>
    </w:p>
    <w:p>
      <w:pPr>
        <w:pStyle w:val="3"/>
        <w:keepNext w:val="0"/>
        <w:keepLines w:val="0"/>
        <w:adjustRightInd w:val="0"/>
        <w:snapToGrid w:val="0"/>
        <w:spacing w:beforeLines="0" w:afterLines="0" w:line="579"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突发环境事件分级标准</w:t>
      </w:r>
      <w:bookmarkEnd w:id="160"/>
      <w:bookmarkEnd w:id="163"/>
      <w:bookmarkEnd w:id="164"/>
    </w:p>
    <w:p>
      <w:pPr>
        <w:pStyle w:val="3"/>
        <w:keepNext w:val="0"/>
        <w:keepLines w:val="0"/>
        <w:adjustRightInd w:val="0"/>
        <w:snapToGrid w:val="0"/>
        <w:spacing w:beforeLines="0" w:afterLines="0" w:line="579" w:lineRule="exact"/>
        <w:ind w:firstLine="0" w:firstLineChars="0"/>
        <w:rPr>
          <w:rFonts w:hint="eastAsia" w:ascii="楷体_GB2312" w:hAnsi="楷体_GB2312" w:cs="楷体_GB2312"/>
          <w:sz w:val="32"/>
        </w:rPr>
      </w:pPr>
    </w:p>
    <w:p>
      <w:pPr>
        <w:adjustRightInd w:val="0"/>
        <w:snapToGrid w:val="0"/>
        <w:spacing w:beforeLines="0" w:afterLines="0" w:line="579"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特别重大突发环境事件</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凡符合下列情形之一的，为特别重大突发环境事件：</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w:t>
      </w:r>
      <w:r>
        <w:rPr>
          <w:rFonts w:hint="eastAsia" w:ascii="仿宋_GB2312" w:hAnsi="仿宋_GB2312" w:cs="仿宋_GB2312"/>
          <w:spacing w:val="11"/>
          <w:sz w:val="32"/>
          <w:szCs w:val="32"/>
        </w:rPr>
        <w:t>因环境污染直接导致30人以上死亡或100人以上中毒或重伤的；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（2）因环境污染疏散、转移人员5万人以上的；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（3）因环境污染造成直接经济损失1亿元以上的；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（4）因环境污染造成区域生态功能丧失或该区域国家重点保护物种灭绝的；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（5）因环境污染造成地级以上市集中式饮用水水源地取水中断的；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（6）</w:t>
      </w:r>
      <w:r>
        <w:rPr>
          <w:rFonts w:hint="eastAsia" w:ascii="仿宋_GB2312" w:hAnsi="仿宋_GB2312" w:eastAsia="仿宋_GB2312" w:cs="仿宋_GB2312"/>
          <w:sz w:val="32"/>
          <w:szCs w:val="32"/>
        </w:rPr>
        <w:t>Ⅰ</w:t>
      </w:r>
      <w:r>
        <w:rPr>
          <w:rFonts w:hint="eastAsia" w:ascii="仿宋_GB2312" w:hAnsi="仿宋_GB2312" w:cs="仿宋_GB2312"/>
          <w:sz w:val="32"/>
          <w:szCs w:val="32"/>
        </w:rPr>
        <w:t>、</w:t>
      </w:r>
      <w:r>
        <w:rPr>
          <w:rFonts w:hint="eastAsia" w:ascii="仿宋_GB2312" w:hAnsi="仿宋_GB2312" w:eastAsia="仿宋_GB2312" w:cs="仿宋_GB2312"/>
          <w:sz w:val="32"/>
          <w:szCs w:val="32"/>
        </w:rPr>
        <w:t>Ⅱ</w:t>
      </w:r>
      <w:r>
        <w:rPr>
          <w:rFonts w:hint="eastAsia" w:ascii="仿宋_GB2312" w:hAnsi="仿宋_GB2312" w:cs="仿宋_GB2312"/>
          <w:sz w:val="32"/>
          <w:szCs w:val="32"/>
        </w:rPr>
        <w:t>类放射源丢失、被盗、失控并造成大范围严重辐射污染后果的；放射性同位素和射线装置失控导致3人以上急性死亡的；放射性物质泄漏，造成大范围辐射污染后果的。</w:t>
      </w:r>
    </w:p>
    <w:p>
      <w:pPr>
        <w:adjustRightInd w:val="0"/>
        <w:snapToGrid w:val="0"/>
        <w:spacing w:beforeLines="0" w:afterLines="0" w:line="579"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2.</w:t>
      </w:r>
      <w:r>
        <w:rPr>
          <w:rFonts w:hint="eastAsia" w:ascii="黑体" w:hAnsi="黑体" w:eastAsia="黑体" w:cs="黑体"/>
          <w:b w:val="0"/>
          <w:bCs/>
          <w:sz w:val="32"/>
          <w:szCs w:val="32"/>
        </w:rPr>
        <w:t>重大突发环境事件</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凡符合下列情况之一的，为重大突发环境事件：</w:t>
      </w:r>
    </w:p>
    <w:p>
      <w:pPr>
        <w:adjustRightInd w:val="0"/>
        <w:snapToGrid w:val="0"/>
        <w:spacing w:beforeLines="0" w:afterLines="0" w:line="579" w:lineRule="exact"/>
        <w:ind w:firstLine="640"/>
        <w:rPr>
          <w:rFonts w:hint="eastAsia" w:ascii="仿宋_GB2312" w:hAnsi="仿宋_GB2312" w:cs="仿宋_GB2312"/>
          <w:spacing w:val="6"/>
          <w:sz w:val="32"/>
          <w:szCs w:val="32"/>
        </w:rPr>
      </w:pPr>
      <w:r>
        <w:rPr>
          <w:rFonts w:hint="eastAsia" w:ascii="仿宋_GB2312" w:hAnsi="仿宋_GB2312" w:cs="仿宋_GB2312"/>
          <w:sz w:val="32"/>
          <w:szCs w:val="32"/>
        </w:rPr>
        <w:t>（1）</w:t>
      </w:r>
      <w:r>
        <w:rPr>
          <w:rFonts w:hint="eastAsia" w:ascii="仿宋_GB2312" w:hAnsi="仿宋_GB2312" w:cs="仿宋_GB2312"/>
          <w:spacing w:val="6"/>
          <w:sz w:val="32"/>
          <w:szCs w:val="32"/>
        </w:rPr>
        <w:t>因环境污染直接导致10人以上30人以下死亡或50人以上100人以下中毒或重伤的；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（2）因环境污染疏散、转移人员1万人以上5万人以下的；</w:t>
      </w:r>
    </w:p>
    <w:p>
      <w:pPr>
        <w:adjustRightInd w:val="0"/>
        <w:snapToGrid w:val="0"/>
        <w:spacing w:beforeLines="0" w:afterLines="0" w:line="579" w:lineRule="exact"/>
        <w:ind w:firstLine="640"/>
        <w:rPr>
          <w:rFonts w:hint="eastAsia" w:ascii="仿宋_GB2312" w:hAnsi="仿宋_GB2312" w:cs="仿宋_GB2312"/>
          <w:spacing w:val="6"/>
          <w:sz w:val="32"/>
          <w:szCs w:val="32"/>
        </w:rPr>
      </w:pPr>
      <w:r>
        <w:rPr>
          <w:rFonts w:hint="eastAsia" w:ascii="仿宋_GB2312" w:hAnsi="仿宋_GB2312" w:cs="仿宋_GB2312"/>
          <w:sz w:val="32"/>
          <w:szCs w:val="32"/>
        </w:rPr>
        <w:t>（3）</w:t>
      </w:r>
      <w:r>
        <w:rPr>
          <w:rFonts w:hint="eastAsia" w:ascii="仿宋_GB2312" w:hAnsi="仿宋_GB2312" w:cs="仿宋_GB2312"/>
          <w:spacing w:val="6"/>
          <w:sz w:val="32"/>
          <w:szCs w:val="32"/>
        </w:rPr>
        <w:t>因环境污染造成直接经济损失2000万元以上1亿元以下的；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（4）因环境污染造成区域生态功能部分丧失或该区域国家重点保护野生动植物种群大批死亡的；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（5）因环境污染造成县级城市集中式饮用水水源地取水中断的；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（6）</w:t>
      </w:r>
      <w:r>
        <w:rPr>
          <w:rFonts w:hint="eastAsia" w:ascii="仿宋_GB2312" w:hAnsi="仿宋_GB2312" w:eastAsia="仿宋_GB2312" w:cs="仿宋_GB2312"/>
          <w:sz w:val="32"/>
          <w:szCs w:val="32"/>
        </w:rPr>
        <w:t>Ⅰ</w:t>
      </w:r>
      <w:r>
        <w:rPr>
          <w:rFonts w:hint="eastAsia" w:ascii="仿宋_GB2312" w:hAnsi="仿宋_GB2312" w:cs="仿宋_GB2312"/>
          <w:sz w:val="32"/>
          <w:szCs w:val="32"/>
        </w:rPr>
        <w:t>、</w:t>
      </w:r>
      <w:r>
        <w:rPr>
          <w:rFonts w:hint="eastAsia" w:ascii="仿宋_GB2312" w:hAnsi="仿宋_GB2312" w:eastAsia="仿宋_GB2312" w:cs="仿宋_GB2312"/>
          <w:sz w:val="32"/>
          <w:szCs w:val="32"/>
        </w:rPr>
        <w:t>Ⅱ</w:t>
      </w:r>
      <w:r>
        <w:rPr>
          <w:rFonts w:hint="eastAsia" w:ascii="仿宋_GB2312" w:hAnsi="仿宋_GB2312" w:cs="仿宋_GB2312"/>
          <w:sz w:val="32"/>
          <w:szCs w:val="32"/>
        </w:rPr>
        <w:t>类放射源丢失、被盗的；放射性同位素和射线装置失控导致3人以下急性死亡或者10人以上急性重度放射病、</w:t>
      </w:r>
      <w:r>
        <w:rPr>
          <w:rFonts w:hint="eastAsia" w:ascii="仿宋_GB2312" w:hAnsi="仿宋_GB2312" w:cs="仿宋_GB2312"/>
          <w:spacing w:val="6"/>
          <w:sz w:val="32"/>
          <w:szCs w:val="32"/>
        </w:rPr>
        <w:t>局部器官残疾的；放射性物质泄漏，造成较大范围辐射污染后果的；</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（7）造成跨省级行政区域影响的突发环境事件。</w:t>
      </w:r>
    </w:p>
    <w:p>
      <w:pPr>
        <w:adjustRightInd w:val="0"/>
        <w:snapToGrid w:val="0"/>
        <w:spacing w:beforeLines="0" w:afterLines="0" w:line="579"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较大突发环境事件</w:t>
      </w:r>
    </w:p>
    <w:p>
      <w:pPr>
        <w:adjustRightInd w:val="0"/>
        <w:snapToGrid w:val="0"/>
        <w:spacing w:beforeLines="0" w:afterLines="0" w:line="579" w:lineRule="exact"/>
        <w:ind w:firstLine="640"/>
        <w:rPr>
          <w:rFonts w:ascii="Times New Roman" w:hAnsi="Times New Roman" w:cs="Times New Roman"/>
          <w:sz w:val="32"/>
          <w:szCs w:val="32"/>
        </w:rPr>
      </w:pPr>
      <w:r>
        <w:rPr>
          <w:rFonts w:ascii="Times New Roman" w:hAnsi="Times New Roman" w:cs="Times New Roman"/>
          <w:sz w:val="32"/>
          <w:szCs w:val="32"/>
        </w:rPr>
        <w:t>凡符合下列情形之一的，为较大突发环境事件：</w:t>
      </w:r>
    </w:p>
    <w:p>
      <w:pPr>
        <w:adjustRightInd w:val="0"/>
        <w:snapToGrid w:val="0"/>
        <w:spacing w:beforeLines="0" w:afterLines="0" w:line="579" w:lineRule="exact"/>
        <w:ind w:firstLine="640"/>
        <w:rPr>
          <w:rFonts w:hint="eastAsia" w:ascii="仿宋_GB2312" w:hAnsi="仿宋_GB2312" w:cs="仿宋_GB2312"/>
          <w:sz w:val="32"/>
          <w:szCs w:val="32"/>
        </w:rPr>
      </w:pPr>
      <w:r>
        <w:rPr>
          <w:rFonts w:hint="eastAsia" w:ascii="仿宋_GB2312" w:hAnsi="仿宋_GB2312" w:cs="仿宋_GB2312"/>
          <w:sz w:val="32"/>
          <w:szCs w:val="32"/>
        </w:rPr>
        <w:t>（1）因环境污染直接导致3人以上10人以下死亡或10人以上50人以下中毒或重伤的；</w:t>
      </w:r>
    </w:p>
    <w:p>
      <w:pPr>
        <w:adjustRightInd w:val="0"/>
        <w:snapToGrid w:val="0"/>
        <w:spacing w:beforeLines="0" w:afterLines="0" w:line="579" w:lineRule="exact"/>
        <w:ind w:firstLine="640"/>
        <w:rPr>
          <w:rFonts w:hint="eastAsia" w:ascii="仿宋_GB2312" w:hAnsi="仿宋_GB2312" w:cs="仿宋_GB2312"/>
          <w:spacing w:val="11"/>
          <w:sz w:val="32"/>
          <w:szCs w:val="32"/>
        </w:rPr>
      </w:pPr>
      <w:r>
        <w:rPr>
          <w:rFonts w:hint="eastAsia" w:ascii="仿宋_GB2312" w:hAnsi="仿宋_GB2312" w:cs="仿宋_GB2312"/>
          <w:sz w:val="32"/>
          <w:szCs w:val="32"/>
        </w:rPr>
        <w:t>（2）</w:t>
      </w:r>
      <w:r>
        <w:rPr>
          <w:rFonts w:hint="eastAsia" w:ascii="仿宋_GB2312" w:hAnsi="仿宋_GB2312" w:cs="仿宋_GB2312"/>
          <w:spacing w:val="11"/>
          <w:sz w:val="32"/>
          <w:szCs w:val="32"/>
        </w:rPr>
        <w:t>因环境污染疏散、转移人员5000人以上1万人以下的；</w:t>
      </w:r>
    </w:p>
    <w:p>
      <w:pPr>
        <w:adjustRightInd w:val="0"/>
        <w:snapToGrid w:val="0"/>
        <w:spacing w:beforeLines="0" w:afterLines="0" w:line="579" w:lineRule="exact"/>
        <w:ind w:firstLine="640"/>
        <w:rPr>
          <w:rFonts w:hint="eastAsia" w:ascii="仿宋_GB2312" w:hAnsi="仿宋_GB2312" w:cs="仿宋_GB2312"/>
          <w:spacing w:val="11"/>
          <w:sz w:val="32"/>
          <w:szCs w:val="32"/>
        </w:rPr>
      </w:pPr>
      <w:r>
        <w:rPr>
          <w:rFonts w:hint="eastAsia" w:ascii="仿宋_GB2312" w:hAnsi="仿宋_GB2312" w:cs="仿宋_GB2312"/>
          <w:sz w:val="32"/>
          <w:szCs w:val="32"/>
        </w:rPr>
        <w:t>（3）</w:t>
      </w:r>
      <w:r>
        <w:rPr>
          <w:rFonts w:hint="eastAsia" w:ascii="仿宋_GB2312" w:hAnsi="仿宋_GB2312" w:cs="仿宋_GB2312"/>
          <w:spacing w:val="11"/>
          <w:sz w:val="32"/>
          <w:szCs w:val="32"/>
        </w:rPr>
        <w:t>因环境污染造成直接经济损失500万元以上2000万元以下的；</w:t>
      </w:r>
    </w:p>
    <w:p>
      <w:pPr>
        <w:adjustRightInd w:val="0"/>
        <w:snapToGrid w:val="0"/>
        <w:spacing w:beforeLines="0" w:afterLines="0" w:line="550" w:lineRule="exact"/>
        <w:ind w:firstLine="640"/>
        <w:rPr>
          <w:rFonts w:hint="eastAsia" w:ascii="仿宋_GB2312" w:hAnsi="仿宋_GB2312" w:cs="仿宋_GB2312"/>
          <w:sz w:val="32"/>
          <w:szCs w:val="32"/>
        </w:rPr>
      </w:pPr>
      <w:r>
        <w:rPr>
          <w:rFonts w:hint="eastAsia" w:ascii="仿宋_GB2312" w:hAnsi="仿宋_GB2312" w:cs="仿宋_GB2312"/>
          <w:sz w:val="32"/>
          <w:szCs w:val="32"/>
        </w:rPr>
        <w:t>（4）因</w:t>
      </w:r>
      <w:r>
        <w:rPr>
          <w:rFonts w:hint="eastAsia" w:ascii="仿宋_GB2312" w:hAnsi="仿宋_GB2312" w:cs="仿宋_GB2312"/>
          <w:spacing w:val="6"/>
          <w:sz w:val="32"/>
          <w:szCs w:val="32"/>
        </w:rPr>
        <w:t>环境污染造成国家重点保护的动植物物种受到破坏的；</w:t>
      </w:r>
    </w:p>
    <w:p>
      <w:pPr>
        <w:adjustRightInd w:val="0"/>
        <w:snapToGrid w:val="0"/>
        <w:spacing w:beforeLines="0" w:afterLines="0" w:line="550" w:lineRule="exact"/>
        <w:ind w:firstLine="640"/>
        <w:rPr>
          <w:rFonts w:hint="eastAsia" w:ascii="仿宋_GB2312" w:hAnsi="仿宋_GB2312" w:cs="仿宋_GB2312"/>
          <w:spacing w:val="17"/>
          <w:sz w:val="32"/>
          <w:szCs w:val="32"/>
        </w:rPr>
      </w:pPr>
      <w:r>
        <w:rPr>
          <w:rFonts w:hint="eastAsia" w:ascii="仿宋_GB2312" w:hAnsi="仿宋_GB2312" w:cs="仿宋_GB2312"/>
          <w:sz w:val="32"/>
          <w:szCs w:val="32"/>
        </w:rPr>
        <w:t>（5）</w:t>
      </w:r>
      <w:r>
        <w:rPr>
          <w:rFonts w:hint="eastAsia" w:ascii="仿宋_GB2312" w:hAnsi="仿宋_GB2312" w:cs="仿宋_GB2312"/>
          <w:spacing w:val="17"/>
          <w:sz w:val="32"/>
          <w:szCs w:val="32"/>
        </w:rPr>
        <w:t>因环境污染造成乡镇集中式饮用水水源地取水中断的；</w:t>
      </w:r>
    </w:p>
    <w:p>
      <w:pPr>
        <w:adjustRightInd w:val="0"/>
        <w:snapToGrid w:val="0"/>
        <w:spacing w:beforeLines="0" w:afterLines="0" w:line="550" w:lineRule="exact"/>
        <w:ind w:firstLine="640"/>
        <w:rPr>
          <w:rFonts w:hint="eastAsia" w:ascii="仿宋_GB2312" w:hAnsi="仿宋_GB2312" w:cs="仿宋_GB2312"/>
          <w:sz w:val="32"/>
          <w:szCs w:val="32"/>
        </w:rPr>
      </w:pPr>
      <w:r>
        <w:rPr>
          <w:rFonts w:hint="eastAsia" w:ascii="仿宋_GB2312" w:hAnsi="仿宋_GB2312" w:cs="仿宋_GB2312"/>
          <w:sz w:val="32"/>
          <w:szCs w:val="32"/>
        </w:rPr>
        <w:t>（6）</w:t>
      </w:r>
      <w:r>
        <w:rPr>
          <w:rFonts w:hint="eastAsia" w:ascii="仿宋_GB2312" w:hAnsi="仿宋_GB2312" w:eastAsia="仿宋_GB2312" w:cs="仿宋_GB2312"/>
          <w:sz w:val="32"/>
          <w:szCs w:val="32"/>
        </w:rPr>
        <w:t>Ⅲ</w:t>
      </w:r>
      <w:r>
        <w:rPr>
          <w:rFonts w:hint="eastAsia" w:ascii="仿宋_GB2312" w:hAnsi="仿宋_GB2312" w:cs="仿宋_GB2312"/>
          <w:sz w:val="32"/>
          <w:szCs w:val="32"/>
        </w:rPr>
        <w:t>类放射源丢失、被盗的，放射性同位素和射线装置失控导致10人以下急性重度放射病、局部器官残疾的；放射性物质泄漏，造成小范围辐射污染后果的；</w:t>
      </w:r>
    </w:p>
    <w:p>
      <w:pPr>
        <w:adjustRightInd w:val="0"/>
        <w:snapToGrid w:val="0"/>
        <w:spacing w:beforeLines="0" w:afterLines="0" w:line="550" w:lineRule="exact"/>
        <w:ind w:firstLine="640"/>
        <w:rPr>
          <w:rFonts w:hint="eastAsia" w:ascii="仿宋_GB2312" w:hAnsi="仿宋_GB2312" w:cs="仿宋_GB2312"/>
          <w:sz w:val="32"/>
          <w:szCs w:val="32"/>
        </w:rPr>
      </w:pPr>
      <w:r>
        <w:rPr>
          <w:rFonts w:hint="eastAsia" w:ascii="仿宋_GB2312" w:hAnsi="仿宋_GB2312" w:cs="仿宋_GB2312"/>
          <w:sz w:val="32"/>
          <w:szCs w:val="32"/>
        </w:rPr>
        <w:t>（7）造成跨地级以上市行政区域影响的突发环境事件。</w:t>
      </w:r>
    </w:p>
    <w:p>
      <w:pPr>
        <w:adjustRightInd w:val="0"/>
        <w:snapToGrid w:val="0"/>
        <w:spacing w:beforeLines="0" w:afterLines="0" w:line="55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4.</w:t>
      </w:r>
      <w:r>
        <w:rPr>
          <w:rFonts w:hint="eastAsia" w:ascii="黑体" w:hAnsi="黑体" w:eastAsia="黑体" w:cs="黑体"/>
          <w:b w:val="0"/>
          <w:bCs/>
          <w:sz w:val="32"/>
          <w:szCs w:val="32"/>
        </w:rPr>
        <w:t>一般突发环境事件</w:t>
      </w:r>
    </w:p>
    <w:p>
      <w:pPr>
        <w:adjustRightInd w:val="0"/>
        <w:snapToGrid w:val="0"/>
        <w:spacing w:beforeLines="0" w:afterLines="0" w:line="550" w:lineRule="exact"/>
        <w:ind w:firstLine="640"/>
        <w:rPr>
          <w:rFonts w:ascii="Times New Roman" w:hAnsi="Times New Roman" w:cs="Times New Roman"/>
          <w:sz w:val="32"/>
          <w:szCs w:val="32"/>
        </w:rPr>
      </w:pPr>
      <w:r>
        <w:rPr>
          <w:rFonts w:ascii="Times New Roman" w:hAnsi="Times New Roman" w:cs="Times New Roman"/>
          <w:sz w:val="32"/>
          <w:szCs w:val="32"/>
        </w:rPr>
        <w:t>凡符合下列情形之一的，为一般突发环境事件：</w:t>
      </w:r>
    </w:p>
    <w:p>
      <w:pPr>
        <w:adjustRightInd w:val="0"/>
        <w:snapToGrid w:val="0"/>
        <w:spacing w:beforeLines="0" w:afterLines="0" w:line="550" w:lineRule="exact"/>
        <w:ind w:firstLine="640"/>
        <w:rPr>
          <w:rFonts w:hint="eastAsia" w:ascii="仿宋_GB2312" w:hAnsi="仿宋_GB2312" w:cs="仿宋_GB2312"/>
          <w:sz w:val="32"/>
          <w:szCs w:val="32"/>
        </w:rPr>
      </w:pPr>
      <w:r>
        <w:rPr>
          <w:rFonts w:hint="eastAsia" w:ascii="仿宋_GB2312" w:hAnsi="仿宋_GB2312" w:cs="仿宋_GB2312"/>
          <w:sz w:val="32"/>
          <w:szCs w:val="32"/>
        </w:rPr>
        <w:t>（1）</w:t>
      </w:r>
      <w:r>
        <w:rPr>
          <w:rFonts w:hint="eastAsia" w:ascii="仿宋_GB2312" w:hAnsi="仿宋_GB2312" w:cs="仿宋_GB2312"/>
          <w:spacing w:val="11"/>
          <w:sz w:val="32"/>
          <w:szCs w:val="32"/>
        </w:rPr>
        <w:t>因环境污染直接导致3人以下死亡或10人以下中毒或重伤的；</w:t>
      </w:r>
    </w:p>
    <w:p>
      <w:pPr>
        <w:adjustRightInd w:val="0"/>
        <w:snapToGrid w:val="0"/>
        <w:spacing w:beforeLines="0" w:afterLines="0" w:line="550" w:lineRule="exact"/>
        <w:ind w:firstLine="640"/>
        <w:rPr>
          <w:rFonts w:hint="eastAsia" w:ascii="仿宋_GB2312" w:hAnsi="仿宋_GB2312" w:cs="仿宋_GB2312"/>
          <w:sz w:val="32"/>
          <w:szCs w:val="32"/>
        </w:rPr>
      </w:pPr>
      <w:r>
        <w:rPr>
          <w:rFonts w:hint="eastAsia" w:ascii="仿宋_GB2312" w:hAnsi="仿宋_GB2312" w:cs="仿宋_GB2312"/>
          <w:sz w:val="32"/>
          <w:szCs w:val="32"/>
        </w:rPr>
        <w:t>（2）因环境污染疏散、转移人员5000人以下的；</w:t>
      </w:r>
    </w:p>
    <w:p>
      <w:pPr>
        <w:adjustRightInd w:val="0"/>
        <w:snapToGrid w:val="0"/>
        <w:spacing w:beforeLines="0" w:afterLines="0" w:line="550" w:lineRule="exact"/>
        <w:ind w:firstLine="640"/>
        <w:rPr>
          <w:rFonts w:hint="eastAsia" w:ascii="仿宋_GB2312" w:hAnsi="仿宋_GB2312" w:cs="仿宋_GB2312"/>
          <w:sz w:val="32"/>
          <w:szCs w:val="32"/>
        </w:rPr>
      </w:pPr>
      <w:r>
        <w:rPr>
          <w:rFonts w:hint="eastAsia" w:ascii="仿宋_GB2312" w:hAnsi="仿宋_GB2312" w:cs="仿宋_GB2312"/>
          <w:sz w:val="32"/>
          <w:szCs w:val="32"/>
        </w:rPr>
        <w:t>（3）因环境污染造成直接经济损失500万元以下的；</w:t>
      </w:r>
    </w:p>
    <w:p>
      <w:pPr>
        <w:adjustRightInd w:val="0"/>
        <w:snapToGrid w:val="0"/>
        <w:spacing w:beforeLines="0" w:afterLines="0" w:line="550" w:lineRule="exact"/>
        <w:ind w:firstLine="640"/>
        <w:rPr>
          <w:rFonts w:hint="eastAsia" w:ascii="仿宋_GB2312" w:hAnsi="仿宋_GB2312" w:cs="仿宋_GB2312"/>
          <w:sz w:val="32"/>
          <w:szCs w:val="32"/>
        </w:rPr>
      </w:pPr>
      <w:r>
        <w:rPr>
          <w:rFonts w:hint="eastAsia" w:ascii="仿宋_GB2312" w:hAnsi="仿宋_GB2312" w:cs="仿宋_GB2312"/>
          <w:sz w:val="32"/>
          <w:szCs w:val="32"/>
        </w:rPr>
        <w:t>（4）因环境污染造成跨县级行政区域纠纷，引起一般性群体影响的；</w:t>
      </w:r>
    </w:p>
    <w:p>
      <w:pPr>
        <w:adjustRightInd w:val="0"/>
        <w:snapToGrid w:val="0"/>
        <w:spacing w:beforeLines="0" w:afterLines="0" w:line="550" w:lineRule="exact"/>
        <w:ind w:firstLine="640"/>
        <w:rPr>
          <w:rFonts w:hint="eastAsia" w:ascii="仿宋_GB2312" w:hAnsi="仿宋_GB2312" w:cs="仿宋_GB2312"/>
          <w:sz w:val="32"/>
          <w:szCs w:val="32"/>
        </w:rPr>
      </w:pPr>
      <w:r>
        <w:rPr>
          <w:rFonts w:hint="eastAsia" w:ascii="仿宋_GB2312" w:hAnsi="仿宋_GB2312" w:cs="仿宋_GB2312"/>
          <w:sz w:val="32"/>
          <w:szCs w:val="32"/>
        </w:rPr>
        <w:t>（5）</w:t>
      </w:r>
      <w:r>
        <w:rPr>
          <w:rFonts w:hint="eastAsia" w:ascii="仿宋_GB2312" w:hAnsi="仿宋_GB2312" w:eastAsia="仿宋_GB2312" w:cs="仿宋_GB2312"/>
          <w:sz w:val="32"/>
          <w:szCs w:val="32"/>
        </w:rPr>
        <w:t>Ⅳ</w:t>
      </w:r>
      <w:r>
        <w:rPr>
          <w:rFonts w:hint="eastAsia" w:ascii="仿宋_GB2312" w:hAnsi="仿宋_GB2312" w:cs="仿宋_GB2312"/>
          <w:sz w:val="32"/>
          <w:szCs w:val="32"/>
        </w:rPr>
        <w:t>、</w:t>
      </w:r>
      <w:r>
        <w:rPr>
          <w:rFonts w:hint="eastAsia" w:ascii="仿宋_GB2312" w:hAnsi="仿宋_GB2312" w:eastAsia="仿宋_GB2312" w:cs="仿宋_GB2312"/>
          <w:sz w:val="32"/>
          <w:szCs w:val="32"/>
        </w:rPr>
        <w:t>Ⅴ</w:t>
      </w:r>
      <w:r>
        <w:rPr>
          <w:rFonts w:hint="eastAsia" w:ascii="仿宋_GB2312" w:hAnsi="仿宋_GB2312" w:cs="仿宋_GB2312"/>
          <w:sz w:val="32"/>
          <w:szCs w:val="32"/>
        </w:rPr>
        <w:t>类放射源丢失、被盗的，放射性同位素和射线装置失控导致人员受到超过年剂量限值的照射的；放射性物质泄漏，造成厂区内或设施内局部辐射污染后果的；铀矿冶、伴生矿超标排放，造成环境辐射污染后果的；</w:t>
      </w:r>
    </w:p>
    <w:p>
      <w:pPr>
        <w:adjustRightInd w:val="0"/>
        <w:snapToGrid w:val="0"/>
        <w:spacing w:beforeLines="0" w:afterLines="0" w:line="550" w:lineRule="exact"/>
        <w:ind w:firstLine="640"/>
        <w:rPr>
          <w:rFonts w:ascii="Times New Roman" w:hAnsi="Times New Roman" w:cs="Times New Roman"/>
          <w:sz w:val="32"/>
          <w:szCs w:val="32"/>
        </w:rPr>
        <w:sectPr>
          <w:headerReference r:id="rId6" w:type="default"/>
          <w:footerReference r:id="rId7" w:type="default"/>
          <w:pgSz w:w="11906" w:h="16838"/>
          <w:pgMar w:top="2041" w:right="1531" w:bottom="2041" w:left="1531" w:header="851" w:footer="1531" w:gutter="0"/>
          <w:pgNumType w:fmt="decimal" w:start="1"/>
          <w:cols w:space="720" w:num="1"/>
          <w:docGrid w:type="lines" w:linePitch="326" w:charSpace="0"/>
        </w:sectPr>
      </w:pPr>
      <w:r>
        <w:rPr>
          <w:rFonts w:hint="eastAsia" w:ascii="仿宋_GB2312" w:hAnsi="仿宋_GB2312" w:cs="仿宋_GB2312"/>
          <w:sz w:val="32"/>
          <w:szCs w:val="32"/>
        </w:rPr>
        <w:t>（6）对环境造成一定影响，尚未达到较大突发环境事件级别的。</w:t>
      </w:r>
    </w:p>
    <w:p>
      <w:pPr>
        <w:pStyle w:val="3"/>
        <w:keepNext w:val="0"/>
        <w:keepLines w:val="0"/>
        <w:adjustRightInd w:val="0"/>
        <w:snapToGrid w:val="0"/>
        <w:spacing w:beforeLines="0" w:afterLines="0" w:line="579" w:lineRule="exact"/>
        <w:ind w:firstLine="0" w:firstLineChars="0"/>
        <w:rPr>
          <w:rFonts w:hint="eastAsia" w:ascii="黑体" w:hAnsi="黑体" w:eastAsia="黑体" w:cs="黑体"/>
          <w:sz w:val="32"/>
        </w:rPr>
      </w:pPr>
      <w:bookmarkStart w:id="165" w:name="_Toc29660721"/>
      <w:bookmarkStart w:id="166" w:name="_Toc1496520586"/>
      <w:bookmarkStart w:id="167" w:name="_Toc154672860"/>
      <w:bookmarkStart w:id="168" w:name="_Toc149575402"/>
      <w:bookmarkStart w:id="169" w:name="_Toc23708232"/>
      <w:r>
        <w:rPr>
          <w:rFonts w:hint="eastAsia" w:ascii="黑体" w:hAnsi="黑体" w:eastAsia="黑体" w:cs="黑体"/>
          <w:sz w:val="32"/>
          <w:szCs w:val="32"/>
        </w:rPr>
        <w:drawing>
          <wp:anchor distT="0" distB="0" distL="114300" distR="114300" simplePos="0" relativeHeight="251659264" behindDoc="0" locked="0" layoutInCell="1" allowOverlap="1">
            <wp:simplePos x="0" y="0"/>
            <wp:positionH relativeFrom="column">
              <wp:posOffset>26670</wp:posOffset>
            </wp:positionH>
            <wp:positionV relativeFrom="paragraph">
              <wp:posOffset>1287780</wp:posOffset>
            </wp:positionV>
            <wp:extent cx="5581015" cy="6734175"/>
            <wp:effectExtent l="0" t="0" r="63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581015" cy="6734175"/>
                    </a:xfrm>
                    <a:prstGeom prst="rect">
                      <a:avLst/>
                    </a:prstGeom>
                    <a:noFill/>
                    <a:ln>
                      <a:noFill/>
                    </a:ln>
                  </pic:spPr>
                </pic:pic>
              </a:graphicData>
            </a:graphic>
          </wp:anchor>
        </w:drawing>
      </w:r>
      <w:r>
        <w:rPr>
          <w:rFonts w:hint="eastAsia" w:ascii="黑体" w:hAnsi="黑体" w:eastAsia="黑体" w:cs="黑体"/>
          <w:sz w:val="32"/>
        </w:rPr>
        <w:t>附件2</w:t>
      </w:r>
    </w:p>
    <w:p>
      <w:pPr>
        <w:pStyle w:val="3"/>
        <w:keepNext w:val="0"/>
        <w:keepLines w:val="0"/>
        <w:adjustRightInd w:val="0"/>
        <w:snapToGrid w:val="0"/>
        <w:spacing w:beforeLines="0" w:afterLines="0" w:line="579" w:lineRule="exact"/>
        <w:ind w:firstLine="0" w:firstLineChars="0"/>
        <w:rPr>
          <w:rFonts w:hint="eastAsia" w:ascii="黑体" w:hAnsi="黑体" w:eastAsia="黑体" w:cs="黑体"/>
          <w:sz w:val="32"/>
        </w:rPr>
      </w:pPr>
    </w:p>
    <w:p>
      <w:pPr>
        <w:pStyle w:val="3"/>
        <w:keepNext w:val="0"/>
        <w:keepLines w:val="0"/>
        <w:adjustRightInd w:val="0"/>
        <w:snapToGrid w:val="0"/>
        <w:spacing w:beforeLines="0" w:afterLines="0" w:line="579"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突发环境事件应急响应全过程流程图</w:t>
      </w:r>
      <w:bookmarkEnd w:id="161"/>
      <w:bookmarkEnd w:id="162"/>
      <w:bookmarkEnd w:id="165"/>
      <w:bookmarkEnd w:id="166"/>
      <w:bookmarkEnd w:id="167"/>
      <w:bookmarkEnd w:id="168"/>
      <w:bookmarkEnd w:id="169"/>
    </w:p>
    <w:p>
      <w:pPr>
        <w:rPr>
          <w:rFonts w:hint="eastAsia" w:ascii="方正小标宋简体" w:hAnsi="方正小标宋简体" w:eastAsia="方正小标宋简体" w:cs="方正小标宋简体"/>
          <w:sz w:val="44"/>
          <w:szCs w:val="44"/>
        </w:rPr>
      </w:pPr>
    </w:p>
    <w:p>
      <w:pPr>
        <w:pStyle w:val="9"/>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9"/>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9"/>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9"/>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9"/>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9"/>
        <w:adjustRightInd w:val="0"/>
        <w:snapToGrid w:val="0"/>
        <w:spacing w:beforeLines="0" w:afterLines="0" w:line="579" w:lineRule="exact"/>
        <w:rPr>
          <w:rFonts w:hint="eastAsia" w:ascii="方正小标宋简体" w:hAnsi="方正小标宋简体" w:eastAsia="方正小标宋简体" w:cs="方正小标宋简体"/>
          <w:sz w:val="44"/>
          <w:szCs w:val="44"/>
        </w:rPr>
        <w:sectPr>
          <w:footerReference r:id="rId8" w:type="default"/>
          <w:pgSz w:w="11906" w:h="16838"/>
          <w:pgMar w:top="2041" w:right="1531" w:bottom="2041" w:left="1531" w:header="851" w:footer="1417" w:gutter="0"/>
          <w:pgNumType w:fmt="decimal"/>
          <w:cols w:space="720" w:num="1"/>
          <w:docGrid w:type="lines" w:linePitch="326" w:charSpace="0"/>
        </w:sectPr>
      </w:pPr>
    </w:p>
    <w:p>
      <w:pPr>
        <w:pStyle w:val="9"/>
        <w:adjustRightInd w:val="0"/>
        <w:snapToGrid w:val="0"/>
        <w:spacing w:beforeLines="0" w:afterLines="0" w:line="579" w:lineRule="exact"/>
        <w:rPr>
          <w:rFonts w:hint="eastAsia" w:ascii="方正小标宋简体" w:hAnsi="方正小标宋简体" w:eastAsia="方正小标宋简体" w:cs="方正小标宋简体"/>
          <w:sz w:val="44"/>
          <w:szCs w:val="44"/>
        </w:rPr>
      </w:pPr>
    </w:p>
    <w:p>
      <w:pPr>
        <w:adjustRightInd w:val="0"/>
        <w:snapToGrid w:val="0"/>
        <w:spacing w:beforeLines="0" w:afterLines="0" w:line="579" w:lineRule="exact"/>
        <w:rPr>
          <w:rFonts w:hint="eastAsia" w:ascii="方正小标宋简体" w:hAnsi="方正小标宋简体" w:eastAsia="方正小标宋简体" w:cs="方正小标宋简体"/>
          <w:sz w:val="44"/>
          <w:szCs w:val="44"/>
        </w:rPr>
      </w:pPr>
    </w:p>
    <w:p>
      <w:pPr>
        <w:pStyle w:val="9"/>
        <w:adjustRightInd w:val="0"/>
        <w:snapToGrid w:val="0"/>
        <w:spacing w:beforeLines="0" w:afterLines="0" w:line="579" w:lineRule="exact"/>
        <w:rPr>
          <w:rFonts w:hint="eastAsia" w:ascii="方正小标宋简体" w:hAnsi="方正小标宋简体" w:eastAsia="方正小标宋简体" w:cs="方正小标宋简体"/>
          <w:sz w:val="44"/>
          <w:szCs w:val="44"/>
        </w:rPr>
      </w:pPr>
    </w:p>
    <w:p>
      <w:pPr>
        <w:adjustRightInd w:val="0"/>
        <w:snapToGrid w:val="0"/>
        <w:spacing w:beforeLines="0" w:afterLines="0" w:line="579" w:lineRule="exact"/>
        <w:rPr>
          <w:rFonts w:hint="eastAsia" w:ascii="方正小标宋简体" w:hAnsi="方正小标宋简体" w:eastAsia="方正小标宋简体" w:cs="方正小标宋简体"/>
          <w:sz w:val="44"/>
          <w:szCs w:val="44"/>
        </w:rPr>
      </w:pPr>
      <w:bookmarkStart w:id="170" w:name="_GoBack"/>
      <w:bookmarkEnd w:id="170"/>
    </w:p>
    <w:p>
      <w:pPr>
        <w:pStyle w:val="9"/>
        <w:adjustRightInd w:val="0"/>
        <w:snapToGrid w:val="0"/>
        <w:spacing w:beforeLines="0" w:afterLines="0" w:line="579" w:lineRule="exact"/>
        <w:rPr>
          <w:rFonts w:hint="eastAsia" w:ascii="方正小标宋简体" w:hAnsi="方正小标宋简体" w:eastAsia="方正小标宋简体" w:cs="方正小标宋简体"/>
          <w:sz w:val="44"/>
          <w:szCs w:val="44"/>
        </w:rPr>
      </w:pPr>
    </w:p>
    <w:p>
      <w:pPr>
        <w:adjustRightInd w:val="0"/>
        <w:snapToGrid w:val="0"/>
        <w:spacing w:beforeLines="0" w:afterLines="0" w:line="579" w:lineRule="exact"/>
        <w:rPr>
          <w:rFonts w:hint="eastAsia" w:ascii="方正小标宋简体" w:hAnsi="方正小标宋简体" w:eastAsia="方正小标宋简体" w:cs="方正小标宋简体"/>
          <w:sz w:val="44"/>
          <w:szCs w:val="44"/>
        </w:rPr>
      </w:pPr>
    </w:p>
    <w:p>
      <w:pPr>
        <w:pStyle w:val="9"/>
        <w:adjustRightInd w:val="0"/>
        <w:snapToGrid w:val="0"/>
        <w:spacing w:beforeLines="0" w:afterLines="0" w:line="579" w:lineRule="exact"/>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0" w:firstLineChars="0"/>
        <w:jc w:val="both"/>
        <w:textAlignment w:val="auto"/>
        <w:rPr>
          <w:rFonts w:hint="eastAsia" w:ascii="黑体" w:eastAsia="黑体"/>
          <w:sz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0" w:firstLineChars="0"/>
        <w:jc w:val="both"/>
        <w:textAlignment w:val="auto"/>
        <w:rPr>
          <w:rFonts w:hint="eastAsia" w:ascii="黑体" w:eastAsia="黑体"/>
          <w:sz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0" w:firstLineChars="0"/>
        <w:jc w:val="both"/>
        <w:textAlignment w:val="auto"/>
        <w:rPr>
          <w:rFonts w:hint="eastAsia" w:ascii="黑体" w:eastAsia="黑体"/>
          <w:sz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0" w:firstLineChars="0"/>
        <w:jc w:val="both"/>
        <w:textAlignment w:val="auto"/>
        <w:rPr>
          <w:rFonts w:hint="eastAsia" w:ascii="黑体" w:eastAsia="黑体"/>
          <w:sz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0" w:firstLineChars="0"/>
        <w:jc w:val="both"/>
        <w:textAlignment w:val="auto"/>
        <w:rPr>
          <w:rFonts w:hint="eastAsia" w:ascii="黑体" w:eastAsia="黑体"/>
          <w:sz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0" w:firstLineChars="0"/>
        <w:jc w:val="both"/>
        <w:textAlignment w:val="auto"/>
        <w:rPr>
          <w:rFonts w:hint="eastAsia" w:ascii="黑体" w:eastAsia="黑体"/>
          <w:sz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0" w:firstLineChars="0"/>
        <w:jc w:val="both"/>
        <w:textAlignment w:val="auto"/>
        <w:rPr>
          <w:rFonts w:hint="eastAsia" w:ascii="黑体" w:eastAsia="黑体"/>
          <w:sz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0" w:firstLineChars="0"/>
        <w:jc w:val="both"/>
        <w:textAlignment w:val="auto"/>
        <w:rPr>
          <w:rFonts w:hint="eastAsia" w:ascii="黑体" w:eastAsia="黑体"/>
          <w:sz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firstLine="0" w:firstLineChars="0"/>
        <w:jc w:val="both"/>
        <w:textAlignment w:val="auto"/>
        <w:rPr>
          <w:rFonts w:hint="eastAsia" w:ascii="黑体" w:eastAsia="黑体"/>
          <w:sz w:val="32"/>
          <w:highlight w:val="none"/>
        </w:rPr>
      </w:pPr>
    </w:p>
    <w:p>
      <w:pPr>
        <w:adjustRightInd w:val="0"/>
        <w:snapToGrid w:val="0"/>
        <w:spacing w:beforeLines="0" w:afterLines="0" w:line="579" w:lineRule="exact"/>
        <w:ind w:firstLine="1120" w:firstLineChars="400"/>
        <w:outlineLvl w:val="9"/>
        <w:rPr>
          <w:rFonts w:hint="eastAsia" w:cs="仿宋_GB2312"/>
          <w:color w:val="auto"/>
          <w:kern w:val="28"/>
          <w:sz w:val="28"/>
          <w:szCs w:val="28"/>
          <w:highlight w:val="none"/>
        </w:rPr>
      </w:pPr>
    </w:p>
    <w:sectPr>
      <w:footerReference r:id="rId9" w:type="default"/>
      <w:pgSz w:w="11906" w:h="16838"/>
      <w:pgMar w:top="2041" w:right="1531" w:bottom="2041" w:left="1531" w:header="851" w:footer="1417"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roman"/>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adjustRightInd w:val="0"/>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adjustRightInd w:val="0"/>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3759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75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1.7pt;mso-position-horizontal:outside;mso-position-horizontal-relative:margin;z-index:251661312;mso-width-relative:page;mso-height-relative:page;" filled="f" stroked="f" coordsize="21600,21600" o:gfxdata="UEsFBgAAAAAAAAAAAAAAAAAAAAAAAFBLAwQKAAAAAACHTuJAAAAAAAAAAAAAAAAABAAAAGRycy9Q&#10;SwMEFAAAAAgAh07iQPcpo8TUAAAABQEAAA8AAABkcnMvZG93bnJldi54bWxNjzFPwzAQhXck/oN1&#10;SGzUbkFVFOJ0qKADTKQVYrzGlzg0PkexmxZ+PS4LLCc9vbv3vitWZ9eLicbQedYwnykQxLU3Hbca&#10;dtvnuwxEiMgGe8+k4YsCrMrrqwJz40/8RlMVW5FCOOSowcY45FKG2pLDMPMDcfIaPzqMSY6tNCOe&#10;Urjr5UKppXTYcWqwONDaUn2oji5hvL8qt/lu7Id7wSZUdjttnj61vr2Zq0cQkc7xbxku+OkGysS0&#10;90c2QfQa0iPxd1685f0DiL2GRZYpkGUh/9OXP1BLAwQUAAAACACHTuJAjiP+1DgCAABjBAAADgAA&#10;AGRycy9lMm9Eb2MueG1srVTLbhMxFN0j8Q+W92QmrVpClEkVGgUhVbRSQKwdjyczkl/YTmbKB8Af&#10;sOqGPd+V7+DYk0lRYdEFG+eM7/Oce53ZVack2QvnG6MLOh7llAjNTdnobUE/fVy9mlDiA9Mlk0aL&#10;gt4LT6/mL1/MWjsVZ6Y2shSOIIn209YWtA7BTrPM81oo5kfGCg1jZZxiAZ9um5WOtciuZHaW55dZ&#10;a1xpneHCe9wueyM9ZnTPSWiqquFiafhOCR36rE5IFkDJ1431dJ66rSrBw21VeRGILCiYhnSiCPAm&#10;ntl8xqZbx2zd8GML7DktPOGkWKNR9JRqyQIjO9f8lUo13BlvqjDiRmU9kaQIWIzzJ9qsa2ZF4gKp&#10;vT2J7v9fWv5hf+dIUxYUY9dMYeCHH98PD78OP7+RSZSntX4Kr7WFX+jemg5LM9x7XEbWXeVU/AUf&#10;AjvEvT+JK7pAeAzKz19fvIGJwzaenE0meZI/ewy3zod3wigSQUEdppdEZfsbH9AKXAeXWE2bVSNl&#10;mqDUpC3o5flFngJOFkRIjcBIom82otBtuiOzjSnvQcyZfjO85asGxW+YD3fMYRXQMB5LuMVRSYMi&#10;5ogoqY37+q/76I8JwUpJi9UqqP+yY05QIt9rzA4pwwDcADYD0Dt1bbCtYzxDyxNEgAtygJUz6jPe&#10;0CJWgYlpjloFDQO8Dv2C4w1ysVgkp511zbbuA7B5loUbvbY8lolServYBciZVI4S9boclcPuJfGP&#10;7yQu95/fyevxv2H+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Pcpo8TUAAAABQEAAA8AAAAAAAAA&#10;AQAgAAAAOAAAAGRycy9kb3ducmV2LnhtbFBLAQIUABQAAAAIAIdO4kCOI/7UOAIAAGMEAAAOAAAA&#10;AAAAAAEAIAAAADkBAABkcnMvZTJvRG9jLnhtbFBLBQYAAAAABgAGAFkBAADjBQAAAAA=&#10;">
              <v:fill on="f" focussize="0,0"/>
              <v:stroke on="f" weight="0.5pt"/>
              <v:imagedata o:title=""/>
              <o:lock v:ext="edit" aspectratio="f"/>
              <v:textbox inset="0mm,0mm,0mm,0mm" style="mso-fit-shape-to-text:t;">
                <w:txbxContent>
                  <w:p>
                    <w:pPr>
                      <w:adjustRightInd w:val="0"/>
                      <w:snapToGrid w:val="0"/>
                      <w:spacing w:line="24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ind w:firstLine="240" w:firstLineChars="100"/>
      <w:rPr>
        <w:rStyle w:val="57"/>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4568825</wp:posOffset>
              </wp:positionH>
              <wp:positionV relativeFrom="paragraph">
                <wp:posOffset>0</wp:posOffset>
              </wp:positionV>
              <wp:extent cx="1047115" cy="2641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4711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9.75pt;margin-top:0pt;height:20.8pt;width:82.45pt;mso-position-horizontal-relative:margin;z-index:251660288;mso-width-relative:page;mso-height-relative:page;" filled="f" stroked="f" coordsize="21600,21600" o:gfxdata="UEsFBgAAAAAAAAAAAAAAAAAAAAAAAFBLAwQKAAAAAACHTuJAAAAAAAAAAAAAAAAABAAAAGRycy9Q&#10;SwMEFAAAAAgAh07iQD3rqLDVAAAABwEAAA8AAABkcnMvZG93bnJldi54bWxNj7tOxDAURHsk/sG6&#10;SHSsbRSWEHKzBY+O5wISdE58SSL8iGwnu/w9poJyNKOZM/Vmbw1bKMTROwS5EsDIdV6Prkd4fbk9&#10;KYHFpJxWxjtC+KYIm+bwoFaV9jv3TMs29SyXuFgphCGlqeI8dgNZFVd+Ipe9Tx+sSlmGnuugdrnc&#10;Gn4qxJpbNbq8MKiJrgbqvrazRTDvMdy1In0s1/19enrk89uNfEA8PpLiEliiffoLwy9+RocmM7V+&#10;djoyg3AuL85yFCE/ynZZFgWwFqGQa+BNzf/zNz9QSwMEFAAAAAgAh07iQH6YKUUyAgAAVgQAAA4A&#10;AABkcnMvZTJvRG9jLnhtbK1UTY7TMBTeI3EHy3uapMy0qGo6KlMVIVXMSAWxdh2niWT7GdttUg4A&#10;N2A1G/acq+fg2Uk6aGAxCzbui9/v9/l7nd+0SpKjsK4GndNslFIiNIei1vucfvq4fvWGEueZLpgE&#10;LXJ6Eo7eLF6+mDdmJsZQgSyEJVhEu1ljclp5b2ZJ4nglFHMjMEKjswSrmMdPu08KyxqsrmQyTtNJ&#10;0oAtjAUunMPbVeekfUX7nIJQljUXK+AHJbTvqlohmUdIrqqNo4s4bVkK7u/K0glPZE4RqY8nNkF7&#10;F85kMWezvWWmqnk/AnvOCE8wKVZrbHoptWKekYOt/yqlam7BQelHHFTSAYmMIIosfcLNtmJGRCxI&#10;tTMX0t3/K8s/HO8tqYucTinRTOGDn398Pz/8Ov/8RqaBnsa4GUZtDcb59i20KJrh3uFlQN2WVoVf&#10;xEPQj+SeLuSK1hMektKraZZdU8LRN55cZZPIfvKYbazz7wQoEoycWny8yCk7bpzHSTB0CAnNNKxr&#10;KeMDSk2anE5eX6cx4eLBDKkxMWDoZg2Wb3dtD2wHxQlxWeiE4Qxf19h8w5y/ZxaVgFBwV/wdHqUE&#10;bAK9RUkF9uu/7kM8PhB6KWlQWTl1Xw7MCkrke41PF2Q4GHYwdoOhD+oWUKwZbqHh0cQE6+VglhbU&#10;Z1yhZeiCLqY59sqpH8xb3+kbV5CL5TIGodgM8xu9NTyU7uhbHjyUdWQ20NJx0bOFcouE96sR9Pzn&#10;d4x6/DtY/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966iw1QAAAAcBAAAPAAAAAAAAAAEAIAAA&#10;ADgAAABkcnMvZG93bnJldi54bWxQSwECFAAUAAAACACHTuJAfpgpRTICAABWBAAADgAAAAAAAAAB&#10;ACAAAAA6AQAAZHJzL2Uyb0RvYy54bWxQSwUGAAAAAAYABgBZAQAA3gUAAAAA&#10;">
              <v:fill on="f" focussize="0,0"/>
              <v:stroke on="f" weight="0.5pt"/>
              <v:imagedata o:title=""/>
              <o:lock v:ext="edit" aspectratio="f"/>
              <v:textbox inset="0mm,0mm,0mm,0mm">
                <w:txbxContent>
                  <w:p>
                    <w:pPr>
                      <w:pStyle w:val="19"/>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ind w:firstLine="240" w:firstLineChars="100"/>
      <w:rPr>
        <w:rStyle w:val="57"/>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hideSpellingErrors/>
  <w:attachedTemplate r:id="rId1"/>
  <w:trackRevisions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5C"/>
    <w:rsid w:val="00003017"/>
    <w:rsid w:val="00007893"/>
    <w:rsid w:val="00011276"/>
    <w:rsid w:val="0001156B"/>
    <w:rsid w:val="00013552"/>
    <w:rsid w:val="00014D38"/>
    <w:rsid w:val="00014F38"/>
    <w:rsid w:val="00016570"/>
    <w:rsid w:val="00020517"/>
    <w:rsid w:val="00025EF4"/>
    <w:rsid w:val="00030275"/>
    <w:rsid w:val="00031C1D"/>
    <w:rsid w:val="0003371B"/>
    <w:rsid w:val="00033CDF"/>
    <w:rsid w:val="000344B2"/>
    <w:rsid w:val="00034DF7"/>
    <w:rsid w:val="00035E9B"/>
    <w:rsid w:val="0003747F"/>
    <w:rsid w:val="00037B7D"/>
    <w:rsid w:val="00040352"/>
    <w:rsid w:val="00040876"/>
    <w:rsid w:val="00041580"/>
    <w:rsid w:val="0004284E"/>
    <w:rsid w:val="00043FDB"/>
    <w:rsid w:val="000442AC"/>
    <w:rsid w:val="000456D3"/>
    <w:rsid w:val="00045813"/>
    <w:rsid w:val="0004772C"/>
    <w:rsid w:val="000500F3"/>
    <w:rsid w:val="00051220"/>
    <w:rsid w:val="00051A99"/>
    <w:rsid w:val="00051B04"/>
    <w:rsid w:val="00051C60"/>
    <w:rsid w:val="00052F52"/>
    <w:rsid w:val="00053861"/>
    <w:rsid w:val="0005456B"/>
    <w:rsid w:val="000545F0"/>
    <w:rsid w:val="00062882"/>
    <w:rsid w:val="00064666"/>
    <w:rsid w:val="0006581D"/>
    <w:rsid w:val="0006594C"/>
    <w:rsid w:val="00076B38"/>
    <w:rsid w:val="0008233B"/>
    <w:rsid w:val="00082911"/>
    <w:rsid w:val="00083798"/>
    <w:rsid w:val="000867A5"/>
    <w:rsid w:val="00090096"/>
    <w:rsid w:val="000917B7"/>
    <w:rsid w:val="00092579"/>
    <w:rsid w:val="000927C0"/>
    <w:rsid w:val="000933B3"/>
    <w:rsid w:val="000942BC"/>
    <w:rsid w:val="00094AF1"/>
    <w:rsid w:val="00095BDC"/>
    <w:rsid w:val="00095CD5"/>
    <w:rsid w:val="00096159"/>
    <w:rsid w:val="00097779"/>
    <w:rsid w:val="000A0EAF"/>
    <w:rsid w:val="000A395D"/>
    <w:rsid w:val="000A76A2"/>
    <w:rsid w:val="000B1291"/>
    <w:rsid w:val="000B24FB"/>
    <w:rsid w:val="000B541A"/>
    <w:rsid w:val="000B7336"/>
    <w:rsid w:val="000B748A"/>
    <w:rsid w:val="000B755B"/>
    <w:rsid w:val="000C07A1"/>
    <w:rsid w:val="000C3F13"/>
    <w:rsid w:val="000C5469"/>
    <w:rsid w:val="000D219E"/>
    <w:rsid w:val="000D2734"/>
    <w:rsid w:val="000D3030"/>
    <w:rsid w:val="000D4DD5"/>
    <w:rsid w:val="000D62D3"/>
    <w:rsid w:val="000D78C0"/>
    <w:rsid w:val="000E095A"/>
    <w:rsid w:val="000E2909"/>
    <w:rsid w:val="000E2D1D"/>
    <w:rsid w:val="000E38BD"/>
    <w:rsid w:val="000E3C3C"/>
    <w:rsid w:val="000E3E06"/>
    <w:rsid w:val="000E518C"/>
    <w:rsid w:val="000E6EFC"/>
    <w:rsid w:val="000E71B6"/>
    <w:rsid w:val="000F0805"/>
    <w:rsid w:val="000F0AC4"/>
    <w:rsid w:val="000F2182"/>
    <w:rsid w:val="000F3327"/>
    <w:rsid w:val="000F641B"/>
    <w:rsid w:val="00101626"/>
    <w:rsid w:val="00101AD1"/>
    <w:rsid w:val="00102DAA"/>
    <w:rsid w:val="00103FA3"/>
    <w:rsid w:val="00105AD7"/>
    <w:rsid w:val="00106CD8"/>
    <w:rsid w:val="001115C4"/>
    <w:rsid w:val="00111B57"/>
    <w:rsid w:val="00115FEC"/>
    <w:rsid w:val="0011683F"/>
    <w:rsid w:val="001219A8"/>
    <w:rsid w:val="00125D51"/>
    <w:rsid w:val="00130C66"/>
    <w:rsid w:val="00131802"/>
    <w:rsid w:val="00132E34"/>
    <w:rsid w:val="001366E8"/>
    <w:rsid w:val="00136A32"/>
    <w:rsid w:val="00140263"/>
    <w:rsid w:val="001403E5"/>
    <w:rsid w:val="00140CFB"/>
    <w:rsid w:val="00142177"/>
    <w:rsid w:val="00144CDA"/>
    <w:rsid w:val="001453DE"/>
    <w:rsid w:val="00146EE4"/>
    <w:rsid w:val="00147DCD"/>
    <w:rsid w:val="001509AF"/>
    <w:rsid w:val="0015301C"/>
    <w:rsid w:val="00154AC4"/>
    <w:rsid w:val="00162155"/>
    <w:rsid w:val="001642B7"/>
    <w:rsid w:val="00164A29"/>
    <w:rsid w:val="001658BA"/>
    <w:rsid w:val="0017038A"/>
    <w:rsid w:val="001703B1"/>
    <w:rsid w:val="00170948"/>
    <w:rsid w:val="00171923"/>
    <w:rsid w:val="00172A27"/>
    <w:rsid w:val="00174EF1"/>
    <w:rsid w:val="001769F7"/>
    <w:rsid w:val="00176E98"/>
    <w:rsid w:val="00180BD2"/>
    <w:rsid w:val="0018145D"/>
    <w:rsid w:val="00181681"/>
    <w:rsid w:val="00184B3B"/>
    <w:rsid w:val="00185B9A"/>
    <w:rsid w:val="00190214"/>
    <w:rsid w:val="00191717"/>
    <w:rsid w:val="00192760"/>
    <w:rsid w:val="001937A5"/>
    <w:rsid w:val="00194E55"/>
    <w:rsid w:val="00195A4A"/>
    <w:rsid w:val="00195AC9"/>
    <w:rsid w:val="001965D8"/>
    <w:rsid w:val="00196E4B"/>
    <w:rsid w:val="001972EB"/>
    <w:rsid w:val="001A0BF3"/>
    <w:rsid w:val="001A661F"/>
    <w:rsid w:val="001B31A4"/>
    <w:rsid w:val="001B39DA"/>
    <w:rsid w:val="001B4E19"/>
    <w:rsid w:val="001B5409"/>
    <w:rsid w:val="001B55A5"/>
    <w:rsid w:val="001C2451"/>
    <w:rsid w:val="001C3030"/>
    <w:rsid w:val="001C46D5"/>
    <w:rsid w:val="001C4F96"/>
    <w:rsid w:val="001C52BE"/>
    <w:rsid w:val="001C5D90"/>
    <w:rsid w:val="001C60FB"/>
    <w:rsid w:val="001C7984"/>
    <w:rsid w:val="001D0773"/>
    <w:rsid w:val="001D1C46"/>
    <w:rsid w:val="001D2234"/>
    <w:rsid w:val="001D253A"/>
    <w:rsid w:val="001D2809"/>
    <w:rsid w:val="001D363A"/>
    <w:rsid w:val="001D3759"/>
    <w:rsid w:val="001D47C0"/>
    <w:rsid w:val="001D5BC6"/>
    <w:rsid w:val="001D5BDE"/>
    <w:rsid w:val="001D6D1F"/>
    <w:rsid w:val="001E0033"/>
    <w:rsid w:val="001E262A"/>
    <w:rsid w:val="001E50C1"/>
    <w:rsid w:val="001F1CEA"/>
    <w:rsid w:val="001F220C"/>
    <w:rsid w:val="001F25EC"/>
    <w:rsid w:val="001F2788"/>
    <w:rsid w:val="001F3744"/>
    <w:rsid w:val="001F686A"/>
    <w:rsid w:val="001F6F1A"/>
    <w:rsid w:val="0020298A"/>
    <w:rsid w:val="00203D0E"/>
    <w:rsid w:val="00204349"/>
    <w:rsid w:val="00207D7E"/>
    <w:rsid w:val="00207F64"/>
    <w:rsid w:val="0021213B"/>
    <w:rsid w:val="002122A6"/>
    <w:rsid w:val="002129C6"/>
    <w:rsid w:val="0021337B"/>
    <w:rsid w:val="00213BE1"/>
    <w:rsid w:val="00214BAC"/>
    <w:rsid w:val="002171E1"/>
    <w:rsid w:val="0022037C"/>
    <w:rsid w:val="002219BB"/>
    <w:rsid w:val="00221A94"/>
    <w:rsid w:val="00221D51"/>
    <w:rsid w:val="00221FE3"/>
    <w:rsid w:val="00225554"/>
    <w:rsid w:val="00225DDD"/>
    <w:rsid w:val="0022766D"/>
    <w:rsid w:val="00230E52"/>
    <w:rsid w:val="00230FFD"/>
    <w:rsid w:val="00231DF4"/>
    <w:rsid w:val="00237C99"/>
    <w:rsid w:val="00244D1D"/>
    <w:rsid w:val="00245646"/>
    <w:rsid w:val="002470C4"/>
    <w:rsid w:val="00250099"/>
    <w:rsid w:val="0025020D"/>
    <w:rsid w:val="002520B4"/>
    <w:rsid w:val="0025345F"/>
    <w:rsid w:val="00254757"/>
    <w:rsid w:val="00256B02"/>
    <w:rsid w:val="00256DDD"/>
    <w:rsid w:val="002602D8"/>
    <w:rsid w:val="002607B8"/>
    <w:rsid w:val="00263084"/>
    <w:rsid w:val="002630E9"/>
    <w:rsid w:val="00263B01"/>
    <w:rsid w:val="00263FBA"/>
    <w:rsid w:val="00264624"/>
    <w:rsid w:val="002654D8"/>
    <w:rsid w:val="00265E5C"/>
    <w:rsid w:val="00266517"/>
    <w:rsid w:val="0027258B"/>
    <w:rsid w:val="00273A84"/>
    <w:rsid w:val="0027595E"/>
    <w:rsid w:val="00277CD8"/>
    <w:rsid w:val="00280233"/>
    <w:rsid w:val="00280CE3"/>
    <w:rsid w:val="00281692"/>
    <w:rsid w:val="00282DDA"/>
    <w:rsid w:val="002837D4"/>
    <w:rsid w:val="002841DB"/>
    <w:rsid w:val="002857F4"/>
    <w:rsid w:val="002858C6"/>
    <w:rsid w:val="00287694"/>
    <w:rsid w:val="00287D20"/>
    <w:rsid w:val="00287E2B"/>
    <w:rsid w:val="002908DF"/>
    <w:rsid w:val="002915A9"/>
    <w:rsid w:val="00292709"/>
    <w:rsid w:val="00293E03"/>
    <w:rsid w:val="002A09EA"/>
    <w:rsid w:val="002A4377"/>
    <w:rsid w:val="002B1FBE"/>
    <w:rsid w:val="002B3020"/>
    <w:rsid w:val="002B35A2"/>
    <w:rsid w:val="002B4F75"/>
    <w:rsid w:val="002B6F73"/>
    <w:rsid w:val="002C0228"/>
    <w:rsid w:val="002C064B"/>
    <w:rsid w:val="002C0D8E"/>
    <w:rsid w:val="002C2B8A"/>
    <w:rsid w:val="002C2ECD"/>
    <w:rsid w:val="002C4089"/>
    <w:rsid w:val="002C47DF"/>
    <w:rsid w:val="002D1BC1"/>
    <w:rsid w:val="002D23B4"/>
    <w:rsid w:val="002D36B8"/>
    <w:rsid w:val="002D4DFC"/>
    <w:rsid w:val="002D5B29"/>
    <w:rsid w:val="002D7F9A"/>
    <w:rsid w:val="002E231B"/>
    <w:rsid w:val="002E342B"/>
    <w:rsid w:val="002E5198"/>
    <w:rsid w:val="002E5B8B"/>
    <w:rsid w:val="002E6735"/>
    <w:rsid w:val="002E721C"/>
    <w:rsid w:val="002F3625"/>
    <w:rsid w:val="002F4EB1"/>
    <w:rsid w:val="002F5745"/>
    <w:rsid w:val="002F5F9F"/>
    <w:rsid w:val="00300B89"/>
    <w:rsid w:val="003013C5"/>
    <w:rsid w:val="00302143"/>
    <w:rsid w:val="00302E1D"/>
    <w:rsid w:val="00305903"/>
    <w:rsid w:val="00310073"/>
    <w:rsid w:val="003104C0"/>
    <w:rsid w:val="003109CB"/>
    <w:rsid w:val="003111F2"/>
    <w:rsid w:val="00311806"/>
    <w:rsid w:val="00314480"/>
    <w:rsid w:val="00314BE6"/>
    <w:rsid w:val="003166A4"/>
    <w:rsid w:val="00316DFA"/>
    <w:rsid w:val="00321E0D"/>
    <w:rsid w:val="00322623"/>
    <w:rsid w:val="003236F6"/>
    <w:rsid w:val="00324AD1"/>
    <w:rsid w:val="00327CD5"/>
    <w:rsid w:val="00330188"/>
    <w:rsid w:val="003351F3"/>
    <w:rsid w:val="00335B87"/>
    <w:rsid w:val="00336594"/>
    <w:rsid w:val="00337794"/>
    <w:rsid w:val="00340117"/>
    <w:rsid w:val="00340ECC"/>
    <w:rsid w:val="00344BDD"/>
    <w:rsid w:val="00345226"/>
    <w:rsid w:val="0034551F"/>
    <w:rsid w:val="0034747A"/>
    <w:rsid w:val="00350304"/>
    <w:rsid w:val="003508B8"/>
    <w:rsid w:val="00357010"/>
    <w:rsid w:val="00361A62"/>
    <w:rsid w:val="00362609"/>
    <w:rsid w:val="00363018"/>
    <w:rsid w:val="003634DC"/>
    <w:rsid w:val="00363B9D"/>
    <w:rsid w:val="00364902"/>
    <w:rsid w:val="003667C3"/>
    <w:rsid w:val="00367B6C"/>
    <w:rsid w:val="00370613"/>
    <w:rsid w:val="0037499E"/>
    <w:rsid w:val="003749B4"/>
    <w:rsid w:val="00376297"/>
    <w:rsid w:val="00380119"/>
    <w:rsid w:val="00381BFE"/>
    <w:rsid w:val="003828CE"/>
    <w:rsid w:val="003835B7"/>
    <w:rsid w:val="00383F5A"/>
    <w:rsid w:val="00385C45"/>
    <w:rsid w:val="003868F4"/>
    <w:rsid w:val="00391F55"/>
    <w:rsid w:val="00392E02"/>
    <w:rsid w:val="00393F48"/>
    <w:rsid w:val="0039410F"/>
    <w:rsid w:val="00396441"/>
    <w:rsid w:val="003A24FD"/>
    <w:rsid w:val="003A25A8"/>
    <w:rsid w:val="003A423C"/>
    <w:rsid w:val="003A499D"/>
    <w:rsid w:val="003A5B75"/>
    <w:rsid w:val="003A6504"/>
    <w:rsid w:val="003A6707"/>
    <w:rsid w:val="003A78B0"/>
    <w:rsid w:val="003A7BB7"/>
    <w:rsid w:val="003B53DE"/>
    <w:rsid w:val="003B5BE9"/>
    <w:rsid w:val="003B7730"/>
    <w:rsid w:val="003C549D"/>
    <w:rsid w:val="003C6E63"/>
    <w:rsid w:val="003D1BCA"/>
    <w:rsid w:val="003D1E64"/>
    <w:rsid w:val="003D3436"/>
    <w:rsid w:val="003D537C"/>
    <w:rsid w:val="003D5B01"/>
    <w:rsid w:val="003E014D"/>
    <w:rsid w:val="003E0780"/>
    <w:rsid w:val="003E1359"/>
    <w:rsid w:val="003E37D5"/>
    <w:rsid w:val="003E4737"/>
    <w:rsid w:val="003E56AB"/>
    <w:rsid w:val="003F1D17"/>
    <w:rsid w:val="003F2455"/>
    <w:rsid w:val="003F44BD"/>
    <w:rsid w:val="003F6EFB"/>
    <w:rsid w:val="00400C46"/>
    <w:rsid w:val="004023CF"/>
    <w:rsid w:val="00405860"/>
    <w:rsid w:val="00405BCF"/>
    <w:rsid w:val="00411996"/>
    <w:rsid w:val="00412C23"/>
    <w:rsid w:val="00414A71"/>
    <w:rsid w:val="00417E7F"/>
    <w:rsid w:val="004207D7"/>
    <w:rsid w:val="00420A09"/>
    <w:rsid w:val="00424491"/>
    <w:rsid w:val="00424C29"/>
    <w:rsid w:val="00425F7B"/>
    <w:rsid w:val="00426FCA"/>
    <w:rsid w:val="00427913"/>
    <w:rsid w:val="00430775"/>
    <w:rsid w:val="00432EC6"/>
    <w:rsid w:val="004335EA"/>
    <w:rsid w:val="0043499D"/>
    <w:rsid w:val="00434F08"/>
    <w:rsid w:val="0043749E"/>
    <w:rsid w:val="00443D83"/>
    <w:rsid w:val="00445E0C"/>
    <w:rsid w:val="00451105"/>
    <w:rsid w:val="00451DB7"/>
    <w:rsid w:val="00452221"/>
    <w:rsid w:val="00454C96"/>
    <w:rsid w:val="0045637D"/>
    <w:rsid w:val="00457BCA"/>
    <w:rsid w:val="004607FC"/>
    <w:rsid w:val="0046351E"/>
    <w:rsid w:val="004648C3"/>
    <w:rsid w:val="004654DC"/>
    <w:rsid w:val="00467BAF"/>
    <w:rsid w:val="0047090E"/>
    <w:rsid w:val="0047113F"/>
    <w:rsid w:val="004809C0"/>
    <w:rsid w:val="00481211"/>
    <w:rsid w:val="0048444E"/>
    <w:rsid w:val="004866CC"/>
    <w:rsid w:val="00486D84"/>
    <w:rsid w:val="00491235"/>
    <w:rsid w:val="00496279"/>
    <w:rsid w:val="00496FCD"/>
    <w:rsid w:val="004970E1"/>
    <w:rsid w:val="004A021D"/>
    <w:rsid w:val="004A16D3"/>
    <w:rsid w:val="004A351E"/>
    <w:rsid w:val="004A6699"/>
    <w:rsid w:val="004A7075"/>
    <w:rsid w:val="004A7A63"/>
    <w:rsid w:val="004C1177"/>
    <w:rsid w:val="004C26AD"/>
    <w:rsid w:val="004C58B7"/>
    <w:rsid w:val="004C62D1"/>
    <w:rsid w:val="004D202B"/>
    <w:rsid w:val="004D3D57"/>
    <w:rsid w:val="004D6D59"/>
    <w:rsid w:val="004D7F4B"/>
    <w:rsid w:val="004E087F"/>
    <w:rsid w:val="004E09DD"/>
    <w:rsid w:val="004E1257"/>
    <w:rsid w:val="004E75DB"/>
    <w:rsid w:val="004F0311"/>
    <w:rsid w:val="004F4574"/>
    <w:rsid w:val="00500E1C"/>
    <w:rsid w:val="00500FBF"/>
    <w:rsid w:val="00503819"/>
    <w:rsid w:val="005049CC"/>
    <w:rsid w:val="00507D3B"/>
    <w:rsid w:val="005116CA"/>
    <w:rsid w:val="00513EE3"/>
    <w:rsid w:val="00516222"/>
    <w:rsid w:val="005166CA"/>
    <w:rsid w:val="00516926"/>
    <w:rsid w:val="00517C09"/>
    <w:rsid w:val="00521750"/>
    <w:rsid w:val="00521D14"/>
    <w:rsid w:val="0052397A"/>
    <w:rsid w:val="00524FED"/>
    <w:rsid w:val="00525168"/>
    <w:rsid w:val="00526D34"/>
    <w:rsid w:val="0052787B"/>
    <w:rsid w:val="005331B9"/>
    <w:rsid w:val="00534512"/>
    <w:rsid w:val="00536CE5"/>
    <w:rsid w:val="00540150"/>
    <w:rsid w:val="00540849"/>
    <w:rsid w:val="005411AD"/>
    <w:rsid w:val="00541619"/>
    <w:rsid w:val="00542EC7"/>
    <w:rsid w:val="005456B2"/>
    <w:rsid w:val="005460DA"/>
    <w:rsid w:val="00546A3E"/>
    <w:rsid w:val="005471CB"/>
    <w:rsid w:val="005472AC"/>
    <w:rsid w:val="00547865"/>
    <w:rsid w:val="0054799A"/>
    <w:rsid w:val="005501AA"/>
    <w:rsid w:val="00550BC9"/>
    <w:rsid w:val="00551F81"/>
    <w:rsid w:val="005537D7"/>
    <w:rsid w:val="00554178"/>
    <w:rsid w:val="005543DD"/>
    <w:rsid w:val="005577B8"/>
    <w:rsid w:val="00560184"/>
    <w:rsid w:val="00566165"/>
    <w:rsid w:val="005665C3"/>
    <w:rsid w:val="00567821"/>
    <w:rsid w:val="00570072"/>
    <w:rsid w:val="00571428"/>
    <w:rsid w:val="005718B6"/>
    <w:rsid w:val="00573CE5"/>
    <w:rsid w:val="0057554F"/>
    <w:rsid w:val="00577282"/>
    <w:rsid w:val="0057741C"/>
    <w:rsid w:val="00577C30"/>
    <w:rsid w:val="00580802"/>
    <w:rsid w:val="005820B3"/>
    <w:rsid w:val="005822D0"/>
    <w:rsid w:val="00583529"/>
    <w:rsid w:val="00584CFC"/>
    <w:rsid w:val="00585DC9"/>
    <w:rsid w:val="00586FD3"/>
    <w:rsid w:val="00591C50"/>
    <w:rsid w:val="00594BE7"/>
    <w:rsid w:val="005968B6"/>
    <w:rsid w:val="005A26D0"/>
    <w:rsid w:val="005A6E77"/>
    <w:rsid w:val="005A7E64"/>
    <w:rsid w:val="005B4085"/>
    <w:rsid w:val="005B5815"/>
    <w:rsid w:val="005C0763"/>
    <w:rsid w:val="005C0AB8"/>
    <w:rsid w:val="005C105D"/>
    <w:rsid w:val="005C27B4"/>
    <w:rsid w:val="005C5850"/>
    <w:rsid w:val="005D0CBB"/>
    <w:rsid w:val="005D0D00"/>
    <w:rsid w:val="005D15D6"/>
    <w:rsid w:val="005D2CC9"/>
    <w:rsid w:val="005D32CB"/>
    <w:rsid w:val="005D4003"/>
    <w:rsid w:val="005D5E21"/>
    <w:rsid w:val="005D6854"/>
    <w:rsid w:val="005D6C8D"/>
    <w:rsid w:val="005E015B"/>
    <w:rsid w:val="005E06EA"/>
    <w:rsid w:val="005E3421"/>
    <w:rsid w:val="005E3981"/>
    <w:rsid w:val="005E44B5"/>
    <w:rsid w:val="005E7AE4"/>
    <w:rsid w:val="005F0443"/>
    <w:rsid w:val="005F0A7E"/>
    <w:rsid w:val="005F2C1C"/>
    <w:rsid w:val="005F3508"/>
    <w:rsid w:val="005F586C"/>
    <w:rsid w:val="005F7D5D"/>
    <w:rsid w:val="0060027D"/>
    <w:rsid w:val="00603864"/>
    <w:rsid w:val="006050B5"/>
    <w:rsid w:val="006104FE"/>
    <w:rsid w:val="006134D5"/>
    <w:rsid w:val="00613F2C"/>
    <w:rsid w:val="00616764"/>
    <w:rsid w:val="00623E7F"/>
    <w:rsid w:val="0062464C"/>
    <w:rsid w:val="00624B4B"/>
    <w:rsid w:val="006306F8"/>
    <w:rsid w:val="006317BB"/>
    <w:rsid w:val="00633803"/>
    <w:rsid w:val="006341EF"/>
    <w:rsid w:val="00635F49"/>
    <w:rsid w:val="00636ACC"/>
    <w:rsid w:val="006405BD"/>
    <w:rsid w:val="00643CAA"/>
    <w:rsid w:val="00643CBB"/>
    <w:rsid w:val="00646C7C"/>
    <w:rsid w:val="006473D3"/>
    <w:rsid w:val="00647830"/>
    <w:rsid w:val="00647959"/>
    <w:rsid w:val="0065047C"/>
    <w:rsid w:val="00650DDE"/>
    <w:rsid w:val="00650E97"/>
    <w:rsid w:val="00652447"/>
    <w:rsid w:val="00653A75"/>
    <w:rsid w:val="00653EA1"/>
    <w:rsid w:val="00654B9B"/>
    <w:rsid w:val="00655565"/>
    <w:rsid w:val="00655F01"/>
    <w:rsid w:val="006572D7"/>
    <w:rsid w:val="0066041F"/>
    <w:rsid w:val="00660B40"/>
    <w:rsid w:val="006638E2"/>
    <w:rsid w:val="00663FEA"/>
    <w:rsid w:val="006664BE"/>
    <w:rsid w:val="006664D6"/>
    <w:rsid w:val="00666790"/>
    <w:rsid w:val="00666FAB"/>
    <w:rsid w:val="0067008B"/>
    <w:rsid w:val="00671B8C"/>
    <w:rsid w:val="00671C79"/>
    <w:rsid w:val="00672F17"/>
    <w:rsid w:val="00673DEA"/>
    <w:rsid w:val="00676363"/>
    <w:rsid w:val="00682946"/>
    <w:rsid w:val="00687FBC"/>
    <w:rsid w:val="006929EE"/>
    <w:rsid w:val="006939B8"/>
    <w:rsid w:val="00695194"/>
    <w:rsid w:val="00696431"/>
    <w:rsid w:val="006A2349"/>
    <w:rsid w:val="006A2EFB"/>
    <w:rsid w:val="006A39AD"/>
    <w:rsid w:val="006A4FBE"/>
    <w:rsid w:val="006A54FD"/>
    <w:rsid w:val="006A7B48"/>
    <w:rsid w:val="006B0501"/>
    <w:rsid w:val="006B08C8"/>
    <w:rsid w:val="006B2604"/>
    <w:rsid w:val="006B76F8"/>
    <w:rsid w:val="006C0B4C"/>
    <w:rsid w:val="006C102A"/>
    <w:rsid w:val="006C2A35"/>
    <w:rsid w:val="006C47B4"/>
    <w:rsid w:val="006D2B06"/>
    <w:rsid w:val="006D5855"/>
    <w:rsid w:val="006D6359"/>
    <w:rsid w:val="006D7E09"/>
    <w:rsid w:val="006E0207"/>
    <w:rsid w:val="006E1CA7"/>
    <w:rsid w:val="006E2593"/>
    <w:rsid w:val="006E2DF0"/>
    <w:rsid w:val="006E3166"/>
    <w:rsid w:val="006E4899"/>
    <w:rsid w:val="006E6868"/>
    <w:rsid w:val="006F0344"/>
    <w:rsid w:val="006F1A88"/>
    <w:rsid w:val="006F4599"/>
    <w:rsid w:val="006F6562"/>
    <w:rsid w:val="006F6D8A"/>
    <w:rsid w:val="00702BF2"/>
    <w:rsid w:val="00703297"/>
    <w:rsid w:val="0070625F"/>
    <w:rsid w:val="00710917"/>
    <w:rsid w:val="00710CB9"/>
    <w:rsid w:val="00710FB6"/>
    <w:rsid w:val="00711AD6"/>
    <w:rsid w:val="00712B62"/>
    <w:rsid w:val="00713961"/>
    <w:rsid w:val="00713BAC"/>
    <w:rsid w:val="007156C1"/>
    <w:rsid w:val="00721D67"/>
    <w:rsid w:val="00725C00"/>
    <w:rsid w:val="00732E0C"/>
    <w:rsid w:val="00733922"/>
    <w:rsid w:val="007354CE"/>
    <w:rsid w:val="007371E0"/>
    <w:rsid w:val="00740F50"/>
    <w:rsid w:val="00741155"/>
    <w:rsid w:val="00741C3E"/>
    <w:rsid w:val="00741E7B"/>
    <w:rsid w:val="00742DAB"/>
    <w:rsid w:val="007439BB"/>
    <w:rsid w:val="00745875"/>
    <w:rsid w:val="00745F0E"/>
    <w:rsid w:val="00746ADF"/>
    <w:rsid w:val="007475E3"/>
    <w:rsid w:val="00747D09"/>
    <w:rsid w:val="0075364A"/>
    <w:rsid w:val="00753EFA"/>
    <w:rsid w:val="00755507"/>
    <w:rsid w:val="00757676"/>
    <w:rsid w:val="00767558"/>
    <w:rsid w:val="0076797E"/>
    <w:rsid w:val="00767A48"/>
    <w:rsid w:val="00767D99"/>
    <w:rsid w:val="007700AC"/>
    <w:rsid w:val="00770E3E"/>
    <w:rsid w:val="007721D5"/>
    <w:rsid w:val="007737CF"/>
    <w:rsid w:val="00775F50"/>
    <w:rsid w:val="00776BDB"/>
    <w:rsid w:val="00780CC5"/>
    <w:rsid w:val="00781A21"/>
    <w:rsid w:val="00782EE8"/>
    <w:rsid w:val="00783DAD"/>
    <w:rsid w:val="00793DB4"/>
    <w:rsid w:val="007940BA"/>
    <w:rsid w:val="007A047F"/>
    <w:rsid w:val="007A2413"/>
    <w:rsid w:val="007A3614"/>
    <w:rsid w:val="007A497A"/>
    <w:rsid w:val="007A7EE6"/>
    <w:rsid w:val="007B15E5"/>
    <w:rsid w:val="007B711F"/>
    <w:rsid w:val="007B7390"/>
    <w:rsid w:val="007C29A0"/>
    <w:rsid w:val="007C328F"/>
    <w:rsid w:val="007C53D4"/>
    <w:rsid w:val="007C6128"/>
    <w:rsid w:val="007D235B"/>
    <w:rsid w:val="007D3A85"/>
    <w:rsid w:val="007D4871"/>
    <w:rsid w:val="007D6FC8"/>
    <w:rsid w:val="007D7FF2"/>
    <w:rsid w:val="007E245B"/>
    <w:rsid w:val="007E3BB6"/>
    <w:rsid w:val="007E5823"/>
    <w:rsid w:val="007E6F24"/>
    <w:rsid w:val="007E734F"/>
    <w:rsid w:val="007E7B69"/>
    <w:rsid w:val="007F1B78"/>
    <w:rsid w:val="007F1C2E"/>
    <w:rsid w:val="007F2103"/>
    <w:rsid w:val="007F220F"/>
    <w:rsid w:val="007F2360"/>
    <w:rsid w:val="007F399B"/>
    <w:rsid w:val="007F45CE"/>
    <w:rsid w:val="007F46BA"/>
    <w:rsid w:val="007F5547"/>
    <w:rsid w:val="007F769A"/>
    <w:rsid w:val="00800A8B"/>
    <w:rsid w:val="0080135C"/>
    <w:rsid w:val="008065C7"/>
    <w:rsid w:val="00806ABC"/>
    <w:rsid w:val="00806ED1"/>
    <w:rsid w:val="008103B1"/>
    <w:rsid w:val="008109B0"/>
    <w:rsid w:val="00812C5F"/>
    <w:rsid w:val="00813A9A"/>
    <w:rsid w:val="00814242"/>
    <w:rsid w:val="00817467"/>
    <w:rsid w:val="0081757E"/>
    <w:rsid w:val="00822102"/>
    <w:rsid w:val="008232F6"/>
    <w:rsid w:val="00826586"/>
    <w:rsid w:val="00826C34"/>
    <w:rsid w:val="00827108"/>
    <w:rsid w:val="008276EC"/>
    <w:rsid w:val="00827BE2"/>
    <w:rsid w:val="00830FE2"/>
    <w:rsid w:val="008330F5"/>
    <w:rsid w:val="00833DEB"/>
    <w:rsid w:val="008360A1"/>
    <w:rsid w:val="00836745"/>
    <w:rsid w:val="00836FBE"/>
    <w:rsid w:val="00840AA2"/>
    <w:rsid w:val="0084225F"/>
    <w:rsid w:val="00844277"/>
    <w:rsid w:val="0084631F"/>
    <w:rsid w:val="00857172"/>
    <w:rsid w:val="00860180"/>
    <w:rsid w:val="00861DEC"/>
    <w:rsid w:val="00862FC7"/>
    <w:rsid w:val="008631C4"/>
    <w:rsid w:val="008631E3"/>
    <w:rsid w:val="0086372F"/>
    <w:rsid w:val="00863E63"/>
    <w:rsid w:val="00863F99"/>
    <w:rsid w:val="008645C4"/>
    <w:rsid w:val="00865D45"/>
    <w:rsid w:val="008663D2"/>
    <w:rsid w:val="00866B8A"/>
    <w:rsid w:val="00867598"/>
    <w:rsid w:val="0087023A"/>
    <w:rsid w:val="0088006A"/>
    <w:rsid w:val="0088022A"/>
    <w:rsid w:val="008804C6"/>
    <w:rsid w:val="008824ED"/>
    <w:rsid w:val="0089307E"/>
    <w:rsid w:val="00893C31"/>
    <w:rsid w:val="008A04BC"/>
    <w:rsid w:val="008A2001"/>
    <w:rsid w:val="008A2C40"/>
    <w:rsid w:val="008A38E4"/>
    <w:rsid w:val="008A4327"/>
    <w:rsid w:val="008A4991"/>
    <w:rsid w:val="008A5484"/>
    <w:rsid w:val="008A5F32"/>
    <w:rsid w:val="008A633C"/>
    <w:rsid w:val="008A715F"/>
    <w:rsid w:val="008B3299"/>
    <w:rsid w:val="008B7BE4"/>
    <w:rsid w:val="008C2002"/>
    <w:rsid w:val="008C388C"/>
    <w:rsid w:val="008C3965"/>
    <w:rsid w:val="008C40A7"/>
    <w:rsid w:val="008C46C8"/>
    <w:rsid w:val="008C50BD"/>
    <w:rsid w:val="008C6C99"/>
    <w:rsid w:val="008C72F8"/>
    <w:rsid w:val="008D0DF7"/>
    <w:rsid w:val="008D1FE7"/>
    <w:rsid w:val="008D432E"/>
    <w:rsid w:val="008D5B78"/>
    <w:rsid w:val="008D5EC8"/>
    <w:rsid w:val="008D62DA"/>
    <w:rsid w:val="008D70FA"/>
    <w:rsid w:val="008D7D60"/>
    <w:rsid w:val="008E1C49"/>
    <w:rsid w:val="008E3250"/>
    <w:rsid w:val="008E5EB4"/>
    <w:rsid w:val="008F08FB"/>
    <w:rsid w:val="008F18AA"/>
    <w:rsid w:val="008F693E"/>
    <w:rsid w:val="008F7487"/>
    <w:rsid w:val="008F7F3B"/>
    <w:rsid w:val="00901E1E"/>
    <w:rsid w:val="009028CA"/>
    <w:rsid w:val="00902D65"/>
    <w:rsid w:val="00902F94"/>
    <w:rsid w:val="00903D7B"/>
    <w:rsid w:val="00904503"/>
    <w:rsid w:val="00904B7A"/>
    <w:rsid w:val="00905EB2"/>
    <w:rsid w:val="009065B8"/>
    <w:rsid w:val="009077D8"/>
    <w:rsid w:val="00907C22"/>
    <w:rsid w:val="00911B5C"/>
    <w:rsid w:val="00916672"/>
    <w:rsid w:val="009167BB"/>
    <w:rsid w:val="00916F6F"/>
    <w:rsid w:val="00916FF7"/>
    <w:rsid w:val="00917C88"/>
    <w:rsid w:val="00920735"/>
    <w:rsid w:val="00925E0F"/>
    <w:rsid w:val="009265E2"/>
    <w:rsid w:val="0092661C"/>
    <w:rsid w:val="0093188D"/>
    <w:rsid w:val="00932F69"/>
    <w:rsid w:val="0093337C"/>
    <w:rsid w:val="009335A0"/>
    <w:rsid w:val="009336FB"/>
    <w:rsid w:val="00937E26"/>
    <w:rsid w:val="00942F38"/>
    <w:rsid w:val="00944340"/>
    <w:rsid w:val="009445DA"/>
    <w:rsid w:val="009521AF"/>
    <w:rsid w:val="00952374"/>
    <w:rsid w:val="0095294A"/>
    <w:rsid w:val="00955B9A"/>
    <w:rsid w:val="009569F7"/>
    <w:rsid w:val="00960515"/>
    <w:rsid w:val="00960742"/>
    <w:rsid w:val="009620C6"/>
    <w:rsid w:val="00962A4F"/>
    <w:rsid w:val="00962D8D"/>
    <w:rsid w:val="0096678C"/>
    <w:rsid w:val="009668C0"/>
    <w:rsid w:val="00966AF4"/>
    <w:rsid w:val="00966F92"/>
    <w:rsid w:val="00970847"/>
    <w:rsid w:val="00970959"/>
    <w:rsid w:val="00970DA4"/>
    <w:rsid w:val="009741EB"/>
    <w:rsid w:val="00974938"/>
    <w:rsid w:val="00976ABB"/>
    <w:rsid w:val="00976D75"/>
    <w:rsid w:val="00977F3E"/>
    <w:rsid w:val="00981289"/>
    <w:rsid w:val="0098228D"/>
    <w:rsid w:val="00983416"/>
    <w:rsid w:val="00985B9F"/>
    <w:rsid w:val="00985D41"/>
    <w:rsid w:val="0099172A"/>
    <w:rsid w:val="00991FDC"/>
    <w:rsid w:val="00992BDC"/>
    <w:rsid w:val="00996E94"/>
    <w:rsid w:val="009A35B0"/>
    <w:rsid w:val="009A36DE"/>
    <w:rsid w:val="009B2CBA"/>
    <w:rsid w:val="009B5AC5"/>
    <w:rsid w:val="009C4B79"/>
    <w:rsid w:val="009D0B1A"/>
    <w:rsid w:val="009D1644"/>
    <w:rsid w:val="009D446E"/>
    <w:rsid w:val="009D4BF1"/>
    <w:rsid w:val="009D51F9"/>
    <w:rsid w:val="009D5F77"/>
    <w:rsid w:val="009D5F83"/>
    <w:rsid w:val="009D7443"/>
    <w:rsid w:val="009D7A9A"/>
    <w:rsid w:val="009D7D4D"/>
    <w:rsid w:val="009E28E6"/>
    <w:rsid w:val="009E6872"/>
    <w:rsid w:val="009F0322"/>
    <w:rsid w:val="009F0CA4"/>
    <w:rsid w:val="009F1B34"/>
    <w:rsid w:val="009F1C8A"/>
    <w:rsid w:val="009F2E12"/>
    <w:rsid w:val="009F3798"/>
    <w:rsid w:val="009F4C06"/>
    <w:rsid w:val="009F52AB"/>
    <w:rsid w:val="009F5817"/>
    <w:rsid w:val="009F6FE6"/>
    <w:rsid w:val="009F7649"/>
    <w:rsid w:val="009F772F"/>
    <w:rsid w:val="00A0217B"/>
    <w:rsid w:val="00A05A1D"/>
    <w:rsid w:val="00A07757"/>
    <w:rsid w:val="00A10089"/>
    <w:rsid w:val="00A107F2"/>
    <w:rsid w:val="00A113F7"/>
    <w:rsid w:val="00A1193A"/>
    <w:rsid w:val="00A11ACC"/>
    <w:rsid w:val="00A13221"/>
    <w:rsid w:val="00A13F53"/>
    <w:rsid w:val="00A15C33"/>
    <w:rsid w:val="00A15FB9"/>
    <w:rsid w:val="00A16E03"/>
    <w:rsid w:val="00A17E03"/>
    <w:rsid w:val="00A3078B"/>
    <w:rsid w:val="00A30E8F"/>
    <w:rsid w:val="00A31B0F"/>
    <w:rsid w:val="00A32CD1"/>
    <w:rsid w:val="00A3463A"/>
    <w:rsid w:val="00A36375"/>
    <w:rsid w:val="00A36981"/>
    <w:rsid w:val="00A41D60"/>
    <w:rsid w:val="00A43C2A"/>
    <w:rsid w:val="00A43D07"/>
    <w:rsid w:val="00A43E86"/>
    <w:rsid w:val="00A44FF5"/>
    <w:rsid w:val="00A464B4"/>
    <w:rsid w:val="00A46903"/>
    <w:rsid w:val="00A47343"/>
    <w:rsid w:val="00A4769C"/>
    <w:rsid w:val="00A47BEC"/>
    <w:rsid w:val="00A5036F"/>
    <w:rsid w:val="00A50382"/>
    <w:rsid w:val="00A5268A"/>
    <w:rsid w:val="00A554EE"/>
    <w:rsid w:val="00A56014"/>
    <w:rsid w:val="00A56131"/>
    <w:rsid w:val="00A60EE9"/>
    <w:rsid w:val="00A61573"/>
    <w:rsid w:val="00A62EDB"/>
    <w:rsid w:val="00A63A59"/>
    <w:rsid w:val="00A63B5D"/>
    <w:rsid w:val="00A64433"/>
    <w:rsid w:val="00A64F92"/>
    <w:rsid w:val="00A66A8E"/>
    <w:rsid w:val="00A71D1B"/>
    <w:rsid w:val="00A73496"/>
    <w:rsid w:val="00A73897"/>
    <w:rsid w:val="00A822A8"/>
    <w:rsid w:val="00A830C0"/>
    <w:rsid w:val="00A84A9E"/>
    <w:rsid w:val="00A85669"/>
    <w:rsid w:val="00A86A30"/>
    <w:rsid w:val="00A90030"/>
    <w:rsid w:val="00A90DBD"/>
    <w:rsid w:val="00A9367D"/>
    <w:rsid w:val="00A94010"/>
    <w:rsid w:val="00A9405C"/>
    <w:rsid w:val="00AA170B"/>
    <w:rsid w:val="00AA3286"/>
    <w:rsid w:val="00AA411D"/>
    <w:rsid w:val="00AA5730"/>
    <w:rsid w:val="00AA636F"/>
    <w:rsid w:val="00AA718B"/>
    <w:rsid w:val="00AB1602"/>
    <w:rsid w:val="00AB1FA0"/>
    <w:rsid w:val="00AB3500"/>
    <w:rsid w:val="00AB42D3"/>
    <w:rsid w:val="00AB4F30"/>
    <w:rsid w:val="00AB58F0"/>
    <w:rsid w:val="00AB67BA"/>
    <w:rsid w:val="00AB6C76"/>
    <w:rsid w:val="00AC6232"/>
    <w:rsid w:val="00AD18DC"/>
    <w:rsid w:val="00AD3B51"/>
    <w:rsid w:val="00AD40CD"/>
    <w:rsid w:val="00AD44C5"/>
    <w:rsid w:val="00AD537F"/>
    <w:rsid w:val="00AD5A68"/>
    <w:rsid w:val="00AE178A"/>
    <w:rsid w:val="00AE33C0"/>
    <w:rsid w:val="00AE43AA"/>
    <w:rsid w:val="00AE6652"/>
    <w:rsid w:val="00AE6BE7"/>
    <w:rsid w:val="00AF56B7"/>
    <w:rsid w:val="00AF6494"/>
    <w:rsid w:val="00AF659F"/>
    <w:rsid w:val="00AF6C2B"/>
    <w:rsid w:val="00AF7457"/>
    <w:rsid w:val="00B03109"/>
    <w:rsid w:val="00B03AF3"/>
    <w:rsid w:val="00B07EC6"/>
    <w:rsid w:val="00B10128"/>
    <w:rsid w:val="00B121EA"/>
    <w:rsid w:val="00B16372"/>
    <w:rsid w:val="00B178F6"/>
    <w:rsid w:val="00B2052D"/>
    <w:rsid w:val="00B20B77"/>
    <w:rsid w:val="00B22A57"/>
    <w:rsid w:val="00B25C89"/>
    <w:rsid w:val="00B30F9A"/>
    <w:rsid w:val="00B317D6"/>
    <w:rsid w:val="00B3185C"/>
    <w:rsid w:val="00B3264C"/>
    <w:rsid w:val="00B32FF7"/>
    <w:rsid w:val="00B34FFD"/>
    <w:rsid w:val="00B4066B"/>
    <w:rsid w:val="00B41025"/>
    <w:rsid w:val="00B45237"/>
    <w:rsid w:val="00B46C24"/>
    <w:rsid w:val="00B46D47"/>
    <w:rsid w:val="00B51917"/>
    <w:rsid w:val="00B51B63"/>
    <w:rsid w:val="00B52412"/>
    <w:rsid w:val="00B52701"/>
    <w:rsid w:val="00B53A9C"/>
    <w:rsid w:val="00B55079"/>
    <w:rsid w:val="00B5636C"/>
    <w:rsid w:val="00B56EEB"/>
    <w:rsid w:val="00B64059"/>
    <w:rsid w:val="00B67AE9"/>
    <w:rsid w:val="00B67EE3"/>
    <w:rsid w:val="00B70E06"/>
    <w:rsid w:val="00B7193D"/>
    <w:rsid w:val="00B752F4"/>
    <w:rsid w:val="00B75D49"/>
    <w:rsid w:val="00B75E17"/>
    <w:rsid w:val="00B828EC"/>
    <w:rsid w:val="00B83A03"/>
    <w:rsid w:val="00B91646"/>
    <w:rsid w:val="00B932A1"/>
    <w:rsid w:val="00B93609"/>
    <w:rsid w:val="00B9481F"/>
    <w:rsid w:val="00B95F3B"/>
    <w:rsid w:val="00B9684D"/>
    <w:rsid w:val="00BA1739"/>
    <w:rsid w:val="00BA1A33"/>
    <w:rsid w:val="00BA26C6"/>
    <w:rsid w:val="00BA509E"/>
    <w:rsid w:val="00BA55AB"/>
    <w:rsid w:val="00BA6C5D"/>
    <w:rsid w:val="00BA7286"/>
    <w:rsid w:val="00BA7356"/>
    <w:rsid w:val="00BA7E95"/>
    <w:rsid w:val="00BB0FAB"/>
    <w:rsid w:val="00BB1C4E"/>
    <w:rsid w:val="00BB2F89"/>
    <w:rsid w:val="00BB5D05"/>
    <w:rsid w:val="00BB6976"/>
    <w:rsid w:val="00BB7848"/>
    <w:rsid w:val="00BB7C30"/>
    <w:rsid w:val="00BB7DBC"/>
    <w:rsid w:val="00BC67DA"/>
    <w:rsid w:val="00BD00D2"/>
    <w:rsid w:val="00BD02D8"/>
    <w:rsid w:val="00BD0E8B"/>
    <w:rsid w:val="00BD19D1"/>
    <w:rsid w:val="00BD2A83"/>
    <w:rsid w:val="00BD3985"/>
    <w:rsid w:val="00BE07D2"/>
    <w:rsid w:val="00BE1147"/>
    <w:rsid w:val="00BE6601"/>
    <w:rsid w:val="00BE6DE9"/>
    <w:rsid w:val="00BF12D6"/>
    <w:rsid w:val="00BF365B"/>
    <w:rsid w:val="00BF3A63"/>
    <w:rsid w:val="00BF49B6"/>
    <w:rsid w:val="00BF5401"/>
    <w:rsid w:val="00BF6182"/>
    <w:rsid w:val="00BF61F4"/>
    <w:rsid w:val="00C00574"/>
    <w:rsid w:val="00C0201A"/>
    <w:rsid w:val="00C03449"/>
    <w:rsid w:val="00C073A9"/>
    <w:rsid w:val="00C0741B"/>
    <w:rsid w:val="00C07CA9"/>
    <w:rsid w:val="00C11C25"/>
    <w:rsid w:val="00C1292A"/>
    <w:rsid w:val="00C12D07"/>
    <w:rsid w:val="00C1505A"/>
    <w:rsid w:val="00C17A96"/>
    <w:rsid w:val="00C21CF5"/>
    <w:rsid w:val="00C22FCB"/>
    <w:rsid w:val="00C23FF8"/>
    <w:rsid w:val="00C248B9"/>
    <w:rsid w:val="00C26E8E"/>
    <w:rsid w:val="00C27CAD"/>
    <w:rsid w:val="00C309BE"/>
    <w:rsid w:val="00C3130F"/>
    <w:rsid w:val="00C31DF7"/>
    <w:rsid w:val="00C32F06"/>
    <w:rsid w:val="00C334D8"/>
    <w:rsid w:val="00C4053F"/>
    <w:rsid w:val="00C414F8"/>
    <w:rsid w:val="00C41952"/>
    <w:rsid w:val="00C42854"/>
    <w:rsid w:val="00C46240"/>
    <w:rsid w:val="00C46F19"/>
    <w:rsid w:val="00C5132F"/>
    <w:rsid w:val="00C5283D"/>
    <w:rsid w:val="00C53A1F"/>
    <w:rsid w:val="00C542E6"/>
    <w:rsid w:val="00C5433C"/>
    <w:rsid w:val="00C5616C"/>
    <w:rsid w:val="00C569FA"/>
    <w:rsid w:val="00C56CC1"/>
    <w:rsid w:val="00C577A1"/>
    <w:rsid w:val="00C60709"/>
    <w:rsid w:val="00C61CD9"/>
    <w:rsid w:val="00C629C6"/>
    <w:rsid w:val="00C63776"/>
    <w:rsid w:val="00C63D19"/>
    <w:rsid w:val="00C655B1"/>
    <w:rsid w:val="00C713DC"/>
    <w:rsid w:val="00C75258"/>
    <w:rsid w:val="00C76653"/>
    <w:rsid w:val="00C76F0F"/>
    <w:rsid w:val="00C81E8F"/>
    <w:rsid w:val="00C825B3"/>
    <w:rsid w:val="00C82E3A"/>
    <w:rsid w:val="00C84416"/>
    <w:rsid w:val="00C8479A"/>
    <w:rsid w:val="00C84D2B"/>
    <w:rsid w:val="00C856CD"/>
    <w:rsid w:val="00C87A6B"/>
    <w:rsid w:val="00C92014"/>
    <w:rsid w:val="00C9423E"/>
    <w:rsid w:val="00C970FC"/>
    <w:rsid w:val="00CA4C14"/>
    <w:rsid w:val="00CB28C5"/>
    <w:rsid w:val="00CB28FB"/>
    <w:rsid w:val="00CB6695"/>
    <w:rsid w:val="00CB66E1"/>
    <w:rsid w:val="00CB66EC"/>
    <w:rsid w:val="00CB6CC7"/>
    <w:rsid w:val="00CC0523"/>
    <w:rsid w:val="00CC13F7"/>
    <w:rsid w:val="00CC37D8"/>
    <w:rsid w:val="00CC3EDC"/>
    <w:rsid w:val="00CC4A5B"/>
    <w:rsid w:val="00CC4FD3"/>
    <w:rsid w:val="00CC7FB1"/>
    <w:rsid w:val="00CD0B3E"/>
    <w:rsid w:val="00CD2A9C"/>
    <w:rsid w:val="00CD55EB"/>
    <w:rsid w:val="00CD577A"/>
    <w:rsid w:val="00CD7BEF"/>
    <w:rsid w:val="00CE1AD6"/>
    <w:rsid w:val="00CE1B50"/>
    <w:rsid w:val="00CE2B7A"/>
    <w:rsid w:val="00CE653B"/>
    <w:rsid w:val="00CE74A0"/>
    <w:rsid w:val="00CE7CA0"/>
    <w:rsid w:val="00CF1C6B"/>
    <w:rsid w:val="00CF21DF"/>
    <w:rsid w:val="00CF2848"/>
    <w:rsid w:val="00CF3273"/>
    <w:rsid w:val="00D01D83"/>
    <w:rsid w:val="00D02085"/>
    <w:rsid w:val="00D02640"/>
    <w:rsid w:val="00D029E7"/>
    <w:rsid w:val="00D03910"/>
    <w:rsid w:val="00D04139"/>
    <w:rsid w:val="00D05F2A"/>
    <w:rsid w:val="00D107A4"/>
    <w:rsid w:val="00D1100B"/>
    <w:rsid w:val="00D11352"/>
    <w:rsid w:val="00D12811"/>
    <w:rsid w:val="00D13A86"/>
    <w:rsid w:val="00D15B3F"/>
    <w:rsid w:val="00D15F88"/>
    <w:rsid w:val="00D21F8B"/>
    <w:rsid w:val="00D25426"/>
    <w:rsid w:val="00D308EA"/>
    <w:rsid w:val="00D31220"/>
    <w:rsid w:val="00D31FD2"/>
    <w:rsid w:val="00D326EB"/>
    <w:rsid w:val="00D33830"/>
    <w:rsid w:val="00D34793"/>
    <w:rsid w:val="00D401C2"/>
    <w:rsid w:val="00D41616"/>
    <w:rsid w:val="00D44624"/>
    <w:rsid w:val="00D44F72"/>
    <w:rsid w:val="00D454AC"/>
    <w:rsid w:val="00D45B2C"/>
    <w:rsid w:val="00D53FCC"/>
    <w:rsid w:val="00D571A8"/>
    <w:rsid w:val="00D64235"/>
    <w:rsid w:val="00D67DA9"/>
    <w:rsid w:val="00D7380D"/>
    <w:rsid w:val="00D76FE0"/>
    <w:rsid w:val="00D8146F"/>
    <w:rsid w:val="00D81B2C"/>
    <w:rsid w:val="00D81F88"/>
    <w:rsid w:val="00D83223"/>
    <w:rsid w:val="00D83FB7"/>
    <w:rsid w:val="00D86F10"/>
    <w:rsid w:val="00D92C73"/>
    <w:rsid w:val="00D93153"/>
    <w:rsid w:val="00D95921"/>
    <w:rsid w:val="00D96C7C"/>
    <w:rsid w:val="00DA13D7"/>
    <w:rsid w:val="00DA340B"/>
    <w:rsid w:val="00DA37E6"/>
    <w:rsid w:val="00DA4234"/>
    <w:rsid w:val="00DA49A1"/>
    <w:rsid w:val="00DA4EF7"/>
    <w:rsid w:val="00DB28F1"/>
    <w:rsid w:val="00DB4724"/>
    <w:rsid w:val="00DB599E"/>
    <w:rsid w:val="00DB5B8A"/>
    <w:rsid w:val="00DB61E9"/>
    <w:rsid w:val="00DB648B"/>
    <w:rsid w:val="00DB6C91"/>
    <w:rsid w:val="00DC432D"/>
    <w:rsid w:val="00DC4A2D"/>
    <w:rsid w:val="00DC4A8E"/>
    <w:rsid w:val="00DC69EA"/>
    <w:rsid w:val="00DC756F"/>
    <w:rsid w:val="00DC75E5"/>
    <w:rsid w:val="00DD0738"/>
    <w:rsid w:val="00DD24DE"/>
    <w:rsid w:val="00DD3663"/>
    <w:rsid w:val="00DD5101"/>
    <w:rsid w:val="00DE1219"/>
    <w:rsid w:val="00DE156E"/>
    <w:rsid w:val="00DE2923"/>
    <w:rsid w:val="00DE3933"/>
    <w:rsid w:val="00DE5082"/>
    <w:rsid w:val="00DE64A7"/>
    <w:rsid w:val="00DE6B82"/>
    <w:rsid w:val="00DE6C02"/>
    <w:rsid w:val="00DF5E32"/>
    <w:rsid w:val="00DF5E94"/>
    <w:rsid w:val="00DF63FC"/>
    <w:rsid w:val="00E001F8"/>
    <w:rsid w:val="00E0059D"/>
    <w:rsid w:val="00E041F8"/>
    <w:rsid w:val="00E05BC1"/>
    <w:rsid w:val="00E103D0"/>
    <w:rsid w:val="00E10D11"/>
    <w:rsid w:val="00E14232"/>
    <w:rsid w:val="00E14B7F"/>
    <w:rsid w:val="00E15021"/>
    <w:rsid w:val="00E16F01"/>
    <w:rsid w:val="00E21D06"/>
    <w:rsid w:val="00E220EE"/>
    <w:rsid w:val="00E240E8"/>
    <w:rsid w:val="00E24A92"/>
    <w:rsid w:val="00E24BF4"/>
    <w:rsid w:val="00E276D6"/>
    <w:rsid w:val="00E27C5E"/>
    <w:rsid w:val="00E27EDF"/>
    <w:rsid w:val="00E328A4"/>
    <w:rsid w:val="00E360F9"/>
    <w:rsid w:val="00E41FDC"/>
    <w:rsid w:val="00E44DF6"/>
    <w:rsid w:val="00E45814"/>
    <w:rsid w:val="00E465AA"/>
    <w:rsid w:val="00E46DA6"/>
    <w:rsid w:val="00E47FC5"/>
    <w:rsid w:val="00E50D46"/>
    <w:rsid w:val="00E51A03"/>
    <w:rsid w:val="00E51C6F"/>
    <w:rsid w:val="00E541A5"/>
    <w:rsid w:val="00E54CBE"/>
    <w:rsid w:val="00E55D35"/>
    <w:rsid w:val="00E5689C"/>
    <w:rsid w:val="00E60546"/>
    <w:rsid w:val="00E63371"/>
    <w:rsid w:val="00E706EA"/>
    <w:rsid w:val="00E709B0"/>
    <w:rsid w:val="00E711C9"/>
    <w:rsid w:val="00E72D8E"/>
    <w:rsid w:val="00E74F00"/>
    <w:rsid w:val="00E777E2"/>
    <w:rsid w:val="00E8431D"/>
    <w:rsid w:val="00E84EA6"/>
    <w:rsid w:val="00E8759C"/>
    <w:rsid w:val="00E905AB"/>
    <w:rsid w:val="00E91094"/>
    <w:rsid w:val="00E919C3"/>
    <w:rsid w:val="00E935A0"/>
    <w:rsid w:val="00E936E6"/>
    <w:rsid w:val="00E9535F"/>
    <w:rsid w:val="00EA19B8"/>
    <w:rsid w:val="00EA1EAD"/>
    <w:rsid w:val="00EA5913"/>
    <w:rsid w:val="00EB05F6"/>
    <w:rsid w:val="00EB0921"/>
    <w:rsid w:val="00EB1587"/>
    <w:rsid w:val="00EB5D91"/>
    <w:rsid w:val="00EB699C"/>
    <w:rsid w:val="00EB6F1E"/>
    <w:rsid w:val="00EB7A08"/>
    <w:rsid w:val="00EC179F"/>
    <w:rsid w:val="00EC34BB"/>
    <w:rsid w:val="00EC651E"/>
    <w:rsid w:val="00EC66C8"/>
    <w:rsid w:val="00ED29A2"/>
    <w:rsid w:val="00ED6470"/>
    <w:rsid w:val="00ED67D6"/>
    <w:rsid w:val="00EE2C2C"/>
    <w:rsid w:val="00EE3B92"/>
    <w:rsid w:val="00EE66D2"/>
    <w:rsid w:val="00EF432A"/>
    <w:rsid w:val="00EF4B23"/>
    <w:rsid w:val="00EF68B4"/>
    <w:rsid w:val="00EF6F5D"/>
    <w:rsid w:val="00F027CF"/>
    <w:rsid w:val="00F02AA9"/>
    <w:rsid w:val="00F03F92"/>
    <w:rsid w:val="00F0603A"/>
    <w:rsid w:val="00F069BE"/>
    <w:rsid w:val="00F105DF"/>
    <w:rsid w:val="00F11FC4"/>
    <w:rsid w:val="00F12BCE"/>
    <w:rsid w:val="00F1350C"/>
    <w:rsid w:val="00F135D1"/>
    <w:rsid w:val="00F13F51"/>
    <w:rsid w:val="00F21AFE"/>
    <w:rsid w:val="00F21FD8"/>
    <w:rsid w:val="00F225CC"/>
    <w:rsid w:val="00F24E52"/>
    <w:rsid w:val="00F34D64"/>
    <w:rsid w:val="00F364D4"/>
    <w:rsid w:val="00F36ACE"/>
    <w:rsid w:val="00F40F8B"/>
    <w:rsid w:val="00F4349F"/>
    <w:rsid w:val="00F442F3"/>
    <w:rsid w:val="00F44529"/>
    <w:rsid w:val="00F46815"/>
    <w:rsid w:val="00F46ED5"/>
    <w:rsid w:val="00F47EDB"/>
    <w:rsid w:val="00F50604"/>
    <w:rsid w:val="00F526F5"/>
    <w:rsid w:val="00F53455"/>
    <w:rsid w:val="00F60EE0"/>
    <w:rsid w:val="00F622A0"/>
    <w:rsid w:val="00F631B1"/>
    <w:rsid w:val="00F64EFA"/>
    <w:rsid w:val="00F66054"/>
    <w:rsid w:val="00F6643D"/>
    <w:rsid w:val="00F701EF"/>
    <w:rsid w:val="00F72627"/>
    <w:rsid w:val="00F745A3"/>
    <w:rsid w:val="00F77662"/>
    <w:rsid w:val="00F77A78"/>
    <w:rsid w:val="00F83459"/>
    <w:rsid w:val="00F84851"/>
    <w:rsid w:val="00F8701C"/>
    <w:rsid w:val="00F917F0"/>
    <w:rsid w:val="00F918DB"/>
    <w:rsid w:val="00F9280B"/>
    <w:rsid w:val="00F92DF9"/>
    <w:rsid w:val="00F92EF1"/>
    <w:rsid w:val="00F9344F"/>
    <w:rsid w:val="00F96939"/>
    <w:rsid w:val="00F96F55"/>
    <w:rsid w:val="00FA2D7A"/>
    <w:rsid w:val="00FA2E1D"/>
    <w:rsid w:val="00FA4850"/>
    <w:rsid w:val="00FA5626"/>
    <w:rsid w:val="00FA6334"/>
    <w:rsid w:val="00FA6B80"/>
    <w:rsid w:val="00FB22A8"/>
    <w:rsid w:val="00FB2AF4"/>
    <w:rsid w:val="00FB2E14"/>
    <w:rsid w:val="00FB542C"/>
    <w:rsid w:val="00FB7AFC"/>
    <w:rsid w:val="00FC00F0"/>
    <w:rsid w:val="00FC1C43"/>
    <w:rsid w:val="00FC69CD"/>
    <w:rsid w:val="00FC7B37"/>
    <w:rsid w:val="00FD0F2C"/>
    <w:rsid w:val="00FD0F3D"/>
    <w:rsid w:val="00FD1637"/>
    <w:rsid w:val="00FD1C87"/>
    <w:rsid w:val="00FD545B"/>
    <w:rsid w:val="00FD6462"/>
    <w:rsid w:val="00FD752A"/>
    <w:rsid w:val="00FD7EE7"/>
    <w:rsid w:val="00FE075E"/>
    <w:rsid w:val="00FE1584"/>
    <w:rsid w:val="00FE21AF"/>
    <w:rsid w:val="00FE2337"/>
    <w:rsid w:val="00FE3659"/>
    <w:rsid w:val="00FF1DE4"/>
    <w:rsid w:val="00FF4337"/>
    <w:rsid w:val="03C7FDF7"/>
    <w:rsid w:val="09E22541"/>
    <w:rsid w:val="0AB74442"/>
    <w:rsid w:val="0CB0465C"/>
    <w:rsid w:val="139FAE45"/>
    <w:rsid w:val="13D014AE"/>
    <w:rsid w:val="165E743E"/>
    <w:rsid w:val="167CAE22"/>
    <w:rsid w:val="16DF1274"/>
    <w:rsid w:val="17567AD0"/>
    <w:rsid w:val="179F169B"/>
    <w:rsid w:val="17F84668"/>
    <w:rsid w:val="19A72667"/>
    <w:rsid w:val="19BFE8CE"/>
    <w:rsid w:val="1D7EBC08"/>
    <w:rsid w:val="1DE6CD44"/>
    <w:rsid w:val="1F4FEDE4"/>
    <w:rsid w:val="1FFF0915"/>
    <w:rsid w:val="1FFF262C"/>
    <w:rsid w:val="26D20B2F"/>
    <w:rsid w:val="29036DC0"/>
    <w:rsid w:val="2BFDD812"/>
    <w:rsid w:val="2BFDDC9A"/>
    <w:rsid w:val="2CD769AE"/>
    <w:rsid w:val="2DAC91DD"/>
    <w:rsid w:val="2DBF9AF6"/>
    <w:rsid w:val="2E1D4B33"/>
    <w:rsid w:val="2F9F01EB"/>
    <w:rsid w:val="2FB98AF2"/>
    <w:rsid w:val="2FBFE180"/>
    <w:rsid w:val="2FFF8D79"/>
    <w:rsid w:val="32BF7754"/>
    <w:rsid w:val="330FBF42"/>
    <w:rsid w:val="355FC578"/>
    <w:rsid w:val="35F27970"/>
    <w:rsid w:val="35FFC97F"/>
    <w:rsid w:val="367A2390"/>
    <w:rsid w:val="36BFF39B"/>
    <w:rsid w:val="36CE04FE"/>
    <w:rsid w:val="373E5B32"/>
    <w:rsid w:val="37FF5B2D"/>
    <w:rsid w:val="3A4F365A"/>
    <w:rsid w:val="3A9B7EB9"/>
    <w:rsid w:val="3B4E874B"/>
    <w:rsid w:val="3B5FD637"/>
    <w:rsid w:val="3BFDA884"/>
    <w:rsid w:val="3BFF3754"/>
    <w:rsid w:val="3C9D5E9C"/>
    <w:rsid w:val="3CE90714"/>
    <w:rsid w:val="3CEF3A53"/>
    <w:rsid w:val="3CF5D085"/>
    <w:rsid w:val="3DD63183"/>
    <w:rsid w:val="3EFF5402"/>
    <w:rsid w:val="3FDFE376"/>
    <w:rsid w:val="3FFAA9F8"/>
    <w:rsid w:val="3FFE6482"/>
    <w:rsid w:val="45723B42"/>
    <w:rsid w:val="457D3A85"/>
    <w:rsid w:val="45E7F9B7"/>
    <w:rsid w:val="45EE7DA7"/>
    <w:rsid w:val="49DB3C29"/>
    <w:rsid w:val="4AE957E3"/>
    <w:rsid w:val="4EBFC911"/>
    <w:rsid w:val="4ED48AAB"/>
    <w:rsid w:val="4FBBACB2"/>
    <w:rsid w:val="4FDF115E"/>
    <w:rsid w:val="52BAACF2"/>
    <w:rsid w:val="53FF1E80"/>
    <w:rsid w:val="53FFEC67"/>
    <w:rsid w:val="567891F4"/>
    <w:rsid w:val="56B3C1E6"/>
    <w:rsid w:val="571F156A"/>
    <w:rsid w:val="57F424E4"/>
    <w:rsid w:val="57FF1711"/>
    <w:rsid w:val="599F59D7"/>
    <w:rsid w:val="59AFA16F"/>
    <w:rsid w:val="5B1D1C52"/>
    <w:rsid w:val="5BD77B32"/>
    <w:rsid w:val="5BEDD03E"/>
    <w:rsid w:val="5BEEA33B"/>
    <w:rsid w:val="5C6F3039"/>
    <w:rsid w:val="5C7EF7C0"/>
    <w:rsid w:val="5CEF9D0F"/>
    <w:rsid w:val="5D073E73"/>
    <w:rsid w:val="5D3EF3AD"/>
    <w:rsid w:val="5DBD92F0"/>
    <w:rsid w:val="5DBF5DED"/>
    <w:rsid w:val="5DD9627C"/>
    <w:rsid w:val="5DDD6FB4"/>
    <w:rsid w:val="5E3D0663"/>
    <w:rsid w:val="5E442FBD"/>
    <w:rsid w:val="5E7FD31D"/>
    <w:rsid w:val="5E7FFF75"/>
    <w:rsid w:val="5EC3039C"/>
    <w:rsid w:val="5EDD4C3C"/>
    <w:rsid w:val="5EF554A7"/>
    <w:rsid w:val="5F1FDE23"/>
    <w:rsid w:val="5F3D88F7"/>
    <w:rsid w:val="5F59905D"/>
    <w:rsid w:val="5F5AF383"/>
    <w:rsid w:val="5F5DB71F"/>
    <w:rsid w:val="5F6E5E00"/>
    <w:rsid w:val="5F7DE5D2"/>
    <w:rsid w:val="5FAFA37D"/>
    <w:rsid w:val="5FBF521B"/>
    <w:rsid w:val="5FDA2083"/>
    <w:rsid w:val="5FDDA290"/>
    <w:rsid w:val="5FED4E29"/>
    <w:rsid w:val="5FF395CD"/>
    <w:rsid w:val="5FFABA12"/>
    <w:rsid w:val="5FFF1CB0"/>
    <w:rsid w:val="5FFF3750"/>
    <w:rsid w:val="63EB5267"/>
    <w:rsid w:val="63FFC686"/>
    <w:rsid w:val="64E61286"/>
    <w:rsid w:val="65BAB45A"/>
    <w:rsid w:val="668703A6"/>
    <w:rsid w:val="66EB30CC"/>
    <w:rsid w:val="6733B7CD"/>
    <w:rsid w:val="676E499C"/>
    <w:rsid w:val="679F2634"/>
    <w:rsid w:val="6A3B5E26"/>
    <w:rsid w:val="6B69F015"/>
    <w:rsid w:val="6BEB25E8"/>
    <w:rsid w:val="6D5B50DE"/>
    <w:rsid w:val="6DED374F"/>
    <w:rsid w:val="6DFF2CFB"/>
    <w:rsid w:val="6DFF4CAC"/>
    <w:rsid w:val="6EF9621B"/>
    <w:rsid w:val="6F642E18"/>
    <w:rsid w:val="6F778A48"/>
    <w:rsid w:val="6F7891E5"/>
    <w:rsid w:val="6F8E8ABC"/>
    <w:rsid w:val="6FBF36B3"/>
    <w:rsid w:val="6FCC477F"/>
    <w:rsid w:val="6FD7E0BC"/>
    <w:rsid w:val="6FD92C8A"/>
    <w:rsid w:val="6FDAFA29"/>
    <w:rsid w:val="6FEB9575"/>
    <w:rsid w:val="6FED52E3"/>
    <w:rsid w:val="6FFF9F2C"/>
    <w:rsid w:val="71FF1BF4"/>
    <w:rsid w:val="72FF25BA"/>
    <w:rsid w:val="73F7A790"/>
    <w:rsid w:val="73FB70AC"/>
    <w:rsid w:val="74113C8D"/>
    <w:rsid w:val="74D3B203"/>
    <w:rsid w:val="74DF3F80"/>
    <w:rsid w:val="74F24D75"/>
    <w:rsid w:val="74FF32EE"/>
    <w:rsid w:val="757B9B8B"/>
    <w:rsid w:val="758D1B00"/>
    <w:rsid w:val="75CFA3BF"/>
    <w:rsid w:val="75FF3747"/>
    <w:rsid w:val="75FF85E5"/>
    <w:rsid w:val="767D951A"/>
    <w:rsid w:val="773557E5"/>
    <w:rsid w:val="777CA124"/>
    <w:rsid w:val="779783D4"/>
    <w:rsid w:val="779E1982"/>
    <w:rsid w:val="77CAED84"/>
    <w:rsid w:val="77DCAE9D"/>
    <w:rsid w:val="77E3DA64"/>
    <w:rsid w:val="77F47EF1"/>
    <w:rsid w:val="77F83A32"/>
    <w:rsid w:val="77FF34A6"/>
    <w:rsid w:val="77FFB7A6"/>
    <w:rsid w:val="78F6E460"/>
    <w:rsid w:val="79776F22"/>
    <w:rsid w:val="798D6113"/>
    <w:rsid w:val="798FF7C6"/>
    <w:rsid w:val="79B9925D"/>
    <w:rsid w:val="79FBED78"/>
    <w:rsid w:val="79FFC7BC"/>
    <w:rsid w:val="7A1FFD17"/>
    <w:rsid w:val="7AFF5955"/>
    <w:rsid w:val="7B7308EF"/>
    <w:rsid w:val="7B7FFE6C"/>
    <w:rsid w:val="7B8DACBE"/>
    <w:rsid w:val="7BB701E7"/>
    <w:rsid w:val="7BBB0859"/>
    <w:rsid w:val="7BCD28DA"/>
    <w:rsid w:val="7BED9636"/>
    <w:rsid w:val="7BEF5A44"/>
    <w:rsid w:val="7BF05C4E"/>
    <w:rsid w:val="7BFC543A"/>
    <w:rsid w:val="7BFF8B01"/>
    <w:rsid w:val="7C96AF6A"/>
    <w:rsid w:val="7CA71EF5"/>
    <w:rsid w:val="7CBE065A"/>
    <w:rsid w:val="7CDB4897"/>
    <w:rsid w:val="7D1D2140"/>
    <w:rsid w:val="7D37F8D1"/>
    <w:rsid w:val="7D8BC5E5"/>
    <w:rsid w:val="7D9D5ABC"/>
    <w:rsid w:val="7DBCDB89"/>
    <w:rsid w:val="7DCD90EE"/>
    <w:rsid w:val="7DD13F2B"/>
    <w:rsid w:val="7DFDF021"/>
    <w:rsid w:val="7E79E324"/>
    <w:rsid w:val="7E7ED2C6"/>
    <w:rsid w:val="7EAC35E0"/>
    <w:rsid w:val="7EBF8152"/>
    <w:rsid w:val="7ED8E07D"/>
    <w:rsid w:val="7EDF2F42"/>
    <w:rsid w:val="7EE7EBCD"/>
    <w:rsid w:val="7EFB11C0"/>
    <w:rsid w:val="7EFFFCD0"/>
    <w:rsid w:val="7F3B5565"/>
    <w:rsid w:val="7F3F5564"/>
    <w:rsid w:val="7F5FCCDD"/>
    <w:rsid w:val="7F7BEAE4"/>
    <w:rsid w:val="7F9B877D"/>
    <w:rsid w:val="7FAE7EAF"/>
    <w:rsid w:val="7FBCD9EC"/>
    <w:rsid w:val="7FBDD0F0"/>
    <w:rsid w:val="7FBE4785"/>
    <w:rsid w:val="7FBEB621"/>
    <w:rsid w:val="7FBFA69C"/>
    <w:rsid w:val="7FC04628"/>
    <w:rsid w:val="7FC9336B"/>
    <w:rsid w:val="7FCF67FD"/>
    <w:rsid w:val="7FD775C3"/>
    <w:rsid w:val="7FD7945D"/>
    <w:rsid w:val="7FDDF508"/>
    <w:rsid w:val="7FDF1967"/>
    <w:rsid w:val="7FDFB9F1"/>
    <w:rsid w:val="7FE9BD26"/>
    <w:rsid w:val="7FEE7503"/>
    <w:rsid w:val="7FEF5974"/>
    <w:rsid w:val="7FF70ACE"/>
    <w:rsid w:val="7FF72BD5"/>
    <w:rsid w:val="7FF90694"/>
    <w:rsid w:val="7FFBE002"/>
    <w:rsid w:val="7FFD3A9A"/>
    <w:rsid w:val="7FFD49FC"/>
    <w:rsid w:val="7FFED118"/>
    <w:rsid w:val="7FFFD939"/>
    <w:rsid w:val="7FFFFB73"/>
    <w:rsid w:val="84BF90DF"/>
    <w:rsid w:val="96B93A4D"/>
    <w:rsid w:val="9AA33E4D"/>
    <w:rsid w:val="9AFEBB04"/>
    <w:rsid w:val="9BED1B0C"/>
    <w:rsid w:val="9EE57B2E"/>
    <w:rsid w:val="9EFB6552"/>
    <w:rsid w:val="A3FF0548"/>
    <w:rsid w:val="A57BE966"/>
    <w:rsid w:val="A57F2E83"/>
    <w:rsid w:val="A5FCC422"/>
    <w:rsid w:val="AA7FED0D"/>
    <w:rsid w:val="AAFFA195"/>
    <w:rsid w:val="ABFABC33"/>
    <w:rsid w:val="ABFF6808"/>
    <w:rsid w:val="ADFED42E"/>
    <w:rsid w:val="AEF7D4B6"/>
    <w:rsid w:val="AFB51D90"/>
    <w:rsid w:val="AFBC1BF6"/>
    <w:rsid w:val="AFEEF1BE"/>
    <w:rsid w:val="AFEFDF87"/>
    <w:rsid w:val="AFF7188D"/>
    <w:rsid w:val="AFFB9728"/>
    <w:rsid w:val="AFFCB688"/>
    <w:rsid w:val="B0EC1EFF"/>
    <w:rsid w:val="B5DB4B38"/>
    <w:rsid w:val="B5DD74A9"/>
    <w:rsid w:val="B6BF11A9"/>
    <w:rsid w:val="B7BF11E4"/>
    <w:rsid w:val="B7E6F357"/>
    <w:rsid w:val="B7FF2946"/>
    <w:rsid w:val="B97F3DE2"/>
    <w:rsid w:val="BABEE6ED"/>
    <w:rsid w:val="BAFF1C79"/>
    <w:rsid w:val="BBD2ADD3"/>
    <w:rsid w:val="BD5F5901"/>
    <w:rsid w:val="BD6E8F7F"/>
    <w:rsid w:val="BDDB3195"/>
    <w:rsid w:val="BDDC17E2"/>
    <w:rsid w:val="BE4F8732"/>
    <w:rsid w:val="BEF3820A"/>
    <w:rsid w:val="BEFF8BF7"/>
    <w:rsid w:val="BF5DEDCF"/>
    <w:rsid w:val="BFDDC077"/>
    <w:rsid w:val="BFDDD31A"/>
    <w:rsid w:val="BFFD01C6"/>
    <w:rsid w:val="BFFE94F9"/>
    <w:rsid w:val="BFFF8B65"/>
    <w:rsid w:val="BFFFACC5"/>
    <w:rsid w:val="C5734633"/>
    <w:rsid w:val="C7DF40DB"/>
    <w:rsid w:val="CC3B8758"/>
    <w:rsid w:val="CCFBE00B"/>
    <w:rsid w:val="CEEF73E6"/>
    <w:rsid w:val="CEF74345"/>
    <w:rsid w:val="CF9F9710"/>
    <w:rsid w:val="CFF9C0D9"/>
    <w:rsid w:val="CFFEE75A"/>
    <w:rsid w:val="D3F3C6DC"/>
    <w:rsid w:val="D46FC35E"/>
    <w:rsid w:val="D67F9CD5"/>
    <w:rsid w:val="D77FF07E"/>
    <w:rsid w:val="D7BFBEF1"/>
    <w:rsid w:val="D7FC0DC7"/>
    <w:rsid w:val="DACB7A11"/>
    <w:rsid w:val="DB6E5AA8"/>
    <w:rsid w:val="DB6FD0A6"/>
    <w:rsid w:val="DBBFFF31"/>
    <w:rsid w:val="DBF2A3B4"/>
    <w:rsid w:val="DD5E018A"/>
    <w:rsid w:val="DD7F5781"/>
    <w:rsid w:val="DDBCA33B"/>
    <w:rsid w:val="DDBF6D28"/>
    <w:rsid w:val="DDFF2A65"/>
    <w:rsid w:val="DDFF2DF1"/>
    <w:rsid w:val="DEB7067E"/>
    <w:rsid w:val="DED35B85"/>
    <w:rsid w:val="DEF73397"/>
    <w:rsid w:val="DF0B2819"/>
    <w:rsid w:val="DF774D32"/>
    <w:rsid w:val="DF7D19C9"/>
    <w:rsid w:val="DF7F0AB0"/>
    <w:rsid w:val="DF7F4984"/>
    <w:rsid w:val="DF7FC646"/>
    <w:rsid w:val="DFDEA4FD"/>
    <w:rsid w:val="DFE99D7B"/>
    <w:rsid w:val="DFEA70CF"/>
    <w:rsid w:val="DFF36E03"/>
    <w:rsid w:val="DFF79476"/>
    <w:rsid w:val="DFF7B6AF"/>
    <w:rsid w:val="DFFAE07E"/>
    <w:rsid w:val="DFFF9DF6"/>
    <w:rsid w:val="DFFFE511"/>
    <w:rsid w:val="E1FD84F6"/>
    <w:rsid w:val="E232E1A5"/>
    <w:rsid w:val="E23D95C4"/>
    <w:rsid w:val="E3BF580C"/>
    <w:rsid w:val="E3FBE2A9"/>
    <w:rsid w:val="E58D7A9D"/>
    <w:rsid w:val="E6CBB61C"/>
    <w:rsid w:val="E6F7EC4C"/>
    <w:rsid w:val="E6FABC2D"/>
    <w:rsid w:val="E753E1F2"/>
    <w:rsid w:val="E77E54F2"/>
    <w:rsid w:val="E7CD3313"/>
    <w:rsid w:val="E7FC55A5"/>
    <w:rsid w:val="E94A4C81"/>
    <w:rsid w:val="E9B784C3"/>
    <w:rsid w:val="E9F3AEE9"/>
    <w:rsid w:val="E9FFB42A"/>
    <w:rsid w:val="EB7FB125"/>
    <w:rsid w:val="EBDF11BB"/>
    <w:rsid w:val="EC7FC5FB"/>
    <w:rsid w:val="ECB61E78"/>
    <w:rsid w:val="ECEF9F7E"/>
    <w:rsid w:val="EDFFEDBF"/>
    <w:rsid w:val="EE3BD4E9"/>
    <w:rsid w:val="EE6DB2D1"/>
    <w:rsid w:val="EEDFFE54"/>
    <w:rsid w:val="EF5A380E"/>
    <w:rsid w:val="EF5F3EEB"/>
    <w:rsid w:val="EF6F3CA3"/>
    <w:rsid w:val="EF77F1EF"/>
    <w:rsid w:val="EF7E60CE"/>
    <w:rsid w:val="EF7F4652"/>
    <w:rsid w:val="EFB2F586"/>
    <w:rsid w:val="EFEF719C"/>
    <w:rsid w:val="EFF79336"/>
    <w:rsid w:val="EFFFB848"/>
    <w:rsid w:val="F09F801C"/>
    <w:rsid w:val="F1EBE994"/>
    <w:rsid w:val="F1FD6C0F"/>
    <w:rsid w:val="F3FD8E15"/>
    <w:rsid w:val="F3FDB2E7"/>
    <w:rsid w:val="F3FFD00C"/>
    <w:rsid w:val="F47FFFE5"/>
    <w:rsid w:val="F4FE6CB0"/>
    <w:rsid w:val="F5A74684"/>
    <w:rsid w:val="F5FA962A"/>
    <w:rsid w:val="F5FFA2A6"/>
    <w:rsid w:val="F69FE991"/>
    <w:rsid w:val="F6FB0360"/>
    <w:rsid w:val="F6FBD3EC"/>
    <w:rsid w:val="F737B9BC"/>
    <w:rsid w:val="F75AEF4E"/>
    <w:rsid w:val="F768C41A"/>
    <w:rsid w:val="F7BBE2D1"/>
    <w:rsid w:val="F7DB13BD"/>
    <w:rsid w:val="F7DED016"/>
    <w:rsid w:val="F7DF00BD"/>
    <w:rsid w:val="F7F30A66"/>
    <w:rsid w:val="F7F5AAF5"/>
    <w:rsid w:val="F9D443E1"/>
    <w:rsid w:val="F9E60FEA"/>
    <w:rsid w:val="F9FF9E8E"/>
    <w:rsid w:val="FA5F0968"/>
    <w:rsid w:val="FAAE1B0F"/>
    <w:rsid w:val="FAFF6AB8"/>
    <w:rsid w:val="FB6C7CE0"/>
    <w:rsid w:val="FB7FA384"/>
    <w:rsid w:val="FBF8D53D"/>
    <w:rsid w:val="FBFA3199"/>
    <w:rsid w:val="FBFD986D"/>
    <w:rsid w:val="FBFF2911"/>
    <w:rsid w:val="FBFF4170"/>
    <w:rsid w:val="FBFF5621"/>
    <w:rsid w:val="FBFF83DC"/>
    <w:rsid w:val="FCDA0D1F"/>
    <w:rsid w:val="FD77AA1B"/>
    <w:rsid w:val="FD8BB024"/>
    <w:rsid w:val="FD92F3BD"/>
    <w:rsid w:val="FDBF624C"/>
    <w:rsid w:val="FDE66C4A"/>
    <w:rsid w:val="FDF361CF"/>
    <w:rsid w:val="FDF63B5F"/>
    <w:rsid w:val="FDF706B6"/>
    <w:rsid w:val="FDFCFCAF"/>
    <w:rsid w:val="FDFF10A0"/>
    <w:rsid w:val="FE6ABDEB"/>
    <w:rsid w:val="FE6D464F"/>
    <w:rsid w:val="FE7F4124"/>
    <w:rsid w:val="FEAD3EF5"/>
    <w:rsid w:val="FEB5FAB3"/>
    <w:rsid w:val="FECE89C0"/>
    <w:rsid w:val="FECF83D3"/>
    <w:rsid w:val="FEDE6652"/>
    <w:rsid w:val="FEEF8B1C"/>
    <w:rsid w:val="FEF26DCB"/>
    <w:rsid w:val="FEFDE4BB"/>
    <w:rsid w:val="FF3BC19A"/>
    <w:rsid w:val="FF3D08C1"/>
    <w:rsid w:val="FF3FFA70"/>
    <w:rsid w:val="FF7F9100"/>
    <w:rsid w:val="FF7FD95E"/>
    <w:rsid w:val="FFA3CB30"/>
    <w:rsid w:val="FFAB7D94"/>
    <w:rsid w:val="FFBBF8B9"/>
    <w:rsid w:val="FFBD0162"/>
    <w:rsid w:val="FFBDAB52"/>
    <w:rsid w:val="FFBE96F1"/>
    <w:rsid w:val="FFCB33BD"/>
    <w:rsid w:val="FFCFE417"/>
    <w:rsid w:val="FFE8BE0A"/>
    <w:rsid w:val="FFEAC697"/>
    <w:rsid w:val="FFEDAC53"/>
    <w:rsid w:val="FFEE2529"/>
    <w:rsid w:val="FFEEC71D"/>
    <w:rsid w:val="FFEF91FF"/>
    <w:rsid w:val="FFF15930"/>
    <w:rsid w:val="FFF16755"/>
    <w:rsid w:val="FFF36609"/>
    <w:rsid w:val="FFF5AB64"/>
    <w:rsid w:val="FFF61D87"/>
    <w:rsid w:val="FFF76691"/>
    <w:rsid w:val="FFFA6D12"/>
    <w:rsid w:val="FFFAEC14"/>
    <w:rsid w:val="FFFBAD28"/>
    <w:rsid w:val="FFFE7676"/>
    <w:rsid w:val="FFFEBBAB"/>
    <w:rsid w:val="FFFF141F"/>
    <w:rsid w:val="FFFF20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仿宋_GB2312" w:eastAsia="仿宋_GB2312" w:cstheme="minorBidi"/>
      <w:kern w:val="2"/>
      <w:sz w:val="24"/>
      <w:szCs w:val="22"/>
      <w:lang w:val="en-US" w:eastAsia="zh-CN" w:bidi="ar-SA"/>
    </w:rPr>
  </w:style>
  <w:style w:type="paragraph" w:styleId="2">
    <w:name w:val="heading 1"/>
    <w:basedOn w:val="1"/>
    <w:next w:val="1"/>
    <w:link w:val="38"/>
    <w:qFormat/>
    <w:uiPriority w:val="9"/>
    <w:pPr>
      <w:keepNext/>
      <w:keepLines/>
      <w:ind w:firstLine="0" w:firstLineChars="0"/>
      <w:outlineLvl w:val="0"/>
    </w:pPr>
    <w:rPr>
      <w:rFonts w:eastAsia="黑体"/>
      <w:bCs/>
      <w:kern w:val="44"/>
      <w:sz w:val="28"/>
      <w:szCs w:val="44"/>
    </w:rPr>
  </w:style>
  <w:style w:type="paragraph" w:styleId="3">
    <w:name w:val="heading 2"/>
    <w:basedOn w:val="1"/>
    <w:next w:val="1"/>
    <w:link w:val="39"/>
    <w:unhideWhenUsed/>
    <w:qFormat/>
    <w:uiPriority w:val="0"/>
    <w:pPr>
      <w:keepNext/>
      <w:keepLines/>
      <w:ind w:firstLine="0" w:firstLineChars="0"/>
      <w:outlineLvl w:val="1"/>
    </w:pPr>
    <w:rPr>
      <w:rFonts w:eastAsia="楷体_GB2312" w:cstheme="majorBidi"/>
      <w:bCs/>
      <w:sz w:val="32"/>
      <w:szCs w:val="32"/>
    </w:rPr>
  </w:style>
  <w:style w:type="paragraph" w:styleId="4">
    <w:name w:val="heading 3"/>
    <w:basedOn w:val="1"/>
    <w:next w:val="1"/>
    <w:link w:val="41"/>
    <w:unhideWhenUsed/>
    <w:qFormat/>
    <w:uiPriority w:val="0"/>
    <w:pPr>
      <w:keepNext/>
      <w:keepLines/>
      <w:ind w:firstLine="0" w:firstLineChars="0"/>
      <w:outlineLvl w:val="2"/>
    </w:pPr>
    <w:rPr>
      <w:b/>
      <w:bCs/>
      <w:szCs w:val="32"/>
    </w:rPr>
  </w:style>
  <w:style w:type="paragraph" w:styleId="5">
    <w:name w:val="heading 4"/>
    <w:basedOn w:val="1"/>
    <w:next w:val="1"/>
    <w:link w:val="50"/>
    <w:qFormat/>
    <w:uiPriority w:val="0"/>
    <w:pPr>
      <w:keepNext/>
      <w:keepLines/>
      <w:spacing w:before="280" w:after="290" w:line="376" w:lineRule="auto"/>
      <w:ind w:firstLine="0" w:firstLineChars="0"/>
      <w:outlineLvl w:val="3"/>
    </w:pPr>
    <w:rPr>
      <w:rFonts w:ascii="Cambria" w:hAnsi="Cambria" w:eastAsia="宋体" w:cs="黑体"/>
      <w:b/>
      <w:bCs/>
      <w:sz w:val="28"/>
      <w:szCs w:val="28"/>
    </w:rPr>
  </w:style>
  <w:style w:type="paragraph" w:styleId="6">
    <w:name w:val="heading 5"/>
    <w:basedOn w:val="1"/>
    <w:next w:val="1"/>
    <w:link w:val="51"/>
    <w:qFormat/>
    <w:uiPriority w:val="0"/>
    <w:pPr>
      <w:keepNext/>
      <w:keepLines/>
      <w:spacing w:before="280" w:after="290" w:line="376" w:lineRule="auto"/>
      <w:ind w:firstLine="0" w:firstLineChars="0"/>
      <w:outlineLvl w:val="4"/>
    </w:pPr>
    <w:rPr>
      <w:rFonts w:ascii="Times New Roman" w:hAnsi="Times New Roman" w:eastAsia="宋体" w:cs="Times New Roman"/>
      <w:b/>
      <w:bCs/>
      <w:sz w:val="28"/>
      <w:szCs w:val="28"/>
    </w:rPr>
  </w:style>
  <w:style w:type="paragraph" w:styleId="7">
    <w:name w:val="heading 6"/>
    <w:basedOn w:val="1"/>
    <w:next w:val="1"/>
    <w:link w:val="52"/>
    <w:qFormat/>
    <w:uiPriority w:val="0"/>
    <w:pPr>
      <w:keepNext/>
      <w:keepLines/>
      <w:spacing w:before="240" w:after="64" w:line="320" w:lineRule="auto"/>
      <w:ind w:firstLine="0" w:firstLineChars="0"/>
      <w:outlineLvl w:val="5"/>
    </w:pPr>
    <w:rPr>
      <w:rFonts w:ascii="Cambria" w:hAnsi="Cambria" w:eastAsia="宋体" w:cs="黑体"/>
      <w:b/>
      <w:bCs/>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1440"/>
      <w:jc w:val="left"/>
    </w:pPr>
    <w:rPr>
      <w:rFonts w:asciiTheme="minorHAnsi" w:eastAsiaTheme="minorHAnsi"/>
      <w:sz w:val="18"/>
      <w:szCs w:val="18"/>
    </w:rPr>
  </w:style>
  <w:style w:type="paragraph" w:styleId="9">
    <w:name w:val="Normal Indent"/>
    <w:basedOn w:val="1"/>
    <w:next w:val="1"/>
    <w:qFormat/>
    <w:uiPriority w:val="0"/>
    <w:pPr>
      <w:ind w:firstLine="420"/>
    </w:pPr>
    <w:rPr>
      <w:rFonts w:ascii="Times New Roman" w:hAnsi="Times New Roman" w:eastAsia="宋体" w:cs="Times New Roman"/>
      <w:color w:val="auto"/>
      <w:szCs w:val="20"/>
    </w:rPr>
  </w:style>
  <w:style w:type="paragraph" w:styleId="10">
    <w:name w:val="Document Map"/>
    <w:basedOn w:val="1"/>
    <w:link w:val="49"/>
    <w:unhideWhenUsed/>
    <w:qFormat/>
    <w:uiPriority w:val="99"/>
    <w:rPr>
      <w:rFonts w:ascii="宋体" w:eastAsia="宋体"/>
      <w:sz w:val="18"/>
      <w:szCs w:val="18"/>
    </w:rPr>
  </w:style>
  <w:style w:type="paragraph" w:styleId="11">
    <w:name w:val="annotation text"/>
    <w:basedOn w:val="1"/>
    <w:link w:val="46"/>
    <w:unhideWhenUsed/>
    <w:qFormat/>
    <w:uiPriority w:val="99"/>
    <w:pPr>
      <w:jc w:val="left"/>
    </w:pPr>
  </w:style>
  <w:style w:type="paragraph" w:styleId="12">
    <w:name w:val="Body Text"/>
    <w:basedOn w:val="1"/>
    <w:next w:val="13"/>
    <w:link w:val="111"/>
    <w:semiHidden/>
    <w:unhideWhenUsed/>
    <w:qFormat/>
    <w:uiPriority w:val="99"/>
    <w:pPr>
      <w:spacing w:after="120"/>
    </w:pPr>
  </w:style>
  <w:style w:type="paragraph" w:styleId="13">
    <w:name w:val="Title"/>
    <w:basedOn w:val="1"/>
    <w:next w:val="1"/>
    <w:link w:val="53"/>
    <w:qFormat/>
    <w:uiPriority w:val="0"/>
    <w:pPr>
      <w:adjustRightInd w:val="0"/>
      <w:snapToGrid w:val="0"/>
      <w:ind w:firstLine="0" w:firstLineChars="0"/>
      <w:jc w:val="left"/>
      <w:outlineLvl w:val="0"/>
    </w:pPr>
    <w:rPr>
      <w:rFonts w:ascii="Cambria" w:hAnsi="Cambria" w:cs="黑体" w:eastAsiaTheme="minorEastAsia"/>
      <w:b/>
      <w:bCs/>
      <w:sz w:val="32"/>
      <w:szCs w:val="32"/>
    </w:rPr>
  </w:style>
  <w:style w:type="paragraph" w:styleId="14">
    <w:name w:val="toc 5"/>
    <w:basedOn w:val="1"/>
    <w:next w:val="1"/>
    <w:qFormat/>
    <w:uiPriority w:val="39"/>
    <w:pPr>
      <w:ind w:left="960"/>
      <w:jc w:val="left"/>
    </w:pPr>
    <w:rPr>
      <w:rFonts w:asciiTheme="minorHAnsi" w:eastAsiaTheme="minorHAnsi"/>
      <w:sz w:val="18"/>
      <w:szCs w:val="18"/>
    </w:rPr>
  </w:style>
  <w:style w:type="paragraph" w:styleId="15">
    <w:name w:val="toc 3"/>
    <w:basedOn w:val="1"/>
    <w:next w:val="1"/>
    <w:unhideWhenUsed/>
    <w:qFormat/>
    <w:uiPriority w:val="39"/>
    <w:pPr>
      <w:ind w:left="480"/>
      <w:jc w:val="left"/>
    </w:pPr>
    <w:rPr>
      <w:rFonts w:eastAsia="宋体" w:asciiTheme="minorHAnsi"/>
      <w:iCs/>
      <w:sz w:val="20"/>
      <w:szCs w:val="20"/>
    </w:rPr>
  </w:style>
  <w:style w:type="paragraph" w:styleId="16">
    <w:name w:val="toc 8"/>
    <w:basedOn w:val="1"/>
    <w:next w:val="1"/>
    <w:qFormat/>
    <w:uiPriority w:val="39"/>
    <w:pPr>
      <w:ind w:left="1680"/>
      <w:jc w:val="left"/>
    </w:pPr>
    <w:rPr>
      <w:rFonts w:asciiTheme="minorHAnsi" w:eastAsiaTheme="minorHAnsi"/>
      <w:sz w:val="18"/>
      <w:szCs w:val="18"/>
    </w:rPr>
  </w:style>
  <w:style w:type="paragraph" w:styleId="17">
    <w:name w:val="Date"/>
    <w:basedOn w:val="1"/>
    <w:next w:val="1"/>
    <w:link w:val="37"/>
    <w:unhideWhenUsed/>
    <w:qFormat/>
    <w:uiPriority w:val="99"/>
    <w:pPr>
      <w:ind w:left="100" w:leftChars="2500"/>
    </w:pPr>
  </w:style>
  <w:style w:type="paragraph" w:styleId="18">
    <w:name w:val="Balloon Text"/>
    <w:basedOn w:val="1"/>
    <w:link w:val="40"/>
    <w:unhideWhenUsed/>
    <w:qFormat/>
    <w:uiPriority w:val="99"/>
    <w:rPr>
      <w:sz w:val="18"/>
      <w:szCs w:val="18"/>
    </w:rPr>
  </w:style>
  <w:style w:type="paragraph" w:styleId="19">
    <w:name w:val="footer"/>
    <w:basedOn w:val="1"/>
    <w:link w:val="45"/>
    <w:unhideWhenUsed/>
    <w:qFormat/>
    <w:uiPriority w:val="0"/>
    <w:pPr>
      <w:tabs>
        <w:tab w:val="center" w:pos="4153"/>
        <w:tab w:val="right" w:pos="8306"/>
      </w:tabs>
      <w:snapToGrid w:val="0"/>
      <w:spacing w:line="240" w:lineRule="auto"/>
      <w:jc w:val="left"/>
    </w:pPr>
    <w:rPr>
      <w:sz w:val="18"/>
      <w:szCs w:val="18"/>
    </w:rPr>
  </w:style>
  <w:style w:type="paragraph" w:styleId="20">
    <w:name w:val="header"/>
    <w:basedOn w:val="1"/>
    <w:link w:val="4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unhideWhenUsed/>
    <w:qFormat/>
    <w:uiPriority w:val="39"/>
    <w:pPr>
      <w:spacing w:before="120" w:after="120"/>
      <w:jc w:val="left"/>
    </w:pPr>
    <w:rPr>
      <w:rFonts w:eastAsia="宋体" w:asciiTheme="minorHAnsi"/>
      <w:b/>
      <w:bCs/>
      <w:caps/>
      <w:sz w:val="20"/>
      <w:szCs w:val="20"/>
    </w:rPr>
  </w:style>
  <w:style w:type="paragraph" w:styleId="22">
    <w:name w:val="toc 4"/>
    <w:basedOn w:val="1"/>
    <w:next w:val="1"/>
    <w:qFormat/>
    <w:uiPriority w:val="39"/>
    <w:pPr>
      <w:ind w:left="720"/>
      <w:jc w:val="left"/>
    </w:pPr>
    <w:rPr>
      <w:rFonts w:asciiTheme="minorHAnsi" w:eastAsiaTheme="minorHAnsi"/>
      <w:sz w:val="18"/>
      <w:szCs w:val="18"/>
    </w:rPr>
  </w:style>
  <w:style w:type="paragraph" w:styleId="23">
    <w:name w:val="toc 6"/>
    <w:basedOn w:val="1"/>
    <w:next w:val="1"/>
    <w:qFormat/>
    <w:uiPriority w:val="39"/>
    <w:pPr>
      <w:ind w:left="1200"/>
      <w:jc w:val="left"/>
    </w:pPr>
    <w:rPr>
      <w:rFonts w:asciiTheme="minorHAnsi" w:eastAsiaTheme="minorHAnsi"/>
      <w:sz w:val="18"/>
      <w:szCs w:val="18"/>
    </w:rPr>
  </w:style>
  <w:style w:type="paragraph" w:styleId="24">
    <w:name w:val="toc 2"/>
    <w:basedOn w:val="1"/>
    <w:next w:val="1"/>
    <w:unhideWhenUsed/>
    <w:qFormat/>
    <w:uiPriority w:val="39"/>
    <w:pPr>
      <w:ind w:left="240"/>
      <w:jc w:val="left"/>
    </w:pPr>
    <w:rPr>
      <w:rFonts w:eastAsia="宋体" w:asciiTheme="minorHAnsi"/>
      <w:smallCaps/>
      <w:sz w:val="20"/>
      <w:szCs w:val="20"/>
    </w:rPr>
  </w:style>
  <w:style w:type="paragraph" w:styleId="25">
    <w:name w:val="toc 9"/>
    <w:basedOn w:val="1"/>
    <w:next w:val="1"/>
    <w:qFormat/>
    <w:uiPriority w:val="39"/>
    <w:pPr>
      <w:ind w:left="1920"/>
      <w:jc w:val="left"/>
    </w:pPr>
    <w:rPr>
      <w:rFonts w:asciiTheme="minorHAnsi" w:eastAsiaTheme="minorHAnsi"/>
      <w:sz w:val="18"/>
      <w:szCs w:val="18"/>
    </w:rPr>
  </w:style>
  <w:style w:type="paragraph" w:styleId="26">
    <w:name w:val="Body Text 2"/>
    <w:basedOn w:val="1"/>
    <w:link w:val="112"/>
    <w:semiHidden/>
    <w:unhideWhenUsed/>
    <w:qFormat/>
    <w:uiPriority w:val="99"/>
    <w:pPr>
      <w:spacing w:after="120" w:line="480" w:lineRule="auto"/>
    </w:pPr>
  </w:style>
  <w:style w:type="paragraph" w:styleId="27">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28">
    <w:name w:val="annotation subject"/>
    <w:basedOn w:val="11"/>
    <w:next w:val="11"/>
    <w:link w:val="47"/>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qFormat/>
    <w:uiPriority w:val="99"/>
    <w:rPr>
      <w:color w:val="800080"/>
      <w:u w:val="single"/>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unhideWhenUsed/>
    <w:qFormat/>
    <w:uiPriority w:val="99"/>
    <w:rPr>
      <w:sz w:val="21"/>
      <w:szCs w:val="21"/>
    </w:rPr>
  </w:style>
  <w:style w:type="paragraph" w:customStyle="1" w:styleId="35">
    <w:name w:val="样式1"/>
    <w:basedOn w:val="36"/>
    <w:qFormat/>
    <w:uiPriority w:val="0"/>
    <w:pPr>
      <w:spacing w:line="579" w:lineRule="exact"/>
      <w:ind w:firstLine="640" w:firstLineChars="200"/>
    </w:pPr>
    <w:rPr>
      <w:rFonts w:eastAsia="仿宋_GB2312"/>
    </w:rPr>
  </w:style>
  <w:style w:type="paragraph" w:customStyle="1" w:styleId="36">
    <w:name w:val="正文1"/>
    <w:basedOn w:val="1"/>
    <w:qFormat/>
    <w:uiPriority w:val="99"/>
    <w:pPr>
      <w:ind w:firstLine="708" w:firstLineChars="236"/>
    </w:pPr>
    <w:rPr>
      <w:rFonts w:ascii="仿宋_GB2312" w:eastAsia="仿宋_GB2312" w:cs="仿宋_GB2312"/>
      <w:sz w:val="30"/>
      <w:szCs w:val="30"/>
    </w:rPr>
  </w:style>
  <w:style w:type="character" w:customStyle="1" w:styleId="37">
    <w:name w:val="日期 Char"/>
    <w:basedOn w:val="31"/>
    <w:link w:val="17"/>
    <w:qFormat/>
    <w:uiPriority w:val="0"/>
  </w:style>
  <w:style w:type="character" w:customStyle="1" w:styleId="38">
    <w:name w:val="标题 1 Char"/>
    <w:basedOn w:val="31"/>
    <w:link w:val="2"/>
    <w:qFormat/>
    <w:uiPriority w:val="9"/>
    <w:rPr>
      <w:rFonts w:ascii="仿宋_GB2312" w:hAnsi="仿宋_GB2312" w:eastAsia="黑体"/>
      <w:bCs/>
      <w:kern w:val="44"/>
      <w:sz w:val="28"/>
      <w:szCs w:val="44"/>
    </w:rPr>
  </w:style>
  <w:style w:type="character" w:customStyle="1" w:styleId="39">
    <w:name w:val="标题 2 Char"/>
    <w:basedOn w:val="31"/>
    <w:link w:val="3"/>
    <w:qFormat/>
    <w:uiPriority w:val="0"/>
    <w:rPr>
      <w:rFonts w:ascii="仿宋_GB2312" w:hAnsi="仿宋_GB2312" w:eastAsia="楷体_GB2312" w:cstheme="majorBidi"/>
      <w:bCs/>
      <w:sz w:val="32"/>
      <w:szCs w:val="32"/>
    </w:rPr>
  </w:style>
  <w:style w:type="character" w:customStyle="1" w:styleId="40">
    <w:name w:val="批注框文本 Char"/>
    <w:basedOn w:val="31"/>
    <w:link w:val="18"/>
    <w:qFormat/>
    <w:uiPriority w:val="99"/>
    <w:rPr>
      <w:sz w:val="18"/>
      <w:szCs w:val="18"/>
    </w:rPr>
  </w:style>
  <w:style w:type="character" w:customStyle="1" w:styleId="41">
    <w:name w:val="标题 3 Char"/>
    <w:basedOn w:val="31"/>
    <w:link w:val="4"/>
    <w:qFormat/>
    <w:uiPriority w:val="0"/>
    <w:rPr>
      <w:rFonts w:ascii="仿宋_GB2312" w:hAnsi="仿宋_GB2312" w:eastAsia="仿宋_GB2312"/>
      <w:b/>
      <w:bCs/>
      <w:sz w:val="24"/>
      <w:szCs w:val="32"/>
    </w:rPr>
  </w:style>
  <w:style w:type="paragraph" w:customStyle="1" w:styleId="42">
    <w:name w:val="列出段落1"/>
    <w:basedOn w:val="1"/>
    <w:qFormat/>
    <w:uiPriority w:val="34"/>
    <w:pPr>
      <w:ind w:firstLine="420"/>
    </w:pPr>
  </w:style>
  <w:style w:type="paragraph" w:customStyle="1" w:styleId="43">
    <w:name w:val="TOC 标题1"/>
    <w:basedOn w:val="2"/>
    <w:next w:val="1"/>
    <w:unhideWhenUsed/>
    <w:qFormat/>
    <w:uiPriority w:val="0"/>
    <w:pPr>
      <w:widowControl/>
      <w:spacing w:before="240" w:line="259" w:lineRule="auto"/>
      <w:jc w:val="left"/>
      <w:outlineLvl w:val="9"/>
    </w:pPr>
    <w:rPr>
      <w:rFonts w:asciiTheme="majorHAnsi" w:hAnsiTheme="majorHAnsi" w:eastAsiaTheme="majorEastAsia" w:cstheme="majorBidi"/>
      <w:bCs w:val="0"/>
      <w:color w:val="2E75B6" w:themeColor="accent1" w:themeShade="BF"/>
      <w:kern w:val="0"/>
      <w:sz w:val="32"/>
      <w:szCs w:val="32"/>
    </w:rPr>
  </w:style>
  <w:style w:type="character" w:customStyle="1" w:styleId="44">
    <w:name w:val="页眉 Char"/>
    <w:basedOn w:val="31"/>
    <w:link w:val="20"/>
    <w:qFormat/>
    <w:uiPriority w:val="99"/>
    <w:rPr>
      <w:rFonts w:ascii="仿宋_GB2312" w:hAnsi="仿宋_GB2312" w:eastAsia="仿宋_GB2312"/>
      <w:sz w:val="18"/>
      <w:szCs w:val="18"/>
    </w:rPr>
  </w:style>
  <w:style w:type="character" w:customStyle="1" w:styleId="45">
    <w:name w:val="页脚 Char"/>
    <w:basedOn w:val="31"/>
    <w:link w:val="19"/>
    <w:qFormat/>
    <w:uiPriority w:val="99"/>
    <w:rPr>
      <w:rFonts w:ascii="仿宋_GB2312" w:hAnsi="仿宋_GB2312" w:eastAsia="仿宋_GB2312"/>
      <w:sz w:val="18"/>
      <w:szCs w:val="18"/>
    </w:rPr>
  </w:style>
  <w:style w:type="character" w:customStyle="1" w:styleId="46">
    <w:name w:val="批注文字 Char"/>
    <w:basedOn w:val="31"/>
    <w:link w:val="11"/>
    <w:qFormat/>
    <w:uiPriority w:val="99"/>
    <w:rPr>
      <w:rFonts w:ascii="仿宋_GB2312" w:hAnsi="仿宋_GB2312" w:eastAsia="仿宋_GB2312"/>
      <w:sz w:val="24"/>
    </w:rPr>
  </w:style>
  <w:style w:type="character" w:customStyle="1" w:styleId="47">
    <w:name w:val="批注主题 Char"/>
    <w:basedOn w:val="46"/>
    <w:link w:val="28"/>
    <w:qFormat/>
    <w:uiPriority w:val="99"/>
    <w:rPr>
      <w:rFonts w:ascii="仿宋_GB2312" w:hAnsi="仿宋_GB2312" w:eastAsia="仿宋_GB2312"/>
      <w:b/>
      <w:bCs/>
      <w:sz w:val="24"/>
    </w:rPr>
  </w:style>
  <w:style w:type="paragraph" w:customStyle="1" w:styleId="48">
    <w:name w:val="普通(网站)1"/>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character" w:customStyle="1" w:styleId="49">
    <w:name w:val="文档结构图 Char"/>
    <w:basedOn w:val="31"/>
    <w:link w:val="10"/>
    <w:qFormat/>
    <w:uiPriority w:val="0"/>
    <w:rPr>
      <w:rFonts w:ascii="宋体" w:hAnsi="仿宋_GB2312" w:eastAsia="宋体"/>
      <w:sz w:val="18"/>
      <w:szCs w:val="18"/>
    </w:rPr>
  </w:style>
  <w:style w:type="character" w:customStyle="1" w:styleId="50">
    <w:name w:val="标题 4 Char"/>
    <w:basedOn w:val="31"/>
    <w:link w:val="5"/>
    <w:qFormat/>
    <w:uiPriority w:val="0"/>
    <w:rPr>
      <w:rFonts w:ascii="Cambria" w:hAnsi="Cambria" w:eastAsia="宋体" w:cs="黑体"/>
      <w:b/>
      <w:bCs/>
      <w:sz w:val="28"/>
      <w:szCs w:val="28"/>
    </w:rPr>
  </w:style>
  <w:style w:type="character" w:customStyle="1" w:styleId="51">
    <w:name w:val="标题 5 Char"/>
    <w:basedOn w:val="31"/>
    <w:link w:val="6"/>
    <w:qFormat/>
    <w:uiPriority w:val="0"/>
    <w:rPr>
      <w:rFonts w:ascii="Times New Roman" w:hAnsi="Times New Roman" w:eastAsia="宋体" w:cs="Times New Roman"/>
      <w:b/>
      <w:bCs/>
      <w:sz w:val="28"/>
      <w:szCs w:val="28"/>
    </w:rPr>
  </w:style>
  <w:style w:type="character" w:customStyle="1" w:styleId="52">
    <w:name w:val="标题 6 Char"/>
    <w:basedOn w:val="31"/>
    <w:link w:val="7"/>
    <w:qFormat/>
    <w:uiPriority w:val="0"/>
    <w:rPr>
      <w:rFonts w:ascii="Cambria" w:hAnsi="Cambria" w:eastAsia="宋体" w:cs="黑体"/>
      <w:b/>
      <w:bCs/>
      <w:sz w:val="24"/>
      <w:szCs w:val="24"/>
    </w:rPr>
  </w:style>
  <w:style w:type="character" w:customStyle="1" w:styleId="53">
    <w:name w:val="标题 Char"/>
    <w:link w:val="13"/>
    <w:qFormat/>
    <w:uiPriority w:val="0"/>
    <w:rPr>
      <w:rFonts w:ascii="Cambria" w:hAnsi="Cambria" w:cs="黑体"/>
      <w:b/>
      <w:bCs/>
      <w:sz w:val="32"/>
      <w:szCs w:val="32"/>
    </w:rPr>
  </w:style>
  <w:style w:type="character" w:customStyle="1" w:styleId="54">
    <w:name w:val="批注引用1"/>
    <w:qFormat/>
    <w:uiPriority w:val="0"/>
    <w:rPr>
      <w:sz w:val="21"/>
      <w:szCs w:val="21"/>
    </w:rPr>
  </w:style>
  <w:style w:type="character" w:customStyle="1" w:styleId="55">
    <w:name w:val="正文段落 Char1"/>
    <w:link w:val="56"/>
    <w:qFormat/>
    <w:uiPriority w:val="0"/>
    <w:rPr>
      <w:bCs/>
      <w:sz w:val="24"/>
      <w:szCs w:val="24"/>
    </w:rPr>
  </w:style>
  <w:style w:type="paragraph" w:customStyle="1" w:styleId="56">
    <w:name w:val="正文段落"/>
    <w:link w:val="55"/>
    <w:qFormat/>
    <w:uiPriority w:val="0"/>
    <w:pPr>
      <w:spacing w:before="93" w:beforeLines="30" w:after="93" w:afterLines="30" w:line="300" w:lineRule="auto"/>
      <w:ind w:firstLine="200" w:firstLineChars="200"/>
    </w:pPr>
    <w:rPr>
      <w:rFonts w:asciiTheme="minorHAnsi" w:hAnsiTheme="minorHAnsi" w:eastAsiaTheme="minorEastAsia" w:cstheme="minorBidi"/>
      <w:bCs/>
      <w:kern w:val="2"/>
      <w:sz w:val="24"/>
      <w:szCs w:val="24"/>
      <w:lang w:val="en-US" w:eastAsia="zh-CN" w:bidi="ar-SA"/>
    </w:rPr>
  </w:style>
  <w:style w:type="character" w:customStyle="1" w:styleId="57">
    <w:name w:val="页码1"/>
    <w:basedOn w:val="31"/>
    <w:qFormat/>
    <w:uiPriority w:val="0"/>
  </w:style>
  <w:style w:type="character" w:customStyle="1" w:styleId="58">
    <w:name w:val="标题 Char1"/>
    <w:basedOn w:val="31"/>
    <w:qFormat/>
    <w:uiPriority w:val="10"/>
    <w:rPr>
      <w:rFonts w:eastAsia="宋体" w:asciiTheme="majorHAnsi" w:hAnsiTheme="majorHAnsi" w:cstheme="majorBidi"/>
      <w:b/>
      <w:bCs/>
      <w:sz w:val="32"/>
      <w:szCs w:val="32"/>
    </w:rPr>
  </w:style>
  <w:style w:type="paragraph" w:customStyle="1" w:styleId="59">
    <w:name w:val="日期1"/>
    <w:basedOn w:val="1"/>
    <w:next w:val="1"/>
    <w:qFormat/>
    <w:uiPriority w:val="0"/>
    <w:pPr>
      <w:spacing w:line="240" w:lineRule="auto"/>
      <w:ind w:left="100" w:leftChars="2500" w:firstLine="0" w:firstLineChars="0"/>
    </w:pPr>
    <w:rPr>
      <w:rFonts w:ascii="Times New Roman" w:hAnsi="Times New Roman" w:eastAsia="宋体" w:cs="Times New Roman"/>
      <w:sz w:val="21"/>
      <w:szCs w:val="20"/>
    </w:rPr>
  </w:style>
  <w:style w:type="paragraph" w:customStyle="1" w:styleId="60">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61">
    <w:name w:val="文字"/>
    <w:basedOn w:val="1"/>
    <w:qFormat/>
    <w:uiPriority w:val="0"/>
    <w:pPr>
      <w:widowControl/>
      <w:spacing w:after="156" w:afterLines="50"/>
      <w:ind w:firstLine="420" w:firstLineChars="0"/>
    </w:pPr>
    <w:rPr>
      <w:rFonts w:ascii="Times New Roman" w:hAnsi="Times New Roman" w:eastAsia="宋体" w:cs="Times New Roman"/>
      <w:kern w:val="0"/>
      <w:szCs w:val="24"/>
    </w:rPr>
  </w:style>
  <w:style w:type="paragraph" w:customStyle="1" w:styleId="62">
    <w:name w:val="列出段落11"/>
    <w:basedOn w:val="1"/>
    <w:qFormat/>
    <w:uiPriority w:val="0"/>
    <w:pPr>
      <w:spacing w:line="240" w:lineRule="auto"/>
      <w:ind w:firstLine="420"/>
    </w:pPr>
    <w:rPr>
      <w:rFonts w:ascii="Times New Roman" w:hAnsi="Times New Roman" w:eastAsia="宋体" w:cs="Times New Roman"/>
      <w:sz w:val="21"/>
      <w:szCs w:val="20"/>
    </w:rPr>
  </w:style>
  <w:style w:type="paragraph" w:customStyle="1" w:styleId="6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TOC 标题11"/>
    <w:basedOn w:val="2"/>
    <w:next w:val="1"/>
    <w:qFormat/>
    <w:uiPriority w:val="0"/>
    <w:pPr>
      <w:widowControl/>
      <w:spacing w:before="240" w:line="259" w:lineRule="auto"/>
      <w:jc w:val="left"/>
      <w:outlineLvl w:val="9"/>
    </w:pPr>
    <w:rPr>
      <w:rFonts w:ascii="Cambria" w:hAnsi="Cambria" w:eastAsia="宋体" w:cs="黑体"/>
      <w:bCs w:val="0"/>
      <w:color w:val="365F90"/>
      <w:kern w:val="0"/>
      <w:sz w:val="32"/>
      <w:szCs w:val="32"/>
    </w:rPr>
  </w:style>
  <w:style w:type="paragraph" w:customStyle="1" w:styleId="65">
    <w:name w:val="文档结构图1"/>
    <w:basedOn w:val="1"/>
    <w:qFormat/>
    <w:uiPriority w:val="0"/>
    <w:pPr>
      <w:spacing w:line="240" w:lineRule="auto"/>
      <w:ind w:firstLine="0" w:firstLineChars="0"/>
    </w:pPr>
    <w:rPr>
      <w:rFonts w:ascii="宋体" w:hAnsi="Times New Roman" w:eastAsia="宋体" w:cs="Times New Roman"/>
      <w:sz w:val="18"/>
      <w:szCs w:val="18"/>
    </w:rPr>
  </w:style>
  <w:style w:type="paragraph" w:customStyle="1" w:styleId="66">
    <w:name w:val="批注主题1"/>
    <w:basedOn w:val="11"/>
    <w:next w:val="11"/>
    <w:qFormat/>
    <w:uiPriority w:val="0"/>
    <w:pPr>
      <w:spacing w:line="240" w:lineRule="auto"/>
      <w:ind w:firstLine="0" w:firstLineChars="0"/>
    </w:pPr>
    <w:rPr>
      <w:rFonts w:ascii="Times New Roman" w:hAnsi="Times New Roman" w:eastAsia="宋体" w:cs="Times New Roman"/>
      <w:b/>
      <w:bCs/>
      <w:sz w:val="21"/>
      <w:szCs w:val="20"/>
    </w:rPr>
  </w:style>
  <w:style w:type="paragraph" w:customStyle="1" w:styleId="67">
    <w:name w:val="列出段落2"/>
    <w:basedOn w:val="1"/>
    <w:qFormat/>
    <w:uiPriority w:val="0"/>
    <w:pPr>
      <w:spacing w:line="240" w:lineRule="auto"/>
      <w:ind w:firstLine="420"/>
    </w:pPr>
    <w:rPr>
      <w:rFonts w:ascii="Times New Roman" w:hAnsi="Times New Roman" w:eastAsia="宋体" w:cs="Times New Roman"/>
      <w:sz w:val="21"/>
      <w:szCs w:val="20"/>
    </w:rPr>
  </w:style>
  <w:style w:type="paragraph" w:customStyle="1" w:styleId="68">
    <w:name w:val="p0"/>
    <w:basedOn w:val="1"/>
    <w:qFormat/>
    <w:uiPriority w:val="0"/>
    <w:pPr>
      <w:widowControl/>
      <w:spacing w:line="240" w:lineRule="auto"/>
      <w:ind w:firstLine="0" w:firstLineChars="0"/>
    </w:pPr>
    <w:rPr>
      <w:rFonts w:ascii="Times New Roman" w:hAnsi="Times New Roman" w:eastAsia="宋体" w:cs="Times New Roman"/>
      <w:kern w:val="0"/>
      <w:sz w:val="21"/>
      <w:szCs w:val="21"/>
    </w:rPr>
  </w:style>
  <w:style w:type="paragraph" w:customStyle="1" w:styleId="69">
    <w:name w:val="p16"/>
    <w:basedOn w:val="1"/>
    <w:qFormat/>
    <w:uiPriority w:val="0"/>
    <w:pPr>
      <w:widowControl/>
      <w:snapToGrid w:val="0"/>
      <w:ind w:firstLine="0" w:firstLineChars="0"/>
      <w:jc w:val="left"/>
    </w:pPr>
    <w:rPr>
      <w:rFonts w:ascii="Cambria" w:hAnsi="Cambria" w:eastAsia="宋体" w:cs="宋体"/>
      <w:b/>
      <w:bCs/>
      <w:kern w:val="0"/>
      <w:sz w:val="32"/>
      <w:szCs w:val="32"/>
    </w:rPr>
  </w:style>
  <w:style w:type="paragraph" w:customStyle="1" w:styleId="70">
    <w:name w:val="列出段落21"/>
    <w:basedOn w:val="1"/>
    <w:qFormat/>
    <w:uiPriority w:val="0"/>
    <w:pPr>
      <w:spacing w:line="240" w:lineRule="auto"/>
      <w:ind w:firstLine="420"/>
    </w:pPr>
    <w:rPr>
      <w:rFonts w:ascii="Times New Roman" w:hAnsi="Times New Roman" w:eastAsia="宋体" w:cs="Times New Roman"/>
      <w:sz w:val="21"/>
      <w:szCs w:val="20"/>
    </w:rPr>
  </w:style>
  <w:style w:type="paragraph" w:customStyle="1" w:styleId="71">
    <w:name w:val="p15"/>
    <w:basedOn w:val="1"/>
    <w:qFormat/>
    <w:uiPriority w:val="0"/>
    <w:pPr>
      <w:widowControl/>
      <w:spacing w:line="240" w:lineRule="auto"/>
      <w:ind w:firstLine="0" w:firstLineChars="0"/>
      <w:jc w:val="left"/>
    </w:pPr>
    <w:rPr>
      <w:rFonts w:ascii="Times New Roman" w:hAnsi="Times New Roman" w:eastAsia="宋体" w:cs="Times New Roman"/>
      <w:kern w:val="0"/>
      <w:sz w:val="18"/>
      <w:szCs w:val="18"/>
    </w:rPr>
  </w:style>
  <w:style w:type="paragraph" w:customStyle="1" w:styleId="72">
    <w:name w:val="Char"/>
    <w:basedOn w:val="1"/>
    <w:qFormat/>
    <w:uiPriority w:val="0"/>
    <w:pPr>
      <w:widowControl/>
      <w:spacing w:after="160" w:line="240" w:lineRule="exact"/>
      <w:ind w:firstLine="0" w:firstLineChars="0"/>
      <w:jc w:val="left"/>
    </w:pPr>
    <w:rPr>
      <w:rFonts w:ascii="Times New Roman" w:hAnsi="Times New Roman" w:cs="Times New Roman"/>
      <w:sz w:val="32"/>
      <w:szCs w:val="20"/>
    </w:rPr>
  </w:style>
  <w:style w:type="paragraph" w:customStyle="1" w:styleId="73">
    <w:name w:val="p17"/>
    <w:basedOn w:val="1"/>
    <w:qFormat/>
    <w:uiPriority w:val="0"/>
    <w:pPr>
      <w:widowControl/>
      <w:spacing w:after="156"/>
      <w:ind w:firstLine="420" w:firstLineChars="0"/>
    </w:pPr>
    <w:rPr>
      <w:rFonts w:ascii="Times New Roman" w:hAnsi="Times New Roman" w:eastAsia="宋体" w:cs="Times New Roman"/>
      <w:kern w:val="0"/>
      <w:szCs w:val="24"/>
    </w:rPr>
  </w:style>
  <w:style w:type="paragraph" w:customStyle="1" w:styleId="74">
    <w:name w:val="正文！"/>
    <w:basedOn w:val="1"/>
    <w:qFormat/>
    <w:uiPriority w:val="0"/>
    <w:pPr>
      <w:adjustRightInd w:val="0"/>
      <w:snapToGrid w:val="0"/>
      <w:spacing w:line="240" w:lineRule="auto"/>
    </w:pPr>
    <w:rPr>
      <w:rFonts w:ascii="Times New Roman" w:hAnsi="Times New Roman" w:eastAsia="宋体" w:cs="Times New Roman"/>
      <w:sz w:val="21"/>
      <w:szCs w:val="20"/>
    </w:rPr>
  </w:style>
  <w:style w:type="paragraph" w:customStyle="1" w:styleId="75">
    <w:name w:val="列出段落3"/>
    <w:basedOn w:val="1"/>
    <w:unhideWhenUsed/>
    <w:qFormat/>
    <w:uiPriority w:val="99"/>
    <w:pPr>
      <w:ind w:firstLine="420"/>
    </w:pPr>
  </w:style>
  <w:style w:type="paragraph" w:styleId="76">
    <w:name w:val="List Paragraph"/>
    <w:basedOn w:val="1"/>
    <w:qFormat/>
    <w:uiPriority w:val="99"/>
    <w:pPr>
      <w:ind w:firstLine="420"/>
    </w:pPr>
  </w:style>
  <w:style w:type="paragraph" w:customStyle="1" w:styleId="77">
    <w:name w:val="正文文本 New"/>
    <w:basedOn w:val="78"/>
    <w:qFormat/>
    <w:uiPriority w:val="0"/>
    <w:pPr>
      <w:jc w:val="center"/>
    </w:pPr>
    <w:rPr>
      <w:b/>
      <w:color w:val="FF0000"/>
      <w:w w:val="90"/>
      <w:position w:val="4"/>
      <w:sz w:val="96"/>
      <w:szCs w:val="60"/>
    </w:rPr>
  </w:style>
  <w:style w:type="paragraph" w:customStyle="1" w:styleId="78">
    <w:name w:val="正文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9">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1">
    <w:name w:val="正文 New New"/>
    <w:qFormat/>
    <w:uiPriority w:val="0"/>
    <w:pPr>
      <w:widowControl w:val="0"/>
      <w:snapToGrid w:val="0"/>
      <w:jc w:val="both"/>
    </w:pPr>
    <w:rPr>
      <w:rFonts w:ascii="宋体" w:hAnsi="宋体" w:eastAsia="宋体" w:cs="宋体"/>
      <w:sz w:val="28"/>
      <w:szCs w:val="24"/>
      <w:lang w:val="en-US" w:eastAsia="zh-CN" w:bidi="ar-SA"/>
    </w:rPr>
  </w:style>
  <w:style w:type="paragraph" w:customStyle="1" w:styleId="8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table" w:customStyle="1" w:styleId="85">
    <w:name w:val="网格型1"/>
    <w:basedOn w:val="2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2"/>
    <w:basedOn w:val="2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批注文字1"/>
    <w:basedOn w:val="1"/>
    <w:next w:val="11"/>
    <w:link w:val="88"/>
    <w:unhideWhenUsed/>
    <w:qFormat/>
    <w:uiPriority w:val="99"/>
    <w:pPr>
      <w:spacing w:line="240" w:lineRule="auto"/>
      <w:ind w:firstLine="0" w:firstLineChars="0"/>
      <w:jc w:val="left"/>
    </w:pPr>
    <w:rPr>
      <w:rFonts w:asciiTheme="minorHAnsi" w:hAnsiTheme="minorHAnsi" w:eastAsiaTheme="minorEastAsia"/>
      <w:sz w:val="21"/>
    </w:rPr>
  </w:style>
  <w:style w:type="character" w:customStyle="1" w:styleId="88">
    <w:name w:val="批注文字 字符"/>
    <w:basedOn w:val="31"/>
    <w:link w:val="87"/>
    <w:qFormat/>
    <w:uiPriority w:val="99"/>
    <w:rPr>
      <w:rFonts w:asciiTheme="minorHAnsi" w:hAnsiTheme="minorHAnsi" w:eastAsiaTheme="minorEastAsia" w:cstheme="minorBidi"/>
      <w:kern w:val="2"/>
      <w:sz w:val="21"/>
      <w:szCs w:val="22"/>
    </w:rPr>
  </w:style>
  <w:style w:type="character" w:customStyle="1" w:styleId="89">
    <w:name w:val="dash6b63_6587__char1"/>
    <w:basedOn w:val="31"/>
    <w:qFormat/>
    <w:uiPriority w:val="0"/>
    <w:rPr>
      <w:rFonts w:hint="default" w:ascii="Times New Roman" w:hAnsi="Times New Roman" w:cs="Times New Roman"/>
      <w:sz w:val="32"/>
      <w:szCs w:val="32"/>
    </w:rPr>
  </w:style>
  <w:style w:type="paragraph" w:customStyle="1" w:styleId="90">
    <w:name w:val="dash6b63_6587"/>
    <w:basedOn w:val="1"/>
    <w:qFormat/>
    <w:uiPriority w:val="0"/>
    <w:pPr>
      <w:widowControl/>
      <w:spacing w:line="240" w:lineRule="auto"/>
      <w:ind w:firstLine="0" w:firstLineChars="0"/>
    </w:pPr>
    <w:rPr>
      <w:rFonts w:ascii="Times New Roman" w:hAnsi="Times New Roman" w:eastAsia="宋体" w:cs="Times New Roman"/>
      <w:kern w:val="0"/>
      <w:sz w:val="32"/>
      <w:szCs w:val="32"/>
    </w:rPr>
  </w:style>
  <w:style w:type="table" w:customStyle="1" w:styleId="91">
    <w:name w:val="网格型11"/>
    <w:basedOn w:val="2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21"/>
    <w:basedOn w:val="2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3"/>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4"/>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5"/>
    <w:basedOn w:val="2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
    <w:name w:val="修订1"/>
    <w:hidden/>
    <w:semiHidden/>
    <w:qFormat/>
    <w:uiPriority w:val="99"/>
    <w:rPr>
      <w:rFonts w:ascii="仿宋_GB2312" w:hAnsi="仿宋_GB2312" w:eastAsia="仿宋_GB2312" w:cstheme="minorBidi"/>
      <w:kern w:val="2"/>
      <w:sz w:val="24"/>
      <w:szCs w:val="22"/>
      <w:lang w:val="en-US" w:eastAsia="zh-CN" w:bidi="ar-SA"/>
    </w:rPr>
  </w:style>
  <w:style w:type="paragraph" w:customStyle="1" w:styleId="97">
    <w:name w:val="xl72"/>
    <w:basedOn w:val="1"/>
    <w:qFormat/>
    <w:uiPriority w:val="0"/>
    <w:pPr>
      <w:widowControl/>
      <w:spacing w:before="100" w:beforeAutospacing="1" w:after="100" w:afterAutospacing="1" w:line="240" w:lineRule="auto"/>
      <w:ind w:firstLine="0" w:firstLineChars="0"/>
      <w:jc w:val="left"/>
      <w:textAlignment w:val="bottom"/>
    </w:pPr>
    <w:rPr>
      <w:rFonts w:ascii="宋体" w:hAnsi="宋体" w:eastAsia="宋体" w:cs="宋体"/>
      <w:color w:val="FF0000"/>
      <w:kern w:val="0"/>
      <w:sz w:val="22"/>
    </w:rPr>
  </w:style>
  <w:style w:type="paragraph" w:customStyle="1" w:styleId="98">
    <w:name w:val="xl73"/>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FF0000"/>
      <w:kern w:val="0"/>
      <w:szCs w:val="24"/>
    </w:rPr>
  </w:style>
  <w:style w:type="paragraph" w:customStyle="1" w:styleId="99">
    <w:name w:val="xl74"/>
    <w:basedOn w:val="1"/>
    <w:qFormat/>
    <w:uiPriority w:val="0"/>
    <w:pPr>
      <w:widowControl/>
      <w:spacing w:before="100" w:beforeAutospacing="1" w:after="100" w:afterAutospacing="1" w:line="240" w:lineRule="auto"/>
      <w:ind w:firstLine="0" w:firstLineChars="0"/>
      <w:jc w:val="left"/>
      <w:textAlignment w:val="bottom"/>
    </w:pPr>
    <w:rPr>
      <w:rFonts w:ascii="宋体" w:hAnsi="宋体" w:eastAsia="宋体" w:cs="宋体"/>
      <w:color w:val="00B050"/>
      <w:kern w:val="0"/>
      <w:sz w:val="22"/>
    </w:rPr>
  </w:style>
  <w:style w:type="paragraph" w:customStyle="1" w:styleId="100">
    <w:name w:val="xl75"/>
    <w:basedOn w:val="1"/>
    <w:qFormat/>
    <w:uiPriority w:val="0"/>
    <w:pPr>
      <w:widowControl/>
      <w:spacing w:before="100" w:beforeAutospacing="1" w:after="100" w:afterAutospacing="1" w:line="240" w:lineRule="auto"/>
      <w:ind w:firstLine="0" w:firstLineChars="0"/>
      <w:jc w:val="left"/>
      <w:textAlignment w:val="bottom"/>
    </w:pPr>
    <w:rPr>
      <w:rFonts w:ascii="宋体" w:hAnsi="宋体" w:eastAsia="宋体" w:cs="宋体"/>
      <w:kern w:val="0"/>
      <w:sz w:val="22"/>
    </w:rPr>
  </w:style>
  <w:style w:type="paragraph" w:customStyle="1" w:styleId="1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eastAsia="宋体" w:cs="宋体"/>
      <w:kern w:val="0"/>
      <w:sz w:val="22"/>
    </w:rPr>
  </w:style>
  <w:style w:type="paragraph" w:customStyle="1" w:styleId="10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2"/>
    </w:rPr>
  </w:style>
  <w:style w:type="paragraph" w:customStyle="1" w:styleId="1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eastAsia="宋体" w:cs="宋体"/>
      <w:b/>
      <w:bCs/>
      <w:color w:val="0070C0"/>
      <w:kern w:val="0"/>
      <w:sz w:val="22"/>
    </w:rPr>
  </w:style>
  <w:style w:type="paragraph" w:customStyle="1" w:styleId="10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eastAsia="宋体" w:cs="宋体"/>
      <w:b/>
      <w:bCs/>
      <w:color w:val="FF0000"/>
      <w:kern w:val="0"/>
      <w:sz w:val="22"/>
    </w:rPr>
  </w:style>
  <w:style w:type="paragraph" w:customStyle="1" w:styleId="10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eastAsia="宋体" w:cs="宋体"/>
      <w:color w:val="FF0000"/>
      <w:kern w:val="0"/>
      <w:sz w:val="22"/>
    </w:rPr>
  </w:style>
  <w:style w:type="paragraph" w:customStyle="1" w:styleId="10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eastAsia="宋体" w:cs="宋体"/>
      <w:b/>
      <w:bCs/>
      <w:color w:val="7030A0"/>
      <w:kern w:val="0"/>
      <w:sz w:val="22"/>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color w:val="FF0000"/>
      <w:kern w:val="0"/>
      <w:sz w:val="22"/>
    </w:rPr>
  </w:style>
  <w:style w:type="paragraph" w:customStyle="1" w:styleId="1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eastAsia="宋体" w:cs="宋体"/>
      <w:color w:val="0070C0"/>
      <w:kern w:val="0"/>
      <w:sz w:val="22"/>
    </w:rPr>
  </w:style>
  <w:style w:type="paragraph" w:customStyle="1" w:styleId="1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eastAsia="宋体" w:cs="宋体"/>
      <w:b/>
      <w:bCs/>
      <w:color w:val="000000"/>
      <w:kern w:val="0"/>
      <w:sz w:val="22"/>
    </w:rPr>
  </w:style>
  <w:style w:type="paragraph" w:customStyle="1" w:styleId="11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bottom"/>
    </w:pPr>
    <w:rPr>
      <w:rFonts w:ascii="宋体" w:hAnsi="宋体" w:eastAsia="宋体" w:cs="宋体"/>
      <w:b/>
      <w:bCs/>
      <w:color w:val="00B0F0"/>
      <w:kern w:val="0"/>
      <w:sz w:val="22"/>
    </w:rPr>
  </w:style>
  <w:style w:type="character" w:customStyle="1" w:styleId="111">
    <w:name w:val="正文文本 Char"/>
    <w:basedOn w:val="31"/>
    <w:link w:val="12"/>
    <w:semiHidden/>
    <w:qFormat/>
    <w:uiPriority w:val="99"/>
    <w:rPr>
      <w:rFonts w:ascii="仿宋_GB2312" w:hAnsi="仿宋_GB2312" w:eastAsia="仿宋_GB2312" w:cstheme="minorBidi"/>
      <w:kern w:val="2"/>
      <w:sz w:val="24"/>
      <w:szCs w:val="22"/>
    </w:rPr>
  </w:style>
  <w:style w:type="character" w:customStyle="1" w:styleId="112">
    <w:name w:val="正文文本 2 Char"/>
    <w:basedOn w:val="31"/>
    <w:link w:val="26"/>
    <w:semiHidden/>
    <w:qFormat/>
    <w:uiPriority w:val="99"/>
    <w:rPr>
      <w:rFonts w:ascii="仿宋_GB2312" w:hAnsi="仿宋_GB2312" w:eastAsia="仿宋_GB2312" w:cstheme="minorBidi"/>
      <w:kern w:val="2"/>
      <w:sz w:val="24"/>
      <w:szCs w:val="22"/>
    </w:rPr>
  </w:style>
  <w:style w:type="character" w:customStyle="1" w:styleId="113">
    <w:name w:val="不明显强调1"/>
    <w:qFormat/>
    <w:uiPriority w:val="19"/>
    <w:rPr>
      <w:i/>
      <w:iCs/>
      <w:color w:val="404040"/>
    </w:rPr>
  </w:style>
  <w:style w:type="paragraph" w:customStyle="1" w:styleId="114">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2E75B6" w:themeColor="accent1" w:themeShade="BF"/>
      <w:kern w:val="0"/>
      <w:sz w:val="32"/>
      <w:szCs w:val="32"/>
    </w:rPr>
  </w:style>
  <w:style w:type="paragraph" w:customStyle="1" w:styleId="115">
    <w:name w:val="Char Char"/>
    <w:basedOn w:val="1"/>
    <w:qFormat/>
    <w:uiPriority w:val="0"/>
    <w:pPr>
      <w:widowControl/>
      <w:spacing w:after="160" w:line="240" w:lineRule="exact"/>
      <w:jc w:val="left"/>
    </w:pPr>
    <w:rPr>
      <w:rFonts w:cs="黑体"/>
    </w:rPr>
  </w:style>
  <w:style w:type="paragraph" w:customStyle="1" w:styleId="116">
    <w:name w:val="Char Char1"/>
    <w:basedOn w:val="1"/>
    <w:qFormat/>
    <w:uiPriority w:val="0"/>
    <w:pPr>
      <w:widowControl/>
      <w:spacing w:after="160" w:line="240" w:lineRule="exact"/>
      <w:jc w:val="left"/>
    </w:pPr>
    <w:rPr>
      <w:rFonts w:cs="黑体"/>
    </w:rPr>
  </w:style>
  <w:style w:type="paragraph" w:customStyle="1" w:styleId="117">
    <w:name w:val="Char Char2"/>
    <w:basedOn w:val="1"/>
    <w:qFormat/>
    <w:uiPriority w:val="0"/>
    <w:pPr>
      <w:widowControl/>
      <w:spacing w:after="160" w:line="240" w:lineRule="exact"/>
      <w:jc w:val="left"/>
    </w:pPr>
    <w:rPr>
      <w:rFonts w:cs="黑体"/>
    </w:rPr>
  </w:style>
  <w:style w:type="paragraph" w:customStyle="1" w:styleId="118">
    <w:name w:val="Char Char3"/>
    <w:basedOn w:val="1"/>
    <w:qFormat/>
    <w:uiPriority w:val="0"/>
    <w:pPr>
      <w:widowControl/>
      <w:spacing w:after="160" w:line="240" w:lineRule="exact"/>
      <w:jc w:val="left"/>
    </w:pPr>
    <w:rPr>
      <w:rFonts w:cs="黑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http://www.deepbbs.org</Company>
  <Pages>42</Pages>
  <Words>16868</Words>
  <Characters>17233</Characters>
  <Lines>162</Lines>
  <Paragraphs>45</Paragraphs>
  <TotalTime>2</TotalTime>
  <ScaleCrop>false</ScaleCrop>
  <LinksUpToDate>false</LinksUpToDate>
  <CharactersWithSpaces>17621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2024-01-09T08:20:00Z</dcterms:created>
  <dc:creator>卢建伟</dc:creator>
  <cp:lastModifiedBy>thtf</cp:lastModifiedBy>
  <cp:lastPrinted>2020-02-27T05:43:00Z</cp:lastPrinted>
  <dcterms:modified xsi:type="dcterms:W3CDTF">2024-10-16T10:10:03Z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5B8F261FD6C54D277E198566C8BFA8F2</vt:lpwstr>
  </property>
</Properties>
</file>