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5</w:t>
      </w:r>
    </w:p>
    <w:p>
      <w:pPr>
        <w:keepNext w:val="0"/>
        <w:keepLines w:val="0"/>
        <w:pageBreakBefore w:val="0"/>
        <w:kinsoku/>
        <w:overflowPunct/>
        <w:topLinePunct w:val="0"/>
        <w:autoSpaceDE/>
        <w:autoSpaceDN/>
        <w:bidi w:val="0"/>
        <w:adjustRightInd/>
        <w:snapToGrid/>
        <w:spacing w:line="579" w:lineRule="exact"/>
        <w:jc w:val="left"/>
        <w:textAlignment w:val="auto"/>
        <w:rPr>
          <w:rFonts w:hint="eastAsia" w:ascii="方正小标宋简体" w:hAnsi="方正小标宋简体" w:eastAsia="方正小标宋简体" w:cs="方正小标宋简体"/>
          <w:sz w:val="32"/>
          <w:szCs w:val="32"/>
        </w:rPr>
      </w:pPr>
    </w:p>
    <w:p>
      <w:pPr>
        <w:keepNext w:val="0"/>
        <w:keepLines w:val="0"/>
        <w:pageBreakBefore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eastAsia="zh-CN"/>
        </w:rPr>
        <w:t>珠海市</w:t>
      </w:r>
      <w:r>
        <w:rPr>
          <w:rFonts w:hint="eastAsia" w:ascii="方正小标宋简体" w:hAnsi="方正小标宋简体" w:eastAsia="方正小标宋简体" w:cs="方正小标宋简体"/>
          <w:sz w:val="44"/>
          <w:szCs w:val="44"/>
        </w:rPr>
        <w:t>各区</w:t>
      </w:r>
      <w:r>
        <w:rPr>
          <w:rFonts w:hint="eastAsia" w:ascii="方正小标宋简体" w:hAnsi="方正小标宋简体" w:eastAsia="方正小标宋简体" w:cs="方正小标宋简体"/>
          <w:sz w:val="44"/>
          <w:szCs w:val="44"/>
          <w:lang w:eastAsia="zh-CN"/>
        </w:rPr>
        <w:t>企业人才、员工子女入学政策</w:t>
      </w:r>
    </w:p>
    <w:p>
      <w:pPr>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义务教育实施工作</w:t>
      </w:r>
      <w:r>
        <w:rPr>
          <w:rFonts w:hint="eastAsia" w:ascii="仿宋_GB2312" w:hAnsi="仿宋_GB2312" w:eastAsia="仿宋_GB2312" w:cs="仿宋_GB2312"/>
          <w:sz w:val="32"/>
          <w:szCs w:val="32"/>
          <w:lang w:eastAsia="zh-CN"/>
        </w:rPr>
        <w:t>由各区</w:t>
      </w:r>
      <w:r>
        <w:rPr>
          <w:rFonts w:hint="eastAsia" w:ascii="仿宋_GB2312" w:hAnsi="仿宋_GB2312" w:eastAsia="仿宋_GB2312" w:cs="仿宋_GB2312"/>
          <w:sz w:val="32"/>
          <w:szCs w:val="32"/>
        </w:rPr>
        <w:t>教育行政部门具体负责</w:t>
      </w:r>
      <w:r>
        <w:rPr>
          <w:rFonts w:hint="eastAsia" w:ascii="仿宋_GB2312" w:hAnsi="仿宋_GB2312" w:eastAsia="仿宋_GB2312" w:cs="仿宋_GB2312"/>
          <w:sz w:val="32"/>
          <w:szCs w:val="32"/>
          <w:lang w:eastAsia="zh-CN"/>
        </w:rPr>
        <w:t>，招生入学报名相关政策和程序等要求，按辖区当年发布的中小学招生工作实施细则执行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部分企业人才、员工子女优待入学政策如下（参考）：</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香洲区企业人才</w:t>
      </w:r>
      <w:r>
        <w:rPr>
          <w:rFonts w:hint="eastAsia" w:ascii="方正黑体_GBK" w:hAnsi="方正黑体_GBK" w:eastAsia="方正黑体_GBK" w:cs="方正黑体_GBK"/>
          <w:sz w:val="32"/>
          <w:szCs w:val="32"/>
          <w:lang w:eastAsia="zh-CN"/>
        </w:rPr>
        <w:t>、员工</w:t>
      </w:r>
      <w:r>
        <w:rPr>
          <w:rFonts w:hint="eastAsia" w:ascii="方正黑体_GBK" w:hAnsi="方正黑体_GBK" w:eastAsia="方正黑体_GBK" w:cs="方正黑体_GBK"/>
          <w:sz w:val="32"/>
          <w:szCs w:val="32"/>
        </w:rPr>
        <w:t>子女入学</w:t>
      </w:r>
      <w:r>
        <w:rPr>
          <w:rFonts w:hint="eastAsia" w:ascii="方正黑体_GBK" w:hAnsi="方正黑体_GBK" w:eastAsia="方正黑体_GBK" w:cs="方正黑体_GBK"/>
          <w:sz w:val="32"/>
          <w:szCs w:val="32"/>
          <w:lang w:eastAsia="zh-CN"/>
        </w:rPr>
        <w:t>政策</w:t>
      </w:r>
    </w:p>
    <w:p>
      <w:pPr>
        <w:keepNext w:val="0"/>
        <w:keepLines w:val="0"/>
        <w:pageBreakBefore w:val="0"/>
        <w:kinsoku/>
        <w:overflowPunct/>
        <w:topLinePunct w:val="0"/>
        <w:autoSpaceDE/>
        <w:autoSpaceDN/>
        <w:bidi w:val="0"/>
        <w:adjustRightInd/>
        <w:snapToGrid/>
        <w:spacing w:line="579"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香洲区企业人才</w:t>
      </w:r>
      <w:r>
        <w:rPr>
          <w:rFonts w:hint="eastAsia" w:ascii="仿宋_GB2312" w:hAnsi="仿宋_GB2312" w:eastAsia="仿宋_GB2312" w:cs="仿宋_GB2312"/>
          <w:b/>
          <w:bCs/>
          <w:sz w:val="32"/>
          <w:szCs w:val="32"/>
          <w:lang w:eastAsia="zh-CN"/>
        </w:rPr>
        <w:t>入学优待。</w:t>
      </w:r>
      <w:r>
        <w:rPr>
          <w:rFonts w:hint="eastAsia" w:ascii="仿宋_GB2312" w:hAnsi="仿宋_GB2312" w:eastAsia="仿宋_GB2312" w:cs="仿宋_GB2312"/>
          <w:sz w:val="32"/>
          <w:szCs w:val="32"/>
        </w:rPr>
        <w:t>《中共珠海市香洲区委 珠海市香洲区人民政府关于印发&lt;珠海市香洲区关于实施“香山人才计划”促进人才优先发展的若干措施&gt;的通知》（珠香字</w:t>
      </w:r>
      <w:r>
        <w:rPr>
          <w:rFonts w:hint="eastAsia" w:ascii="方正隶书_GBK" w:hAnsi="方正隶书_GBK" w:eastAsia="方正隶书_GBK" w:cs="方正隶书_GBK"/>
          <w:sz w:val="32"/>
          <w:szCs w:val="32"/>
        </w:rPr>
        <w:t>〔</w:t>
      </w:r>
      <w:r>
        <w:rPr>
          <w:rFonts w:hint="eastAsia" w:ascii="仿宋_GB2312" w:hAnsi="仿宋_GB2312" w:eastAsia="仿宋_GB2312" w:cs="仿宋_GB2312"/>
          <w:sz w:val="32"/>
          <w:szCs w:val="32"/>
        </w:rPr>
        <w:t>2021</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36号）</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“香山创新英才、香山创业英才子女申请</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义务教育阶段公办中小学新生入学的，可按照相对就近入学原则优先保障就读</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公办中小学、幼儿园。香山青年人才、香洲工匠的非香洲户籍子女申请义务教育阶段公办中小学新生入学，可按照户籍生待遇申请</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读</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区公办中小学、</w:t>
      </w:r>
      <w:bookmarkStart w:id="0" w:name="_GoBack"/>
      <w:bookmarkEnd w:id="0"/>
      <w:r>
        <w:rPr>
          <w:rFonts w:hint="eastAsia" w:ascii="仿宋_GB2312" w:hAnsi="仿宋_GB2312" w:eastAsia="仿宋_GB2312" w:cs="仿宋_GB2312"/>
          <w:sz w:val="32"/>
          <w:szCs w:val="32"/>
        </w:rPr>
        <w:t>幼儿园”。重点企业专业技术人员及骨干员工子女入学入园</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《关于印发&lt;香洲区重点企业专业技术人员及骨干员工子女入学入园保障实施办法（修订）&gt;的通知》（珠香府办函</w:t>
      </w:r>
      <w:r>
        <w:rPr>
          <w:rFonts w:hint="eastAsia" w:ascii="方正隶书_GBK" w:hAnsi="方正隶书_GBK" w:eastAsia="方正隶书_GBK" w:cs="方正隶书_GBK"/>
          <w:sz w:val="32"/>
          <w:szCs w:val="32"/>
        </w:rPr>
        <w:t>〔</w:t>
      </w:r>
      <w:r>
        <w:rPr>
          <w:rFonts w:hint="eastAsia" w:ascii="仿宋_GB2312" w:hAnsi="仿宋_GB2312" w:eastAsia="仿宋_GB2312" w:cs="仿宋_GB2312"/>
          <w:sz w:val="32"/>
          <w:szCs w:val="32"/>
        </w:rPr>
        <w:t>2022</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96号）</w:t>
      </w:r>
      <w:r>
        <w:rPr>
          <w:rFonts w:hint="eastAsia" w:ascii="仿宋_GB2312" w:hAnsi="仿宋_GB2312" w:eastAsia="仿宋_GB2312" w:cs="仿宋_GB2312"/>
          <w:sz w:val="32"/>
          <w:szCs w:val="32"/>
          <w:lang w:eastAsia="zh-CN"/>
        </w:rPr>
        <w:t>予以保障</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79" w:lineRule="exact"/>
        <w:ind w:firstLine="643" w:firstLineChars="20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园区企业员工子女入学</w:t>
      </w:r>
      <w:r>
        <w:rPr>
          <w:rFonts w:hint="eastAsia" w:ascii="仿宋_GB2312" w:hAnsi="仿宋_GB2312" w:eastAsia="仿宋_GB2312" w:cs="仿宋_GB2312"/>
          <w:b/>
          <w:bCs/>
          <w:sz w:val="32"/>
          <w:szCs w:val="32"/>
          <w:lang w:eastAsia="zh-CN"/>
        </w:rPr>
        <w:t>优待。</w:t>
      </w:r>
      <w:r>
        <w:rPr>
          <w:rFonts w:hint="eastAsia" w:ascii="仿宋_GB2312" w:hAnsi="仿宋_GB2312" w:eastAsia="仿宋_GB2312" w:cs="仿宋_GB2312"/>
          <w:sz w:val="32"/>
          <w:szCs w:val="32"/>
        </w:rPr>
        <w:t>三溪科创城和南屏科技生态园配套学校，</w:t>
      </w:r>
      <w:r>
        <w:rPr>
          <w:rFonts w:hint="eastAsia" w:ascii="仿宋_GB2312" w:hAnsi="仿宋_GB2312" w:eastAsia="仿宋_GB2312" w:cs="仿宋_GB2312"/>
          <w:sz w:val="32"/>
          <w:szCs w:val="32"/>
          <w:lang w:eastAsia="zh-CN"/>
        </w:rPr>
        <w:t>用于保障</w:t>
      </w:r>
      <w:r>
        <w:rPr>
          <w:rFonts w:hint="eastAsia" w:ascii="仿宋_GB2312" w:hAnsi="仿宋_GB2312" w:eastAsia="仿宋_GB2312" w:cs="仿宋_GB2312"/>
          <w:sz w:val="32"/>
          <w:szCs w:val="32"/>
        </w:rPr>
        <w:t>园区企业人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子女入读</w:t>
      </w:r>
      <w:r>
        <w:rPr>
          <w:rFonts w:hint="eastAsia" w:ascii="仿宋_GB2312" w:hAnsi="仿宋_GB2312" w:eastAsia="仿宋_GB2312" w:cs="仿宋_GB2312"/>
          <w:sz w:val="32"/>
          <w:szCs w:val="32"/>
          <w:lang w:eastAsia="zh-CN"/>
        </w:rPr>
        <w:t>需求，具体政策和报名程序按</w:t>
      </w:r>
      <w:r>
        <w:rPr>
          <w:rFonts w:hint="eastAsia" w:ascii="仿宋_GB2312" w:hAnsi="仿宋_GB2312" w:eastAsia="仿宋_GB2312" w:cs="仿宋_GB2312"/>
          <w:sz w:val="32"/>
          <w:szCs w:val="32"/>
        </w:rPr>
        <w:t>《2023年三溪科创城企业员工子女入学入园保障实施办法（试行）》</w:t>
      </w:r>
      <w:r>
        <w:rPr>
          <w:rFonts w:hint="eastAsia" w:ascii="仿宋_GB2312" w:hAnsi="仿宋_GB2312" w:eastAsia="仿宋_GB2312" w:cs="仿宋_GB2312"/>
          <w:sz w:val="32"/>
          <w:szCs w:val="32"/>
          <w:lang w:eastAsia="zh-CN"/>
        </w:rPr>
        <w:t>的要求执行。</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金湾区企业人才</w:t>
      </w:r>
      <w:r>
        <w:rPr>
          <w:rFonts w:hint="eastAsia" w:ascii="方正黑体_GBK" w:hAnsi="方正黑体_GBK" w:eastAsia="方正黑体_GBK" w:cs="方正黑体_GBK"/>
          <w:sz w:val="32"/>
          <w:szCs w:val="32"/>
          <w:lang w:eastAsia="zh-CN"/>
        </w:rPr>
        <w:t>、员工</w:t>
      </w:r>
      <w:r>
        <w:rPr>
          <w:rFonts w:hint="eastAsia" w:ascii="方正黑体_GBK" w:hAnsi="方正黑体_GBK" w:eastAsia="方正黑体_GBK" w:cs="方正黑体_GBK"/>
          <w:sz w:val="32"/>
          <w:szCs w:val="32"/>
        </w:rPr>
        <w:t>子女入学</w:t>
      </w:r>
      <w:r>
        <w:rPr>
          <w:rFonts w:hint="eastAsia" w:ascii="方正黑体_GBK" w:hAnsi="方正黑体_GBK" w:eastAsia="方正黑体_GBK" w:cs="方正黑体_GBK"/>
          <w:sz w:val="32"/>
          <w:szCs w:val="32"/>
          <w:lang w:eastAsia="zh-CN"/>
        </w:rPr>
        <w:t>政策</w:t>
      </w:r>
    </w:p>
    <w:p>
      <w:pPr>
        <w:keepNext w:val="0"/>
        <w:keepLines w:val="0"/>
        <w:pageBreakBefore w:val="0"/>
        <w:kinsoku/>
        <w:overflowPunct/>
        <w:topLinePunct w:val="0"/>
        <w:autoSpaceDE/>
        <w:autoSpaceDN/>
        <w:bidi w:val="0"/>
        <w:adjustRightInd/>
        <w:snapToGrid/>
        <w:spacing w:line="579" w:lineRule="exact"/>
        <w:ind w:firstLine="643" w:firstLineChars="200"/>
        <w:jc w:val="both"/>
        <w:textAlignment w:val="auto"/>
        <w:rPr>
          <w:rFonts w:eastAsia="仿宋_GB2312"/>
          <w:kern w:val="0"/>
          <w:sz w:val="32"/>
          <w:szCs w:val="32"/>
        </w:rPr>
      </w:pPr>
      <w:r>
        <w:rPr>
          <w:rFonts w:hint="eastAsia" w:ascii="仿宋_GB2312" w:hAnsi="仿宋_GB2312" w:eastAsia="仿宋_GB2312" w:cs="仿宋_GB2312"/>
          <w:b/>
          <w:bCs/>
          <w:sz w:val="32"/>
          <w:szCs w:val="32"/>
          <w:lang w:val="en-US" w:eastAsia="zh-CN"/>
        </w:rPr>
        <w:t>1.</w:t>
      </w:r>
      <w:r>
        <w:rPr>
          <w:rFonts w:hint="eastAsia" w:ascii="Times New Roman" w:hAnsi="Times New Roman" w:eastAsia="仿宋_GB2312" w:cs="Times New Roman"/>
          <w:b/>
          <w:bCs/>
          <w:kern w:val="0"/>
          <w:sz w:val="32"/>
          <w:szCs w:val="32"/>
          <w:lang w:val="en-US" w:eastAsia="zh-CN"/>
        </w:rPr>
        <w:t>符合</w:t>
      </w:r>
      <w:r>
        <w:rPr>
          <w:rFonts w:ascii="Times New Roman" w:hAnsi="Times New Roman" w:eastAsia="仿宋_GB2312" w:cs="Times New Roman"/>
          <w:b/>
          <w:bCs/>
          <w:kern w:val="0"/>
          <w:sz w:val="32"/>
          <w:szCs w:val="32"/>
        </w:rPr>
        <w:t>金湾区产业人才子女</w:t>
      </w:r>
      <w:r>
        <w:rPr>
          <w:rFonts w:hint="eastAsia" w:ascii="Times New Roman" w:hAnsi="Times New Roman" w:eastAsia="仿宋_GB2312" w:cs="Times New Roman"/>
          <w:b/>
          <w:bCs/>
          <w:kern w:val="0"/>
          <w:sz w:val="32"/>
          <w:szCs w:val="32"/>
          <w:lang w:eastAsia="zh-CN"/>
        </w:rPr>
        <w:t>入学政策的</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入选金湾区人才库的产业人才由金湾区人力资源社会保障局提供产业人才入学名册，由区教育局为人才子女统筹安排公办学位。</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ascii="微软雅黑" w:hAnsi="微软雅黑" w:eastAsia="微软雅黑"/>
          <w:color w:val="424242"/>
          <w:sz w:val="32"/>
          <w:szCs w:val="32"/>
        </w:rPr>
      </w:pPr>
      <w:r>
        <w:rPr>
          <w:rFonts w:hint="eastAsia" w:ascii="仿宋_GB2312" w:hAnsi="仿宋_GB2312" w:eastAsia="仿宋_GB2312" w:cs="仿宋_GB2312"/>
          <w:b/>
          <w:bCs/>
          <w:sz w:val="32"/>
          <w:szCs w:val="32"/>
          <w:lang w:val="en-US" w:eastAsia="zh-CN"/>
        </w:rPr>
        <w:t>2.</w:t>
      </w:r>
      <w:r>
        <w:rPr>
          <w:rFonts w:hint="eastAsia" w:ascii="Times New Roman" w:hAnsi="Times New Roman" w:eastAsia="仿宋_GB2312" w:cs="Times New Roman"/>
          <w:b/>
          <w:bCs/>
          <w:kern w:val="0"/>
          <w:sz w:val="32"/>
          <w:szCs w:val="32"/>
          <w:lang w:val="en-US" w:eastAsia="zh-CN" w:bidi="ar-SA"/>
        </w:rPr>
        <w:t>符合</w:t>
      </w:r>
      <w:r>
        <w:rPr>
          <w:rFonts w:ascii="Times New Roman" w:hAnsi="Times New Roman" w:eastAsia="仿宋_GB2312" w:cs="Times New Roman"/>
          <w:b/>
          <w:bCs/>
          <w:kern w:val="0"/>
          <w:sz w:val="32"/>
          <w:szCs w:val="32"/>
          <w:lang w:val="en-US" w:eastAsia="zh-CN" w:bidi="ar-SA"/>
        </w:rPr>
        <w:t>金湾区内重点企业高层管理人员和技术骨干子女入学</w:t>
      </w:r>
      <w:r>
        <w:rPr>
          <w:rFonts w:hint="eastAsia" w:ascii="Times New Roman" w:hAnsi="Times New Roman" w:eastAsia="仿宋_GB2312" w:cs="Times New Roman"/>
          <w:b/>
          <w:bCs/>
          <w:kern w:val="0"/>
          <w:sz w:val="32"/>
          <w:szCs w:val="32"/>
          <w:lang w:val="en-US" w:eastAsia="zh-CN" w:bidi="ar-SA"/>
        </w:rPr>
        <w:t>政策的：</w:t>
      </w:r>
      <w:r>
        <w:rPr>
          <w:rFonts w:ascii="Times New Roman" w:hAnsi="Times New Roman" w:eastAsia="仿宋_GB2312" w:cs="Times New Roman"/>
          <w:sz w:val="32"/>
          <w:szCs w:val="32"/>
        </w:rPr>
        <w:t>区农业农村水务局、区科技工业信息化局、区招商局、区经济发展局、各镇在招生报名期间收取并审核《金湾区重点企业高层管理人员和技术骨干子女政策性照顾入读公办学校申请表》、在职证明、近三个月的社保清单（可到社保缴纳地的社保机构打印并加盖公章）及申请人和小孩身份证、户口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户口簿不能反映父母与子女关系的需提供结婚证、出生证、或委托监护公证书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报送至区教育局，结合当年学位情况统筹安排公办学位。</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方正黑体_GBK" w:hAnsi="方正黑体_GBK" w:eastAsia="方正黑体_GBK" w:cs="方正黑体_GBK"/>
          <w:sz w:val="32"/>
          <w:szCs w:val="32"/>
        </w:rPr>
      </w:pPr>
      <w:r>
        <w:rPr>
          <w:rStyle w:val="7"/>
          <w:rFonts w:hint="eastAsia" w:ascii="方正黑体_GBK" w:hAnsi="方正黑体_GBK" w:eastAsia="方正黑体_GBK" w:cs="方正黑体_GBK"/>
          <w:color w:val="424242"/>
          <w:sz w:val="32"/>
          <w:szCs w:val="32"/>
          <w:lang w:eastAsia="zh-CN"/>
        </w:rPr>
        <w:t>三、</w:t>
      </w:r>
      <w:r>
        <w:rPr>
          <w:rStyle w:val="7"/>
          <w:rFonts w:hint="eastAsia" w:ascii="方正黑体_GBK" w:hAnsi="方正黑体_GBK" w:eastAsia="方正黑体_GBK" w:cs="方正黑体_GBK"/>
          <w:color w:val="424242"/>
          <w:sz w:val="32"/>
          <w:szCs w:val="32"/>
        </w:rPr>
        <w:t>斗门</w:t>
      </w:r>
      <w:r>
        <w:rPr>
          <w:rFonts w:hint="eastAsia" w:ascii="方正黑体_GBK" w:hAnsi="方正黑体_GBK" w:eastAsia="方正黑体_GBK" w:cs="方正黑体_GBK"/>
          <w:sz w:val="32"/>
          <w:szCs w:val="32"/>
        </w:rPr>
        <w:t>区企业人才</w:t>
      </w:r>
      <w:r>
        <w:rPr>
          <w:rFonts w:hint="eastAsia" w:ascii="方正黑体_GBK" w:hAnsi="方正黑体_GBK" w:eastAsia="方正黑体_GBK" w:cs="方正黑体_GBK"/>
          <w:sz w:val="32"/>
          <w:szCs w:val="32"/>
          <w:lang w:eastAsia="zh-CN"/>
        </w:rPr>
        <w:t>、员工</w:t>
      </w:r>
      <w:r>
        <w:rPr>
          <w:rFonts w:hint="eastAsia" w:ascii="方正黑体_GBK" w:hAnsi="方正黑体_GBK" w:eastAsia="方正黑体_GBK" w:cs="方正黑体_GBK"/>
          <w:sz w:val="32"/>
          <w:szCs w:val="32"/>
        </w:rPr>
        <w:t>子女入学</w:t>
      </w:r>
      <w:r>
        <w:rPr>
          <w:rFonts w:hint="eastAsia" w:ascii="方正黑体_GBK" w:hAnsi="方正黑体_GBK" w:eastAsia="方正黑体_GBK" w:cs="方正黑体_GBK"/>
          <w:sz w:val="32"/>
          <w:szCs w:val="32"/>
          <w:lang w:eastAsia="zh-CN"/>
        </w:rPr>
        <w:t>政策</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斗门区重点企业（项目）高管及紧缺人才子女：</w:t>
      </w:r>
      <w:r>
        <w:rPr>
          <w:rFonts w:hint="eastAsia"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rPr>
        <w:t>区教育局复核，在学校有剩余学位的情况下，</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rPr>
        <w:t>《关于印发&lt;珠海市斗门区重点企业（项目）高管及紧缺人才子女入学需求解决工作方案&gt;的通知》（斗教〔2024〕35号）要求，对符合条件的学生统筹安排学位。</w:t>
      </w:r>
      <w:r>
        <w:rPr>
          <w:rFonts w:hint="eastAsia" w:ascii="Times New Roman" w:hAnsi="Times New Roman" w:eastAsia="仿宋_GB2312" w:cs="Times New Roman"/>
          <w:sz w:val="32"/>
          <w:szCs w:val="32"/>
          <w:lang w:eastAsia="zh-CN"/>
        </w:rPr>
        <w:t>具体</w:t>
      </w:r>
      <w:r>
        <w:rPr>
          <w:rFonts w:hint="eastAsia" w:ascii="Times New Roman" w:hAnsi="Times New Roman" w:eastAsia="仿宋_GB2312" w:cs="Times New Roman"/>
          <w:sz w:val="32"/>
          <w:szCs w:val="32"/>
          <w:lang w:val="en-US" w:eastAsia="zh-CN"/>
        </w:rPr>
        <w:t>申报等事宜按区科技和工业信息化局、教育局当年发布的相关通知的要求执行。</w:t>
      </w:r>
    </w:p>
    <w:p>
      <w:pPr>
        <w:pStyle w:val="4"/>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高新区企业人才</w:t>
      </w:r>
      <w:r>
        <w:rPr>
          <w:rFonts w:hint="eastAsia" w:ascii="方正黑体_GBK" w:hAnsi="方正黑体_GBK" w:eastAsia="方正黑体_GBK" w:cs="方正黑体_GBK"/>
          <w:sz w:val="32"/>
          <w:szCs w:val="32"/>
          <w:lang w:eastAsia="zh-CN"/>
        </w:rPr>
        <w:t>、员工</w:t>
      </w:r>
      <w:r>
        <w:rPr>
          <w:rFonts w:hint="eastAsia" w:ascii="方正黑体_GBK" w:hAnsi="方正黑体_GBK" w:eastAsia="方正黑体_GBK" w:cs="方正黑体_GBK"/>
          <w:sz w:val="32"/>
          <w:szCs w:val="32"/>
        </w:rPr>
        <w:t>子女入学</w:t>
      </w:r>
      <w:r>
        <w:rPr>
          <w:rFonts w:hint="eastAsia" w:ascii="方正黑体_GBK" w:hAnsi="方正黑体_GBK" w:eastAsia="方正黑体_GBK" w:cs="方正黑体_GBK"/>
          <w:sz w:val="32"/>
          <w:szCs w:val="32"/>
          <w:lang w:eastAsia="zh-CN"/>
        </w:rPr>
        <w:t>政策</w:t>
      </w:r>
    </w:p>
    <w:p>
      <w:pPr>
        <w:pStyle w:val="4"/>
        <w:keepNext w:val="0"/>
        <w:keepLines w:val="0"/>
        <w:pageBreakBefore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符合以下条件的可统筹安排公办义务教育学校入读：</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高新区高层次人才适龄子女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区内重点企业高管适龄子女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入选高新区特色产业人才库人才的适龄子女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年度获得珠海市或高新区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产业发展和创新人才奖励</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的人才适龄子女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left="638" w:leftChars="304" w:firstLine="0" w:firstLine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区内重点企业中层管理人员和技术骨干的适龄子女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区内除重点企业以外的企业高管、中层管理人员和技术骨干的适龄子女</w:t>
      </w:r>
      <w:r>
        <w:rPr>
          <w:rFonts w:hint="eastAsia" w:ascii="Times New Roman" w:hAnsi="Times New Roman" w:eastAsia="仿宋_GB2312" w:cs="Times New Roman"/>
          <w:sz w:val="32"/>
          <w:szCs w:val="32"/>
          <w:lang w:eastAsia="zh-CN"/>
        </w:rPr>
        <w:t>；</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文化、教育及卫生系统人才或经区认定的其他人才的适龄子女。高新区政策性照顾类学生资格认定由区相关职能部门完成。上述重点企业包含：规上企业、国家级专精特新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小巨人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企业、高新技术企业、独角兽企业和近两年新引进的重点项目。</w:t>
      </w:r>
    </w:p>
    <w:p>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经市人才主管部门认定、评定的顶尖人才、一类、二类、三类高层次人才</w:t>
      </w:r>
      <w:r>
        <w:rPr>
          <w:rFonts w:hint="eastAsia" w:ascii="CESI楷体-GB2312" w:hAnsi="CESI楷体-GB2312" w:eastAsia="CESI楷体-GB2312" w:cs="CESI楷体-GB2312"/>
          <w:sz w:val="32"/>
          <w:szCs w:val="32"/>
          <w:lang w:eastAsia="zh-CN"/>
        </w:rPr>
        <w:t>等人</w:t>
      </w:r>
      <w:r>
        <w:rPr>
          <w:rFonts w:hint="eastAsia" w:ascii="CESI楷体-GB2312" w:hAnsi="CESI楷体-GB2312" w:eastAsia="CESI楷体-GB2312" w:cs="CESI楷体-GB2312"/>
          <w:sz w:val="32"/>
          <w:szCs w:val="32"/>
        </w:rPr>
        <w:t>才</w:t>
      </w:r>
      <w:r>
        <w:rPr>
          <w:rFonts w:hint="eastAsia" w:ascii="CESI楷体-GB2312" w:hAnsi="CESI楷体-GB2312" w:eastAsia="CESI楷体-GB2312" w:cs="CESI楷体-GB2312"/>
          <w:sz w:val="32"/>
          <w:szCs w:val="32"/>
          <w:lang w:eastAsia="zh-CN"/>
        </w:rPr>
        <w:t>，各区分类</w:t>
      </w:r>
      <w:r>
        <w:rPr>
          <w:rFonts w:hint="eastAsia" w:ascii="CESI楷体-GB2312" w:hAnsi="CESI楷体-GB2312" w:eastAsia="CESI楷体-GB2312" w:cs="CESI楷体-GB2312"/>
          <w:sz w:val="32"/>
          <w:szCs w:val="32"/>
        </w:rPr>
        <w:t>按照《珠海市教育局 珠海市人力资源和社会保障局关于印发&lt;珠海市人才子女入学（园）服务工作实施办法》的通知》（珠教基〔2021〕8 号）</w:t>
      </w:r>
      <w:r>
        <w:rPr>
          <w:rFonts w:hint="eastAsia" w:ascii="CESI楷体-GB2312" w:hAnsi="CESI楷体-GB2312" w:eastAsia="CESI楷体-GB2312" w:cs="CESI楷体-GB2312"/>
          <w:sz w:val="32"/>
          <w:szCs w:val="32"/>
          <w:lang w:eastAsia="zh-CN"/>
        </w:rPr>
        <w:t>相关要求予以统筹保障</w:t>
      </w:r>
      <w:r>
        <w:rPr>
          <w:rFonts w:hint="eastAsia" w:ascii="CESI楷体-GB2312" w:hAnsi="CESI楷体-GB2312" w:eastAsia="CESI楷体-GB2312" w:cs="CESI楷体-GB2312"/>
          <w:sz w:val="32"/>
          <w:szCs w:val="32"/>
        </w:rPr>
        <w:t>。</w:t>
      </w:r>
    </w:p>
    <w:sectPr>
      <w:footerReference r:id="rId3" w:type="default"/>
      <w:pgSz w:w="11906" w:h="16838"/>
      <w:pgMar w:top="2041" w:right="1531" w:bottom="2041" w:left="1531" w:header="851" w:footer="1531" w:gutter="0"/>
      <w:pgNumType w:fmt="decimal" w:start="7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swiss"/>
    <w:pitch w:val="default"/>
    <w:sig w:usb0="80000287" w:usb1="280F3C52" w:usb2="00000016" w:usb3="00000000" w:csb0="0004001F" w:csb1="00000000"/>
  </w:font>
  <w:font w:name="CESI楷体-GB2312">
    <w:altName w:val="楷体_GB2312"/>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81.2pt;mso-position-horizontal:outside;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pStyle w:val="2"/>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C1D63"/>
    <w:rsid w:val="00392879"/>
    <w:rsid w:val="005C1D63"/>
    <w:rsid w:val="00C7619D"/>
    <w:rsid w:val="00EE6E23"/>
    <w:rsid w:val="00FC1DA6"/>
    <w:rsid w:val="37B5D3FB"/>
    <w:rsid w:val="393727C0"/>
    <w:rsid w:val="3B3EE846"/>
    <w:rsid w:val="3DBF0B55"/>
    <w:rsid w:val="3DBF80A9"/>
    <w:rsid w:val="3FEDB0A6"/>
    <w:rsid w:val="43BDE843"/>
    <w:rsid w:val="4CE55F9F"/>
    <w:rsid w:val="57FB124F"/>
    <w:rsid w:val="5A5E2AB7"/>
    <w:rsid w:val="5B1E5EED"/>
    <w:rsid w:val="5D9336DD"/>
    <w:rsid w:val="5F7F5115"/>
    <w:rsid w:val="6DEF2B7C"/>
    <w:rsid w:val="6FFD8C81"/>
    <w:rsid w:val="7D7B56C2"/>
    <w:rsid w:val="7FDF7062"/>
    <w:rsid w:val="7FFF466B"/>
    <w:rsid w:val="D9E93783"/>
    <w:rsid w:val="DCBB5769"/>
    <w:rsid w:val="DCFF7247"/>
    <w:rsid w:val="E46FBEB7"/>
    <w:rsid w:val="E7C7AD59"/>
    <w:rsid w:val="EEFB17F7"/>
    <w:rsid w:val="F17B3199"/>
    <w:rsid w:val="F3AEE88C"/>
    <w:rsid w:val="FAFF20D1"/>
    <w:rsid w:val="FCEFFCA4"/>
    <w:rsid w:val="FCF758CC"/>
    <w:rsid w:val="FF7D4EF3"/>
    <w:rsid w:val="FFBD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187</Words>
  <Characters>1069</Characters>
  <Lines>8</Lines>
  <Paragraphs>2</Paragraphs>
  <TotalTime>2</TotalTime>
  <ScaleCrop>false</ScaleCrop>
  <LinksUpToDate>false</LinksUpToDate>
  <CharactersWithSpaces>1254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2024-06-14T02:37:00Z</dcterms:created>
  <dc:creator>于淼</dc:creator>
  <cp:lastModifiedBy>Administrator</cp:lastModifiedBy>
  <dcterms:modified xsi:type="dcterms:W3CDTF">2024-09-26T02:25:04Z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11B357AFC1086A80F2C06A66E81A7C8A</vt:lpwstr>
  </property>
</Properties>
</file>