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highlight w:val="none"/>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highlight w:val="none"/>
          <w:lang w:val="en-US" w:eastAsia="zh-CN" w:bidi="ar"/>
        </w:rPr>
        <w:t>珠海老字号认定管理办法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i w:val="0"/>
          <w:iCs w:val="0"/>
          <w:caps w:val="0"/>
          <w:color w:val="auto"/>
          <w:spacing w:val="0"/>
          <w:kern w:val="0"/>
          <w:sz w:val="32"/>
          <w:szCs w:val="32"/>
          <w:highlight w:val="none"/>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Calibri" w:hAnsi="Calibri" w:cs="Calibri"/>
          <w:i w:val="0"/>
          <w:iCs w:val="0"/>
          <w:color w:val="auto"/>
          <w:sz w:val="21"/>
          <w:szCs w:val="21"/>
          <w:highlight w:val="none"/>
        </w:rPr>
      </w:pPr>
      <w:r>
        <w:rPr>
          <w:rFonts w:ascii="黑体" w:hAnsi="宋体" w:eastAsia="黑体" w:cs="黑体"/>
          <w:i w:val="0"/>
          <w:iCs w:val="0"/>
          <w:caps w:val="0"/>
          <w:color w:val="auto"/>
          <w:spacing w:val="0"/>
          <w:kern w:val="0"/>
          <w:sz w:val="32"/>
          <w:szCs w:val="32"/>
          <w:highlight w:val="none"/>
          <w:lang w:val="en-US" w:eastAsia="zh-CN" w:bidi="ar"/>
        </w:rPr>
        <w:t>第一章</w:t>
      </w:r>
      <w:r>
        <w:rPr>
          <w:rFonts w:hint="eastAsia" w:ascii="黑体" w:hAnsi="宋体" w:eastAsia="黑体" w:cs="黑体"/>
          <w:i w:val="0"/>
          <w:iCs w:val="0"/>
          <w:caps w:val="0"/>
          <w:color w:val="auto"/>
          <w:spacing w:val="0"/>
          <w:kern w:val="0"/>
          <w:sz w:val="32"/>
          <w:szCs w:val="32"/>
          <w:highlight w:val="none"/>
          <w:lang w:val="en-US" w:eastAsia="zh" w:bidi="ar"/>
        </w:rPr>
        <w:t>　</w:t>
      </w:r>
      <w:r>
        <w:rPr>
          <w:rFonts w:hint="eastAsia" w:ascii="黑体" w:hAnsi="宋体" w:eastAsia="黑体" w:cs="黑体"/>
          <w:i w:val="0"/>
          <w:iCs w:val="0"/>
          <w:caps w:val="0"/>
          <w:color w:val="auto"/>
          <w:spacing w:val="0"/>
          <w:kern w:val="0"/>
          <w:sz w:val="32"/>
          <w:szCs w:val="32"/>
          <w:highlight w:val="none"/>
          <w:lang w:val="en-US" w:eastAsia="zh-CN" w:bidi="ar"/>
        </w:rPr>
        <w:t>总则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黑体" w:hAnsi="宋体" w:eastAsia="黑体" w:cs="黑体"/>
          <w:i w:val="0"/>
          <w:iCs w:val="0"/>
          <w:caps w:val="0"/>
          <w:color w:val="auto"/>
          <w:spacing w:val="0"/>
          <w:kern w:val="0"/>
          <w:sz w:val="32"/>
          <w:szCs w:val="32"/>
          <w:highlight w:val="none"/>
          <w:lang w:val="en-US" w:eastAsia="zh-CN" w:bidi="ar"/>
        </w:rPr>
        <w:t>第一条</w:t>
      </w:r>
      <w:r>
        <w:rPr>
          <w:rFonts w:ascii="楷体_GB2312" w:hAnsi="Calibri" w:eastAsia="楷体_GB2312" w:cs="楷体_GB2312"/>
          <w:i w:val="0"/>
          <w:iCs w:val="0"/>
          <w:caps w:val="0"/>
          <w:color w:val="auto"/>
          <w:spacing w:val="0"/>
          <w:kern w:val="0"/>
          <w:sz w:val="32"/>
          <w:szCs w:val="32"/>
          <w:highlight w:val="none"/>
          <w:lang w:val="en-US" w:eastAsia="zh-CN" w:bidi="ar"/>
        </w:rPr>
        <w:t> </w:t>
      </w:r>
      <w:r>
        <w:rPr>
          <w:rFonts w:hint="eastAsia" w:ascii="仿宋_GB2312" w:hAnsi="Calibri" w:eastAsia="仿宋_GB2312" w:cs="仿宋_GB2312"/>
          <w:i w:val="0"/>
          <w:iCs w:val="0"/>
          <w:caps w:val="0"/>
          <w:color w:val="auto"/>
          <w:spacing w:val="0"/>
          <w:kern w:val="0"/>
          <w:sz w:val="32"/>
          <w:szCs w:val="32"/>
          <w:highlight w:val="none"/>
          <w:lang w:val="en-US" w:eastAsia="zh-CN" w:bidi="ar"/>
        </w:rPr>
        <w:t>为贯彻《商务部等8部门关于促进老字号创新发展的意见》</w:t>
      </w:r>
      <w:r>
        <w:rPr>
          <w:rFonts w:hint="eastAsia" w:ascii="仿宋_GB2312" w:eastAsia="仿宋_GB2312" w:cs="仿宋_GB2312"/>
          <w:i w:val="0"/>
          <w:iCs w:val="0"/>
          <w:caps w:val="0"/>
          <w:color w:val="auto"/>
          <w:spacing w:val="0"/>
          <w:kern w:val="0"/>
          <w:sz w:val="32"/>
          <w:szCs w:val="32"/>
          <w:highlight w:val="none"/>
          <w:lang w:val="en-US" w:eastAsia="zh-CN" w:bidi="ar"/>
        </w:rPr>
        <w:t>，落实《珠海市促进老字号创新发展行动方案（2023-2025）》，</w:t>
      </w:r>
      <w:r>
        <w:rPr>
          <w:rFonts w:hint="eastAsia" w:ascii="仿宋_GB2312" w:hAnsi="仿宋_GB2312" w:eastAsia="仿宋_GB2312" w:cs="仿宋_GB2312"/>
          <w:kern w:val="0"/>
          <w:sz w:val="32"/>
          <w:szCs w:val="32"/>
          <w:highlight w:val="none"/>
          <w:lang w:val="en-US" w:eastAsia="zh-CN" w:bidi="ar"/>
        </w:rPr>
        <w:t>扶持和保护珠海老字号，规范老字号管理，弘扬老字号优秀文化，提升老字号品牌价值，促进老字号发展，</w:t>
      </w:r>
      <w:r>
        <w:rPr>
          <w:rFonts w:hint="eastAsia" w:ascii="仿宋_GB2312" w:eastAsia="仿宋_GB2312" w:cs="仿宋_GB2312"/>
          <w:i w:val="0"/>
          <w:iCs w:val="0"/>
          <w:caps w:val="0"/>
          <w:color w:val="auto"/>
          <w:spacing w:val="0"/>
          <w:kern w:val="0"/>
          <w:sz w:val="32"/>
          <w:szCs w:val="32"/>
          <w:highlight w:val="none"/>
          <w:lang w:val="en-US" w:eastAsia="zh-CN" w:bidi="ar"/>
        </w:rPr>
        <w:t>根据《广东老字号认定管理办法》等规定，</w:t>
      </w:r>
      <w:r>
        <w:rPr>
          <w:rFonts w:hint="eastAsia" w:ascii="仿宋_GB2312" w:hAnsi="Calibri" w:eastAsia="仿宋_GB2312" w:cs="仿宋_GB2312"/>
          <w:i w:val="0"/>
          <w:iCs w:val="0"/>
          <w:caps w:val="0"/>
          <w:color w:val="auto"/>
          <w:spacing w:val="0"/>
          <w:kern w:val="0"/>
          <w:sz w:val="32"/>
          <w:szCs w:val="32"/>
          <w:highlight w:val="none"/>
          <w:lang w:val="en-US" w:eastAsia="zh-CN" w:bidi="ar"/>
        </w:rPr>
        <w:t>制定本办法。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hAnsi="Calibri" w:eastAsia="仿宋_GB2312" w:cs="仿宋_GB2312"/>
          <w:i w:val="0"/>
          <w:iCs w:val="0"/>
          <w:caps w:val="0"/>
          <w:color w:val="auto"/>
          <w:spacing w:val="0"/>
          <w:kern w:val="0"/>
          <w:sz w:val="32"/>
          <w:szCs w:val="32"/>
          <w:highlight w:val="none"/>
          <w:lang w:val="en-US" w:eastAsia="zh-CN" w:bidi="ar"/>
        </w:rPr>
      </w:pPr>
      <w:r>
        <w:rPr>
          <w:rFonts w:hint="eastAsia" w:ascii="黑体" w:hAnsi="宋体" w:eastAsia="黑体" w:cs="黑体"/>
          <w:i w:val="0"/>
          <w:iCs w:val="0"/>
          <w:caps w:val="0"/>
          <w:color w:val="auto"/>
          <w:spacing w:val="0"/>
          <w:kern w:val="0"/>
          <w:sz w:val="32"/>
          <w:szCs w:val="32"/>
          <w:highlight w:val="none"/>
          <w:lang w:val="en-US" w:eastAsia="zh-CN" w:bidi="ar"/>
        </w:rPr>
        <w:t>第二条</w:t>
      </w:r>
      <w:r>
        <w:rPr>
          <w:rFonts w:hint="eastAsia" w:ascii="仿宋_GB2312" w:hAnsi="Calibri" w:eastAsia="仿宋_GB2312" w:cs="仿宋_GB2312"/>
          <w:i w:val="0"/>
          <w:iCs w:val="0"/>
          <w:caps w:val="0"/>
          <w:color w:val="auto"/>
          <w:spacing w:val="0"/>
          <w:kern w:val="0"/>
          <w:sz w:val="32"/>
          <w:szCs w:val="32"/>
          <w:highlight w:val="none"/>
          <w:lang w:val="en-US" w:eastAsia="zh-CN" w:bidi="ar"/>
        </w:rPr>
        <w:t> </w:t>
      </w:r>
      <w:r>
        <w:rPr>
          <w:rFonts w:hint="eastAsia" w:ascii="仿宋_GB2312" w:hAnsi="仿宋_GB2312" w:eastAsia="仿宋_GB2312" w:cs="仿宋_GB2312"/>
          <w:kern w:val="0"/>
          <w:sz w:val="32"/>
          <w:szCs w:val="32"/>
          <w:highlight w:val="none"/>
          <w:lang w:val="en-US" w:eastAsia="zh-CN" w:bidi="ar"/>
        </w:rPr>
        <w:t>本办法所称“珠海老字号”（Zhuhai Time-honored brand），是指在珠海市行政区域内，具有一定的历史背景、鲜明的珠海地域特色和文化底蕴，传承独特的产品、技艺或者服务，企业经营良好，营销渠道高效，得到社会广泛认同</w:t>
      </w:r>
      <w:r>
        <w:rPr>
          <w:rFonts w:hint="eastAsia" w:ascii="仿宋_GB2312" w:hAnsi="Calibri" w:eastAsia="仿宋_GB2312" w:cs="仿宋_GB2312"/>
          <w:i w:val="0"/>
          <w:iCs w:val="0"/>
          <w:caps w:val="0"/>
          <w:color w:val="auto"/>
          <w:spacing w:val="0"/>
          <w:kern w:val="0"/>
          <w:sz w:val="32"/>
          <w:szCs w:val="32"/>
          <w:highlight w:val="none"/>
          <w:lang w:val="en-US" w:eastAsia="zh-CN" w:bidi="ar"/>
        </w:rPr>
        <w:t>的</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品牌（</w:t>
      </w:r>
      <w:r>
        <w:rPr>
          <w:rFonts w:hint="eastAsia" w:ascii="仿宋_GB2312" w:hAnsi="Calibri" w:eastAsia="仿宋_GB2312" w:cs="仿宋_GB2312"/>
          <w:i w:val="0"/>
          <w:iCs w:val="0"/>
          <w:caps w:val="0"/>
          <w:color w:val="auto"/>
          <w:spacing w:val="0"/>
          <w:kern w:val="0"/>
          <w:sz w:val="32"/>
          <w:szCs w:val="32"/>
          <w:highlight w:val="none"/>
          <w:u w:val="none"/>
          <w:lang w:val="en-US" w:eastAsia="zh-CN" w:bidi="ar"/>
        </w:rPr>
        <w:t>字号</w:t>
      </w:r>
      <w:r>
        <w:rPr>
          <w:rFonts w:hint="eastAsia" w:ascii="仿宋_GB2312" w:hAnsi="Calibri" w:eastAsia="仿宋_GB2312" w:cs="仿宋_GB2312"/>
          <w:i w:val="0"/>
          <w:iCs w:val="0"/>
          <w:caps w:val="0"/>
          <w:color w:val="auto"/>
          <w:spacing w:val="0"/>
          <w:kern w:val="0"/>
          <w:sz w:val="32"/>
          <w:szCs w:val="32"/>
          <w:highlight w:val="none"/>
          <w:lang w:val="en-US" w:eastAsia="zh-CN" w:bidi="ar"/>
        </w:rPr>
        <w:t>、商标等）。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u w:val="none"/>
        </w:rPr>
      </w:pPr>
      <w:r>
        <w:rPr>
          <w:rFonts w:hint="eastAsia" w:ascii="黑体" w:hAnsi="宋体" w:eastAsia="黑体" w:cs="黑体"/>
          <w:i w:val="0"/>
          <w:iCs w:val="0"/>
          <w:caps w:val="0"/>
          <w:color w:val="auto"/>
          <w:spacing w:val="0"/>
          <w:kern w:val="0"/>
          <w:sz w:val="32"/>
          <w:szCs w:val="32"/>
          <w:highlight w:val="none"/>
          <w:lang w:val="en-US" w:eastAsia="zh-CN" w:bidi="ar"/>
        </w:rPr>
        <w:t>第三条 </w:t>
      </w:r>
      <w:r>
        <w:rPr>
          <w:rFonts w:hint="eastAsia" w:ascii="仿宋_GB2312" w:eastAsia="仿宋_GB2312" w:cs="仿宋_GB2312"/>
          <w:i w:val="0"/>
          <w:iCs w:val="0"/>
          <w:caps w:val="0"/>
          <w:color w:val="auto"/>
          <w:spacing w:val="0"/>
          <w:kern w:val="0"/>
          <w:sz w:val="32"/>
          <w:szCs w:val="32"/>
          <w:highlight w:val="none"/>
          <w:u w:val="none"/>
          <w:lang w:val="en-US" w:eastAsia="zh-CN" w:bidi="ar"/>
        </w:rPr>
        <w:t>市商务局负责珠海老字号认定管理工作</w:t>
      </w:r>
      <w:r>
        <w:rPr>
          <w:rFonts w:hint="default" w:ascii="仿宋_GB2312" w:eastAsia="仿宋_GB2312" w:cs="仿宋_GB2312"/>
          <w:i w:val="0"/>
          <w:iCs w:val="0"/>
          <w:caps w:val="0"/>
          <w:color w:val="auto"/>
          <w:spacing w:val="0"/>
          <w:kern w:val="0"/>
          <w:sz w:val="32"/>
          <w:szCs w:val="32"/>
          <w:highlight w:val="none"/>
          <w:u w:val="none"/>
          <w:lang w:val="en-US" w:eastAsia="zh-CN" w:bidi="ar"/>
        </w:rPr>
        <w:t>,</w:t>
      </w:r>
      <w:r>
        <w:rPr>
          <w:rFonts w:hint="eastAsia" w:ascii="仿宋_GB2312" w:eastAsia="仿宋_GB2312" w:cs="仿宋_GB2312"/>
          <w:i w:val="0"/>
          <w:iCs w:val="0"/>
          <w:caps w:val="0"/>
          <w:color w:val="auto"/>
          <w:spacing w:val="0"/>
          <w:kern w:val="0"/>
          <w:sz w:val="32"/>
          <w:szCs w:val="32"/>
          <w:highlight w:val="none"/>
          <w:u w:val="none"/>
          <w:lang w:val="en-US" w:eastAsia="zh-CN" w:bidi="ar"/>
        </w:rPr>
        <w:t>会同市文化广电旅游体育局、市市场监管局（知识产权局）（以下称相关部门）将符合本办法基本条件</w:t>
      </w:r>
      <w:r>
        <w:rPr>
          <w:rFonts w:hint="eastAsia" w:ascii="仿宋_GB2312" w:hAnsi="Calibri" w:eastAsia="仿宋_GB2312" w:cs="仿宋_GB2312"/>
          <w:i w:val="0"/>
          <w:iCs w:val="0"/>
          <w:caps w:val="0"/>
          <w:color w:val="auto"/>
          <w:spacing w:val="0"/>
          <w:kern w:val="0"/>
          <w:sz w:val="32"/>
          <w:szCs w:val="32"/>
          <w:highlight w:val="none"/>
          <w:u w:val="none"/>
          <w:lang w:val="en-US" w:eastAsia="zh-CN" w:bidi="ar"/>
        </w:rPr>
        <w:t>规定</w:t>
      </w:r>
      <w:r>
        <w:rPr>
          <w:rFonts w:hint="eastAsia" w:ascii="仿宋_GB2312" w:eastAsia="仿宋_GB2312" w:cs="仿宋_GB2312"/>
          <w:i w:val="0"/>
          <w:iCs w:val="0"/>
          <w:caps w:val="0"/>
          <w:color w:val="auto"/>
          <w:spacing w:val="0"/>
          <w:kern w:val="0"/>
          <w:sz w:val="32"/>
          <w:szCs w:val="32"/>
          <w:highlight w:val="none"/>
          <w:u w:val="none"/>
          <w:lang w:val="en-US" w:eastAsia="zh-CN" w:bidi="ar"/>
        </w:rPr>
        <w:t>的</w:t>
      </w:r>
      <w:r>
        <w:rPr>
          <w:rFonts w:hint="eastAsia" w:ascii="仿宋_GB2312" w:hAnsi="Calibri" w:eastAsia="仿宋_GB2312" w:cs="仿宋_GB2312"/>
          <w:i w:val="0"/>
          <w:iCs w:val="0"/>
          <w:caps w:val="0"/>
          <w:color w:val="auto"/>
          <w:spacing w:val="0"/>
          <w:kern w:val="0"/>
          <w:sz w:val="32"/>
          <w:szCs w:val="32"/>
          <w:highlight w:val="none"/>
          <w:u w:val="none"/>
          <w:lang w:val="en-US" w:eastAsia="zh-CN" w:bidi="ar"/>
        </w:rPr>
        <w:t>，在全</w:t>
      </w:r>
      <w:r>
        <w:rPr>
          <w:rFonts w:hint="eastAsia" w:ascii="仿宋_GB2312" w:eastAsia="仿宋_GB2312" w:cs="仿宋_GB2312"/>
          <w:i w:val="0"/>
          <w:iCs w:val="0"/>
          <w:caps w:val="0"/>
          <w:color w:val="auto"/>
          <w:spacing w:val="0"/>
          <w:kern w:val="0"/>
          <w:sz w:val="32"/>
          <w:szCs w:val="32"/>
          <w:highlight w:val="none"/>
          <w:u w:val="none"/>
          <w:lang w:val="en-US" w:eastAsia="zh-CN" w:bidi="ar"/>
        </w:rPr>
        <w:t>市</w:t>
      </w:r>
      <w:r>
        <w:rPr>
          <w:rFonts w:hint="eastAsia" w:ascii="仿宋_GB2312" w:hAnsi="Calibri" w:eastAsia="仿宋_GB2312" w:cs="仿宋_GB2312"/>
          <w:i w:val="0"/>
          <w:iCs w:val="0"/>
          <w:caps w:val="0"/>
          <w:color w:val="auto"/>
          <w:spacing w:val="0"/>
          <w:kern w:val="0"/>
          <w:sz w:val="32"/>
          <w:szCs w:val="32"/>
          <w:highlight w:val="none"/>
          <w:u w:val="none"/>
          <w:lang w:val="en-US" w:eastAsia="zh-CN" w:bidi="ar"/>
        </w:rPr>
        <w:t>范围内具有较强示范引领性的品牌认定为</w:t>
      </w:r>
      <w:r>
        <w:rPr>
          <w:rFonts w:hint="eastAsia" w:ascii="仿宋_GB2312" w:eastAsia="仿宋_GB2312" w:cs="仿宋_GB2312"/>
          <w:i w:val="0"/>
          <w:iCs w:val="0"/>
          <w:caps w:val="0"/>
          <w:color w:val="auto"/>
          <w:spacing w:val="0"/>
          <w:kern w:val="0"/>
          <w:sz w:val="32"/>
          <w:szCs w:val="32"/>
          <w:highlight w:val="none"/>
          <w:u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u w:val="none"/>
          <w:lang w:val="en-US" w:eastAsia="zh-CN" w:bidi="ar"/>
        </w:rPr>
        <w:t>老字号，将其所属企业认定为</w:t>
      </w:r>
      <w:r>
        <w:rPr>
          <w:rFonts w:hint="eastAsia" w:ascii="仿宋_GB2312" w:eastAsia="仿宋_GB2312" w:cs="仿宋_GB2312"/>
          <w:i w:val="0"/>
          <w:iCs w:val="0"/>
          <w:caps w:val="0"/>
          <w:color w:val="auto"/>
          <w:spacing w:val="0"/>
          <w:kern w:val="0"/>
          <w:sz w:val="32"/>
          <w:szCs w:val="32"/>
          <w:highlight w:val="none"/>
          <w:u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u w:val="none"/>
          <w:lang w:val="en-US" w:eastAsia="zh-CN" w:bidi="ar"/>
        </w:rPr>
        <w:t>老字号企业，建立</w:t>
      </w:r>
      <w:r>
        <w:rPr>
          <w:rFonts w:hint="eastAsia" w:ascii="仿宋_GB2312" w:eastAsia="仿宋_GB2312" w:cs="仿宋_GB2312"/>
          <w:i w:val="0"/>
          <w:iCs w:val="0"/>
          <w:caps w:val="0"/>
          <w:color w:val="auto"/>
          <w:spacing w:val="0"/>
          <w:kern w:val="0"/>
          <w:sz w:val="32"/>
          <w:szCs w:val="32"/>
          <w:highlight w:val="none"/>
          <w:u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u w:val="none"/>
          <w:lang w:val="en-US" w:eastAsia="zh-CN" w:bidi="ar"/>
        </w:rPr>
        <w:t>老字号名录。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eastAsia="仿宋_GB2312" w:cs="仿宋_GB2312"/>
          <w:i w:val="0"/>
          <w:iCs w:val="0"/>
          <w:caps w:val="0"/>
          <w:color w:val="auto"/>
          <w:spacing w:val="0"/>
          <w:kern w:val="0"/>
          <w:sz w:val="32"/>
          <w:szCs w:val="32"/>
          <w:highlight w:val="none"/>
          <w:u w:val="none"/>
          <w:lang w:val="en-US" w:eastAsia="zh-CN" w:bidi="ar"/>
        </w:rPr>
      </w:pPr>
      <w:r>
        <w:rPr>
          <w:rFonts w:hint="eastAsia" w:ascii="仿宋_GB2312" w:hAnsi="Calibri" w:eastAsia="仿宋_GB2312" w:cs="仿宋_GB2312"/>
          <w:i w:val="0"/>
          <w:iCs w:val="0"/>
          <w:caps w:val="0"/>
          <w:color w:val="auto"/>
          <w:spacing w:val="0"/>
          <w:kern w:val="0"/>
          <w:sz w:val="32"/>
          <w:szCs w:val="32"/>
          <w:highlight w:val="none"/>
          <w:u w:val="none"/>
          <w:lang w:val="en-US" w:eastAsia="zh-CN" w:bidi="ar"/>
        </w:rPr>
        <w:t>各</w:t>
      </w:r>
      <w:r>
        <w:rPr>
          <w:rFonts w:hint="eastAsia" w:ascii="仿宋_GB2312" w:eastAsia="仿宋_GB2312" w:cs="仿宋_GB2312"/>
          <w:i w:val="0"/>
          <w:iCs w:val="0"/>
          <w:caps w:val="0"/>
          <w:color w:val="auto"/>
          <w:spacing w:val="0"/>
          <w:kern w:val="0"/>
          <w:sz w:val="32"/>
          <w:szCs w:val="32"/>
          <w:highlight w:val="none"/>
          <w:u w:val="none"/>
          <w:lang w:val="en-US" w:eastAsia="zh-CN" w:bidi="ar"/>
        </w:rPr>
        <w:t>区级商务部门</w:t>
      </w:r>
      <w:r>
        <w:rPr>
          <w:rFonts w:hint="eastAsia" w:ascii="仿宋_GB2312" w:hAnsi="Calibri" w:eastAsia="仿宋_GB2312" w:cs="仿宋_GB2312"/>
          <w:i w:val="0"/>
          <w:iCs w:val="0"/>
          <w:caps w:val="0"/>
          <w:color w:val="auto"/>
          <w:spacing w:val="0"/>
          <w:kern w:val="0"/>
          <w:sz w:val="32"/>
          <w:szCs w:val="32"/>
          <w:highlight w:val="none"/>
          <w:u w:val="none"/>
          <w:lang w:val="en-US" w:eastAsia="zh-CN" w:bidi="ar"/>
        </w:rPr>
        <w:t>会同同级相关部门负责本行政区域内</w:t>
      </w:r>
      <w:r>
        <w:rPr>
          <w:rFonts w:hint="eastAsia" w:ascii="仿宋_GB2312" w:eastAsia="仿宋_GB2312" w:cs="仿宋_GB2312"/>
          <w:i w:val="0"/>
          <w:iCs w:val="0"/>
          <w:caps w:val="0"/>
          <w:color w:val="auto"/>
          <w:spacing w:val="0"/>
          <w:kern w:val="0"/>
          <w:sz w:val="32"/>
          <w:szCs w:val="32"/>
          <w:highlight w:val="none"/>
          <w:u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u w:val="none"/>
          <w:lang w:val="en-US" w:eastAsia="zh-CN" w:bidi="ar"/>
        </w:rPr>
        <w:t>老字号</w:t>
      </w:r>
      <w:r>
        <w:rPr>
          <w:rFonts w:hint="eastAsia" w:ascii="仿宋_GB2312" w:eastAsia="仿宋_GB2312" w:cs="仿宋_GB2312"/>
          <w:i w:val="0"/>
          <w:iCs w:val="0"/>
          <w:caps w:val="0"/>
          <w:color w:val="auto"/>
          <w:spacing w:val="0"/>
          <w:kern w:val="0"/>
          <w:sz w:val="32"/>
          <w:szCs w:val="32"/>
          <w:highlight w:val="none"/>
          <w:u w:val="none"/>
          <w:lang w:val="en-US" w:eastAsia="zh-CN" w:bidi="ar"/>
        </w:rPr>
        <w:t>的认定推荐</w:t>
      </w:r>
      <w:r>
        <w:rPr>
          <w:rFonts w:hint="eastAsia" w:ascii="仿宋_GB2312" w:hAnsi="Calibri" w:eastAsia="仿宋_GB2312" w:cs="仿宋_GB2312"/>
          <w:i w:val="0"/>
          <w:iCs w:val="0"/>
          <w:caps w:val="0"/>
          <w:color w:val="auto"/>
          <w:spacing w:val="0"/>
          <w:kern w:val="0"/>
          <w:sz w:val="32"/>
          <w:szCs w:val="32"/>
          <w:highlight w:val="none"/>
          <w:u w:val="none"/>
          <w:lang w:val="en-US" w:eastAsia="zh-CN" w:bidi="ar"/>
        </w:rPr>
        <w:t>工作</w:t>
      </w:r>
      <w:r>
        <w:rPr>
          <w:rFonts w:hint="eastAsia" w:ascii="仿宋_GB2312" w:eastAsia="仿宋_GB2312" w:cs="仿宋_GB2312"/>
          <w:i w:val="0"/>
          <w:iCs w:val="0"/>
          <w:caps w:val="0"/>
          <w:color w:val="auto"/>
          <w:spacing w:val="0"/>
          <w:kern w:val="0"/>
          <w:sz w:val="32"/>
          <w:szCs w:val="32"/>
          <w:highlight w:val="none"/>
          <w:u w:val="none"/>
          <w:lang w:val="en-US" w:eastAsia="zh-CN" w:bidi="ar"/>
        </w:rPr>
        <w:t>及相关管理工作。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黑体" w:hAnsi="宋体" w:eastAsia="黑体" w:cs="黑体"/>
          <w:i w:val="0"/>
          <w:iCs w:val="0"/>
          <w:caps w:val="0"/>
          <w:color w:val="auto"/>
          <w:spacing w:val="0"/>
          <w:kern w:val="0"/>
          <w:sz w:val="32"/>
          <w:szCs w:val="32"/>
          <w:highlight w:val="none"/>
          <w:lang w:val="en-US" w:eastAsia="zh-CN" w:bidi="ar"/>
        </w:rPr>
        <w:t>第四条</w:t>
      </w:r>
      <w:r>
        <w:rPr>
          <w:rFonts w:hint="eastAsia" w:ascii="仿宋_GB2312" w:hAnsi="Calibri" w:eastAsia="仿宋_GB2312" w:cs="仿宋_GB2312"/>
          <w:i w:val="0"/>
          <w:iCs w:val="0"/>
          <w:caps w:val="0"/>
          <w:color w:val="auto"/>
          <w:spacing w:val="0"/>
          <w:kern w:val="0"/>
          <w:sz w:val="32"/>
          <w:szCs w:val="32"/>
          <w:highlight w:val="none"/>
          <w:lang w:val="en-US" w:eastAsia="zh-CN" w:bidi="ar"/>
        </w:rPr>
        <w:t> </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w:t>
      </w:r>
      <w:r>
        <w:rPr>
          <w:rFonts w:hint="eastAsia" w:ascii="仿宋_GB2312" w:eastAsia="仿宋_GB2312" w:cs="仿宋_GB2312"/>
          <w:i w:val="0"/>
          <w:iCs w:val="0"/>
          <w:caps w:val="0"/>
          <w:color w:val="auto"/>
          <w:spacing w:val="0"/>
          <w:kern w:val="0"/>
          <w:sz w:val="32"/>
          <w:szCs w:val="32"/>
          <w:highlight w:val="none"/>
          <w:lang w:val="en-US" w:eastAsia="zh-CN" w:bidi="ar"/>
        </w:rPr>
        <w:t>认定</w:t>
      </w:r>
      <w:r>
        <w:rPr>
          <w:rFonts w:hint="eastAsia" w:ascii="仿宋_GB2312" w:hAnsi="Calibri" w:eastAsia="仿宋_GB2312" w:cs="仿宋_GB2312"/>
          <w:i w:val="0"/>
          <w:iCs w:val="0"/>
          <w:caps w:val="0"/>
          <w:color w:val="auto"/>
          <w:spacing w:val="0"/>
          <w:kern w:val="0"/>
          <w:sz w:val="32"/>
          <w:szCs w:val="32"/>
          <w:highlight w:val="none"/>
          <w:lang w:val="en-US" w:eastAsia="zh-CN" w:bidi="ar"/>
        </w:rPr>
        <w:t>遵循</w:t>
      </w:r>
      <w:r>
        <w:rPr>
          <w:rFonts w:hint="eastAsia" w:ascii="仿宋" w:hAnsi="仿宋" w:eastAsia="仿宋" w:cs="仿宋"/>
          <w:sz w:val="32"/>
          <w:szCs w:val="40"/>
          <w:highlight w:val="none"/>
          <w:lang w:val="en-US" w:eastAsia="zh-CN"/>
        </w:rPr>
        <w:t>“自主培育、自愿申报、优中择优、有进有出”</w:t>
      </w:r>
      <w:r>
        <w:rPr>
          <w:rFonts w:hint="eastAsia" w:ascii="仿宋_GB2312" w:hAnsi="Calibri" w:eastAsia="仿宋_GB2312" w:cs="仿宋_GB2312"/>
          <w:i w:val="0"/>
          <w:iCs w:val="0"/>
          <w:caps w:val="0"/>
          <w:color w:val="auto"/>
          <w:spacing w:val="0"/>
          <w:kern w:val="0"/>
          <w:sz w:val="32"/>
          <w:szCs w:val="32"/>
          <w:highlight w:val="none"/>
          <w:lang w:val="en-US" w:eastAsia="zh-CN" w:bidi="ar"/>
        </w:rPr>
        <w:t>的原则。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Calibri" w:eastAsia="仿宋_GB2312" w:cs="仿宋_GB2312"/>
          <w:i w:val="0"/>
          <w:iCs w:val="0"/>
          <w:caps w:val="0"/>
          <w:color w:val="auto"/>
          <w:spacing w:val="0"/>
          <w:kern w:val="0"/>
          <w:sz w:val="32"/>
          <w:szCs w:val="32"/>
          <w:highlight w:val="none"/>
          <w:lang w:val="en-US" w:eastAsia="zh-CN" w:bidi="ar"/>
        </w:rPr>
      </w:pPr>
      <w:r>
        <w:rPr>
          <w:rFonts w:hint="eastAsia" w:ascii="黑体" w:hAnsi="宋体" w:eastAsia="黑体" w:cs="黑体"/>
          <w:i w:val="0"/>
          <w:iCs w:val="0"/>
          <w:caps w:val="0"/>
          <w:color w:val="auto"/>
          <w:spacing w:val="0"/>
          <w:kern w:val="0"/>
          <w:sz w:val="32"/>
          <w:szCs w:val="32"/>
          <w:highlight w:val="none"/>
          <w:lang w:val="en-US" w:eastAsia="zh-CN" w:bidi="ar"/>
        </w:rPr>
        <w:t>第五条</w:t>
      </w:r>
      <w:r>
        <w:rPr>
          <w:rFonts w:hint="eastAsia" w:ascii="仿宋_GB2312" w:hAnsi="Calibri" w:eastAsia="仿宋_GB2312" w:cs="仿宋_GB2312"/>
          <w:i w:val="0"/>
          <w:iCs w:val="0"/>
          <w:caps w:val="0"/>
          <w:color w:val="auto"/>
          <w:spacing w:val="0"/>
          <w:kern w:val="0"/>
          <w:sz w:val="32"/>
          <w:szCs w:val="32"/>
          <w:highlight w:val="none"/>
          <w:lang w:val="en-US" w:eastAsia="zh-CN" w:bidi="ar"/>
        </w:rPr>
        <w:t> </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w:t>
      </w:r>
      <w:r>
        <w:rPr>
          <w:rFonts w:hint="eastAsia" w:ascii="仿宋_GB2312" w:eastAsia="仿宋_GB2312" w:cs="仿宋_GB2312"/>
          <w:i w:val="0"/>
          <w:iCs w:val="0"/>
          <w:caps w:val="0"/>
          <w:color w:val="auto"/>
          <w:spacing w:val="0"/>
          <w:kern w:val="0"/>
          <w:sz w:val="32"/>
          <w:szCs w:val="32"/>
          <w:highlight w:val="none"/>
          <w:lang w:val="en-US" w:eastAsia="zh-CN" w:bidi="ar"/>
        </w:rPr>
        <w:t>认定</w:t>
      </w:r>
      <w:r>
        <w:rPr>
          <w:rFonts w:hint="eastAsia" w:ascii="仿宋_GB2312" w:hAnsi="Calibri" w:eastAsia="仿宋_GB2312" w:cs="仿宋_GB2312"/>
          <w:i w:val="0"/>
          <w:iCs w:val="0"/>
          <w:caps w:val="0"/>
          <w:color w:val="auto"/>
          <w:spacing w:val="0"/>
          <w:kern w:val="0"/>
          <w:sz w:val="32"/>
          <w:szCs w:val="32"/>
          <w:highlight w:val="none"/>
          <w:lang w:val="en-US" w:eastAsia="zh-CN" w:bidi="ar"/>
        </w:rPr>
        <w:t>以企业为主体，企业应当体现品牌示范性、企业代表性、行业引领性，注重理念、设计、研发、工艺、技术、制造、产品、服务、经营、营销、管理等各方面创新，与时俱进、守正创新，彰显经济价值和文化价值。</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hAnsi="Calibri" w:eastAsia="仿宋_GB2312" w:cs="仿宋_GB2312"/>
          <w:i w:val="0"/>
          <w:iCs w:val="0"/>
          <w:caps w:val="0"/>
          <w:color w:val="auto"/>
          <w:spacing w:val="0"/>
          <w:kern w:val="0"/>
          <w:sz w:val="32"/>
          <w:szCs w:val="32"/>
          <w:highlight w:val="none"/>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Calibri" w:hAnsi="Calibri" w:cs="Calibri"/>
          <w:i w:val="0"/>
          <w:iCs w:val="0"/>
          <w:color w:val="auto"/>
          <w:sz w:val="21"/>
          <w:szCs w:val="21"/>
          <w:highlight w:val="none"/>
        </w:rPr>
      </w:pPr>
      <w:r>
        <w:rPr>
          <w:rFonts w:hint="eastAsia" w:ascii="黑体" w:hAnsi="宋体" w:eastAsia="黑体" w:cs="黑体"/>
          <w:i w:val="0"/>
          <w:iCs w:val="0"/>
          <w:caps w:val="0"/>
          <w:color w:val="auto"/>
          <w:spacing w:val="0"/>
          <w:kern w:val="0"/>
          <w:sz w:val="32"/>
          <w:szCs w:val="32"/>
          <w:highlight w:val="none"/>
          <w:lang w:val="en-US" w:eastAsia="zh-CN" w:bidi="ar"/>
        </w:rPr>
        <w:t>第二章</w:t>
      </w:r>
      <w:r>
        <w:rPr>
          <w:rFonts w:hint="eastAsia" w:ascii="黑体" w:hAnsi="宋体" w:eastAsia="黑体" w:cs="黑体"/>
          <w:i w:val="0"/>
          <w:iCs w:val="0"/>
          <w:caps w:val="0"/>
          <w:color w:val="auto"/>
          <w:spacing w:val="0"/>
          <w:kern w:val="0"/>
          <w:sz w:val="32"/>
          <w:szCs w:val="32"/>
          <w:highlight w:val="none"/>
          <w:lang w:val="en-US" w:eastAsia="zh" w:bidi="ar"/>
        </w:rPr>
        <w:t>　</w:t>
      </w:r>
      <w:r>
        <w:rPr>
          <w:rFonts w:hint="eastAsia" w:ascii="黑体" w:hAnsi="宋体" w:eastAsia="黑体" w:cs="黑体"/>
          <w:i w:val="0"/>
          <w:iCs w:val="0"/>
          <w:caps w:val="0"/>
          <w:color w:val="auto"/>
          <w:spacing w:val="0"/>
          <w:kern w:val="0"/>
          <w:sz w:val="32"/>
          <w:szCs w:val="32"/>
          <w:highlight w:val="none"/>
          <w:lang w:val="en-US" w:eastAsia="zh-CN" w:bidi="ar"/>
        </w:rPr>
        <w:t>基本条件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黑体" w:hAnsi="宋体" w:eastAsia="黑体" w:cs="黑体"/>
          <w:i w:val="0"/>
          <w:iCs w:val="0"/>
          <w:caps w:val="0"/>
          <w:color w:val="auto"/>
          <w:spacing w:val="0"/>
          <w:kern w:val="0"/>
          <w:sz w:val="32"/>
          <w:szCs w:val="32"/>
          <w:highlight w:val="none"/>
          <w:lang w:val="en-US" w:eastAsia="zh-CN" w:bidi="ar"/>
        </w:rPr>
        <w:t>第六条</w:t>
      </w:r>
      <w:r>
        <w:rPr>
          <w:rFonts w:hint="eastAsia" w:ascii="仿宋_GB2312" w:hAnsi="Calibri" w:eastAsia="仿宋_GB2312" w:cs="仿宋_GB2312"/>
          <w:i w:val="0"/>
          <w:iCs w:val="0"/>
          <w:caps w:val="0"/>
          <w:color w:val="auto"/>
          <w:spacing w:val="0"/>
          <w:kern w:val="0"/>
          <w:sz w:val="32"/>
          <w:szCs w:val="32"/>
          <w:highlight w:val="none"/>
          <w:lang w:val="en-US" w:eastAsia="zh-CN" w:bidi="ar"/>
        </w:rPr>
        <w:t> </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老字号应当具备以下基本条件：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hAnsi="Calibri" w:eastAsia="仿宋_GB2312" w:cs="仿宋_GB2312"/>
          <w:i w:val="0"/>
          <w:iCs w:val="0"/>
          <w:caps w:val="0"/>
          <w:color w:val="auto"/>
          <w:spacing w:val="0"/>
          <w:kern w:val="0"/>
          <w:sz w:val="32"/>
          <w:szCs w:val="32"/>
          <w:highlight w:val="none"/>
          <w:lang w:val="en-US" w:eastAsia="zh-CN" w:bidi="ar"/>
        </w:rPr>
      </w:pPr>
      <w:r>
        <w:rPr>
          <w:rFonts w:hint="eastAsia" w:ascii="仿宋_GB2312" w:hAnsi="Calibri" w:eastAsia="仿宋_GB2312" w:cs="仿宋_GB2312"/>
          <w:i w:val="0"/>
          <w:iCs w:val="0"/>
          <w:caps w:val="0"/>
          <w:color w:val="auto"/>
          <w:spacing w:val="0"/>
          <w:kern w:val="0"/>
          <w:sz w:val="32"/>
          <w:szCs w:val="32"/>
          <w:highlight w:val="none"/>
          <w:lang w:val="en-US" w:eastAsia="zh-CN" w:bidi="ar"/>
        </w:rPr>
        <w:t>（一）品牌创立时间在</w:t>
      </w:r>
      <w:r>
        <w:rPr>
          <w:rFonts w:hint="eastAsia" w:ascii="仿宋_GB2312" w:eastAsia="仿宋_GB2312" w:cs="仿宋_GB2312"/>
          <w:i w:val="0"/>
          <w:iCs w:val="0"/>
          <w:caps w:val="0"/>
          <w:color w:val="auto"/>
          <w:spacing w:val="0"/>
          <w:kern w:val="0"/>
          <w:sz w:val="32"/>
          <w:szCs w:val="32"/>
          <w:highlight w:val="none"/>
          <w:lang w:val="en-US" w:eastAsia="zh-CN" w:bidi="ar"/>
        </w:rPr>
        <w:t>20</w:t>
      </w:r>
      <w:r>
        <w:rPr>
          <w:rFonts w:hint="eastAsia" w:ascii="仿宋_GB2312" w:hAnsi="Calibri" w:eastAsia="仿宋_GB2312" w:cs="仿宋_GB2312"/>
          <w:i w:val="0"/>
          <w:iCs w:val="0"/>
          <w:caps w:val="0"/>
          <w:color w:val="auto"/>
          <w:spacing w:val="0"/>
          <w:kern w:val="0"/>
          <w:sz w:val="32"/>
          <w:szCs w:val="32"/>
          <w:highlight w:val="none"/>
          <w:lang w:val="en-US" w:eastAsia="zh-CN" w:bidi="ar"/>
        </w:rPr>
        <w:t>年（含）</w:t>
      </w:r>
      <w:r>
        <w:rPr>
          <w:rFonts w:hint="eastAsia" w:ascii="仿宋_GB2312" w:eastAsia="仿宋_GB2312" w:cs="仿宋_GB2312"/>
          <w:i w:val="0"/>
          <w:iCs w:val="0"/>
          <w:caps w:val="0"/>
          <w:color w:val="auto"/>
          <w:spacing w:val="0"/>
          <w:kern w:val="0"/>
          <w:sz w:val="32"/>
          <w:szCs w:val="32"/>
          <w:highlight w:val="none"/>
          <w:lang w:val="en-US" w:eastAsia="zh-CN" w:bidi="ar"/>
        </w:rPr>
        <w:t>以上</w:t>
      </w:r>
      <w:r>
        <w:rPr>
          <w:rFonts w:hint="eastAsia" w:ascii="仿宋_GB2312" w:hAnsi="Calibri" w:eastAsia="仿宋_GB2312" w:cs="仿宋_GB2312"/>
          <w:i w:val="0"/>
          <w:iCs w:val="0"/>
          <w:caps w:val="0"/>
          <w:color w:val="auto"/>
          <w:spacing w:val="0"/>
          <w:kern w:val="0"/>
          <w:sz w:val="32"/>
          <w:szCs w:val="32"/>
          <w:highlight w:val="none"/>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hAnsi="Calibri" w:eastAsia="仿宋_GB2312" w:cs="仿宋_GB2312"/>
          <w:i w:val="0"/>
          <w:iCs w:val="0"/>
          <w:caps w:val="0"/>
          <w:color w:val="auto"/>
          <w:spacing w:val="0"/>
          <w:kern w:val="0"/>
          <w:sz w:val="32"/>
          <w:szCs w:val="32"/>
          <w:highlight w:val="none"/>
          <w:lang w:val="en-US" w:eastAsia="zh-CN" w:bidi="ar"/>
        </w:rPr>
      </w:pPr>
      <w:r>
        <w:rPr>
          <w:rFonts w:hint="eastAsia" w:ascii="仿宋_GB2312" w:hAnsi="Calibri" w:eastAsia="仿宋_GB2312" w:cs="仿宋_GB2312"/>
          <w:i w:val="0"/>
          <w:iCs w:val="0"/>
          <w:caps w:val="0"/>
          <w:color w:val="auto"/>
          <w:spacing w:val="0"/>
          <w:kern w:val="0"/>
          <w:sz w:val="32"/>
          <w:szCs w:val="32"/>
          <w:highlight w:val="none"/>
          <w:lang w:val="en-US" w:eastAsia="zh-CN" w:bidi="ar"/>
        </w:rPr>
        <w:t>（二）具有</w:t>
      </w:r>
      <w:r>
        <w:rPr>
          <w:rFonts w:hint="eastAsia" w:ascii="仿宋_GB2312" w:eastAsia="仿宋_GB2312" w:cs="仿宋_GB2312"/>
          <w:i w:val="0"/>
          <w:iCs w:val="0"/>
          <w:caps w:val="0"/>
          <w:color w:val="auto"/>
          <w:spacing w:val="0"/>
          <w:kern w:val="0"/>
          <w:sz w:val="32"/>
          <w:szCs w:val="32"/>
          <w:highlight w:val="none"/>
          <w:lang w:val="en-US" w:eastAsia="zh-CN" w:bidi="ar"/>
        </w:rPr>
        <w:t>珠海地区</w:t>
      </w:r>
      <w:r>
        <w:rPr>
          <w:rFonts w:hint="eastAsia" w:ascii="仿宋_GB2312" w:hAnsi="Calibri" w:eastAsia="仿宋_GB2312" w:cs="仿宋_GB2312"/>
          <w:i w:val="0"/>
          <w:iCs w:val="0"/>
          <w:caps w:val="0"/>
          <w:color w:val="auto"/>
          <w:spacing w:val="0"/>
          <w:kern w:val="0"/>
          <w:sz w:val="32"/>
          <w:szCs w:val="32"/>
          <w:highlight w:val="none"/>
          <w:lang w:val="en-US" w:eastAsia="zh-CN" w:bidi="ar"/>
        </w:rPr>
        <w:t>特色和鲜明文化特征；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hAnsi="Calibri" w:eastAsia="仿宋_GB2312" w:cs="仿宋_GB2312"/>
          <w:i w:val="0"/>
          <w:iCs w:val="0"/>
          <w:caps w:val="0"/>
          <w:color w:val="auto"/>
          <w:spacing w:val="0"/>
          <w:kern w:val="0"/>
          <w:sz w:val="32"/>
          <w:szCs w:val="32"/>
          <w:highlight w:val="none"/>
          <w:lang w:val="en-US" w:eastAsia="zh-CN" w:bidi="ar"/>
        </w:rPr>
        <w:t>（三）面向居民生活提供经济价值、文化价值较高的</w:t>
      </w:r>
      <w:r>
        <w:rPr>
          <w:rFonts w:hint="eastAsia" w:ascii="仿宋_GB2312" w:eastAsia="仿宋_GB2312" w:cs="仿宋_GB2312"/>
          <w:i w:val="0"/>
          <w:iCs w:val="0"/>
          <w:caps w:val="0"/>
          <w:color w:val="auto"/>
          <w:spacing w:val="0"/>
          <w:kern w:val="0"/>
          <w:sz w:val="32"/>
          <w:szCs w:val="32"/>
          <w:highlight w:val="none"/>
          <w:lang w:val="en-US" w:eastAsia="zh-CN" w:bidi="ar"/>
        </w:rPr>
        <w:t>商</w:t>
      </w:r>
      <w:r>
        <w:rPr>
          <w:rFonts w:hint="eastAsia" w:ascii="仿宋_GB2312" w:hAnsi="Calibri" w:eastAsia="仿宋_GB2312" w:cs="仿宋_GB2312"/>
          <w:i w:val="0"/>
          <w:iCs w:val="0"/>
          <w:caps w:val="0"/>
          <w:color w:val="auto"/>
          <w:spacing w:val="0"/>
          <w:kern w:val="0"/>
          <w:sz w:val="32"/>
          <w:szCs w:val="32"/>
          <w:highlight w:val="none"/>
          <w:lang w:val="en-US" w:eastAsia="zh-CN" w:bidi="ar"/>
        </w:rPr>
        <w:t>品、技艺或服务；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hAnsi="Calibri" w:eastAsia="仿宋_GB2312" w:cs="仿宋_GB2312"/>
          <w:i w:val="0"/>
          <w:iCs w:val="0"/>
          <w:caps w:val="0"/>
          <w:color w:val="auto"/>
          <w:spacing w:val="0"/>
          <w:kern w:val="0"/>
          <w:sz w:val="32"/>
          <w:szCs w:val="32"/>
          <w:highlight w:val="none"/>
          <w:lang w:val="en-US" w:eastAsia="zh-CN" w:bidi="ar"/>
        </w:rPr>
        <w:t>（四）在所属行业或领域内具有代表性、引领性和示范性，得到广泛的社会认同和赞誉。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黑体" w:hAnsi="宋体" w:eastAsia="黑体" w:cs="黑体"/>
          <w:i w:val="0"/>
          <w:iCs w:val="0"/>
          <w:caps w:val="0"/>
          <w:color w:val="auto"/>
          <w:spacing w:val="0"/>
          <w:kern w:val="0"/>
          <w:sz w:val="32"/>
          <w:szCs w:val="32"/>
          <w:highlight w:val="none"/>
          <w:lang w:val="en-US" w:eastAsia="zh-CN" w:bidi="ar"/>
        </w:rPr>
        <w:t>第七条 </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老字号企业应当具备以下基本条件：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Calibri" w:eastAsia="仿宋_GB2312" w:cs="仿宋_GB2312"/>
          <w:i w:val="0"/>
          <w:iCs w:val="0"/>
          <w:caps w:val="0"/>
          <w:color w:val="auto"/>
          <w:spacing w:val="0"/>
          <w:kern w:val="0"/>
          <w:sz w:val="32"/>
          <w:szCs w:val="32"/>
          <w:highlight w:val="none"/>
          <w:lang w:val="en-US" w:eastAsia="zh-CN" w:bidi="ar"/>
        </w:rPr>
      </w:pPr>
      <w:r>
        <w:rPr>
          <w:rFonts w:hint="eastAsia" w:ascii="仿宋_GB2312" w:hAnsi="Calibri" w:eastAsia="仿宋_GB2312" w:cs="仿宋_GB2312"/>
          <w:i w:val="0"/>
          <w:iCs w:val="0"/>
          <w:caps w:val="0"/>
          <w:color w:val="auto"/>
          <w:spacing w:val="0"/>
          <w:kern w:val="0"/>
          <w:sz w:val="32"/>
          <w:szCs w:val="32"/>
          <w:highlight w:val="none"/>
          <w:lang w:val="en-US" w:eastAsia="zh-CN" w:bidi="ar"/>
        </w:rPr>
        <w:t>（一）在</w:t>
      </w:r>
      <w:r>
        <w:rPr>
          <w:rFonts w:hint="eastAsia" w:ascii="仿宋_GB2312" w:eastAsia="仿宋_GB2312" w:cs="仿宋_GB2312"/>
          <w:i w:val="0"/>
          <w:iCs w:val="0"/>
          <w:caps w:val="0"/>
          <w:color w:val="auto"/>
          <w:spacing w:val="0"/>
          <w:kern w:val="0"/>
          <w:sz w:val="32"/>
          <w:szCs w:val="32"/>
          <w:highlight w:val="none"/>
          <w:lang w:val="en-US" w:eastAsia="zh-CN" w:bidi="ar"/>
        </w:rPr>
        <w:t>珠海市行政区域内依法设立</w:t>
      </w:r>
      <w:r>
        <w:rPr>
          <w:rFonts w:hint="eastAsia" w:ascii="仿宋_GB2312" w:hAnsi="Calibri" w:eastAsia="仿宋_GB2312" w:cs="仿宋_GB2312"/>
          <w:i w:val="0"/>
          <w:iCs w:val="0"/>
          <w:caps w:val="0"/>
          <w:color w:val="auto"/>
          <w:spacing w:val="0"/>
          <w:kern w:val="0"/>
          <w:sz w:val="32"/>
          <w:szCs w:val="32"/>
          <w:highlight w:val="none"/>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仿宋_GB2312" w:hAnsi="Calibri" w:eastAsia="仿宋_GB2312" w:cs="仿宋_GB2312"/>
          <w:i w:val="0"/>
          <w:iCs w:val="0"/>
          <w:caps w:val="0"/>
          <w:color w:val="auto"/>
          <w:spacing w:val="0"/>
          <w:kern w:val="0"/>
          <w:sz w:val="32"/>
          <w:szCs w:val="32"/>
          <w:highlight w:val="none"/>
          <w:lang w:val="en-US" w:eastAsia="zh-CN" w:bidi="ar"/>
        </w:rPr>
      </w:pPr>
      <w:r>
        <w:rPr>
          <w:rFonts w:hint="eastAsia" w:ascii="仿宋_GB2312" w:hAnsi="Calibri" w:eastAsia="仿宋_GB2312" w:cs="仿宋_GB2312"/>
          <w:i w:val="0"/>
          <w:iCs w:val="0"/>
          <w:caps w:val="0"/>
          <w:color w:val="auto"/>
          <w:spacing w:val="0"/>
          <w:kern w:val="0"/>
          <w:sz w:val="32"/>
          <w:szCs w:val="32"/>
          <w:highlight w:val="none"/>
          <w:lang w:val="en-US" w:eastAsia="zh-CN" w:bidi="ar"/>
        </w:rPr>
        <w:t>（二）依法拥有与</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老字号相一致的字号，或与</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老字相一致的注册商标的所有权或使用权</w:t>
      </w:r>
      <w:r>
        <w:rPr>
          <w:rFonts w:hint="eastAsia" w:ascii="仿宋_GB2312" w:eastAsia="仿宋_GB2312" w:cs="仿宋_GB2312"/>
          <w:i w:val="0"/>
          <w:iCs w:val="0"/>
          <w:caps w:val="0"/>
          <w:color w:val="auto"/>
          <w:spacing w:val="0"/>
          <w:kern w:val="0"/>
          <w:sz w:val="32"/>
          <w:szCs w:val="32"/>
          <w:highlight w:val="none"/>
          <w:lang w:val="en-US" w:eastAsia="zh-CN" w:bidi="ar"/>
        </w:rPr>
        <w:t>，</w:t>
      </w:r>
      <w:r>
        <w:rPr>
          <w:rFonts w:hint="eastAsia" w:ascii="仿宋_GB2312" w:hAnsi="Calibri" w:eastAsia="仿宋_GB2312" w:cs="仿宋_GB2312"/>
          <w:i w:val="0"/>
          <w:iCs w:val="0"/>
          <w:caps w:val="0"/>
          <w:color w:val="auto"/>
          <w:spacing w:val="0"/>
          <w:kern w:val="0"/>
          <w:sz w:val="32"/>
          <w:szCs w:val="32"/>
          <w:highlight w:val="none"/>
          <w:lang w:val="en-US" w:eastAsia="zh-CN" w:bidi="ar"/>
        </w:rPr>
        <w:t>且未侵犯他人注册商标专用权，传承关系明确且无争议；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hAnsi="Calibri" w:eastAsia="仿宋_GB2312" w:cs="仿宋_GB2312"/>
          <w:i w:val="0"/>
          <w:iCs w:val="0"/>
          <w:caps w:val="0"/>
          <w:color w:val="auto"/>
          <w:spacing w:val="0"/>
          <w:kern w:val="0"/>
          <w:sz w:val="32"/>
          <w:szCs w:val="32"/>
          <w:highlight w:val="none"/>
          <w:lang w:val="en-US" w:eastAsia="zh-CN" w:bidi="ar"/>
        </w:rPr>
      </w:pPr>
      <w:r>
        <w:rPr>
          <w:rFonts w:hint="eastAsia" w:ascii="仿宋_GB2312" w:hAnsi="Calibri" w:eastAsia="仿宋_GB2312" w:cs="仿宋_GB2312"/>
          <w:i w:val="0"/>
          <w:iCs w:val="0"/>
          <w:caps w:val="0"/>
          <w:color w:val="auto"/>
          <w:spacing w:val="0"/>
          <w:kern w:val="0"/>
          <w:sz w:val="32"/>
          <w:szCs w:val="32"/>
          <w:highlight w:val="none"/>
          <w:lang w:val="en-US" w:eastAsia="zh-CN" w:bidi="ar"/>
        </w:rPr>
        <w:t>（三）主营业务连续经营</w:t>
      </w:r>
      <w:r>
        <w:rPr>
          <w:rFonts w:hint="eastAsia" w:ascii="仿宋_GB2312" w:eastAsia="仿宋_GB2312" w:cs="仿宋_GB2312"/>
          <w:i w:val="0"/>
          <w:iCs w:val="0"/>
          <w:caps w:val="0"/>
          <w:color w:val="auto"/>
          <w:spacing w:val="0"/>
          <w:kern w:val="0"/>
          <w:sz w:val="32"/>
          <w:szCs w:val="32"/>
          <w:highlight w:val="none"/>
          <w:lang w:val="en-US" w:eastAsia="zh-CN" w:bidi="ar"/>
        </w:rPr>
        <w:t>15</w:t>
      </w:r>
      <w:r>
        <w:rPr>
          <w:rFonts w:hint="eastAsia" w:ascii="仿宋_GB2312" w:hAnsi="Calibri" w:eastAsia="仿宋_GB2312" w:cs="仿宋_GB2312"/>
          <w:i w:val="0"/>
          <w:iCs w:val="0"/>
          <w:caps w:val="0"/>
          <w:color w:val="auto"/>
          <w:spacing w:val="0"/>
          <w:kern w:val="0"/>
          <w:sz w:val="32"/>
          <w:szCs w:val="32"/>
          <w:highlight w:val="none"/>
          <w:lang w:val="en-US" w:eastAsia="zh-CN" w:bidi="ar"/>
        </w:rPr>
        <w:t>年（含）以上，且主要面向居民生活提供商品</w:t>
      </w:r>
      <w:r>
        <w:rPr>
          <w:rFonts w:hint="eastAsia" w:ascii="仿宋_GB2312" w:eastAsia="仿宋_GB2312" w:cs="仿宋_GB2312"/>
          <w:i w:val="0"/>
          <w:iCs w:val="0"/>
          <w:caps w:val="0"/>
          <w:color w:val="auto"/>
          <w:spacing w:val="0"/>
          <w:kern w:val="0"/>
          <w:sz w:val="32"/>
          <w:szCs w:val="32"/>
          <w:highlight w:val="none"/>
          <w:lang w:val="en-US" w:eastAsia="zh-CN" w:bidi="ar"/>
        </w:rPr>
        <w:t>、技艺</w:t>
      </w:r>
      <w:r>
        <w:rPr>
          <w:rFonts w:hint="eastAsia" w:ascii="仿宋_GB2312" w:hAnsi="Calibri" w:eastAsia="仿宋_GB2312" w:cs="仿宋_GB2312"/>
          <w:i w:val="0"/>
          <w:iCs w:val="0"/>
          <w:caps w:val="0"/>
          <w:color w:val="auto"/>
          <w:spacing w:val="0"/>
          <w:kern w:val="0"/>
          <w:sz w:val="32"/>
          <w:szCs w:val="32"/>
          <w:highlight w:val="none"/>
          <w:lang w:val="en-US" w:eastAsia="zh-CN" w:bidi="ar"/>
        </w:rPr>
        <w:t>或服务；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hAnsi="Calibri" w:eastAsia="仿宋_GB2312" w:cs="仿宋_GB2312"/>
          <w:i w:val="0"/>
          <w:iCs w:val="0"/>
          <w:caps w:val="0"/>
          <w:color w:val="auto"/>
          <w:spacing w:val="0"/>
          <w:kern w:val="0"/>
          <w:sz w:val="32"/>
          <w:szCs w:val="32"/>
          <w:highlight w:val="none"/>
          <w:lang w:val="en-US" w:eastAsia="zh-CN" w:bidi="ar"/>
        </w:rPr>
        <w:t>（四）经营状况良好，且具有较强的运营</w:t>
      </w:r>
      <w:r>
        <w:rPr>
          <w:rFonts w:hint="eastAsia" w:ascii="仿宋_GB2312" w:eastAsia="仿宋_GB2312" w:cs="仿宋_GB2312"/>
          <w:i w:val="0"/>
          <w:iCs w:val="0"/>
          <w:caps w:val="0"/>
          <w:color w:val="auto"/>
          <w:spacing w:val="0"/>
          <w:kern w:val="0"/>
          <w:sz w:val="32"/>
          <w:szCs w:val="32"/>
          <w:highlight w:val="none"/>
          <w:lang w:val="en-US" w:eastAsia="zh-CN" w:bidi="ar"/>
        </w:rPr>
        <w:t>和</w:t>
      </w:r>
      <w:r>
        <w:rPr>
          <w:rFonts w:hint="eastAsia" w:ascii="仿宋_GB2312" w:hAnsi="Calibri" w:eastAsia="仿宋_GB2312" w:cs="仿宋_GB2312"/>
          <w:i w:val="0"/>
          <w:iCs w:val="0"/>
          <w:caps w:val="0"/>
          <w:color w:val="auto"/>
          <w:spacing w:val="0"/>
          <w:kern w:val="0"/>
          <w:sz w:val="32"/>
          <w:szCs w:val="32"/>
          <w:highlight w:val="none"/>
          <w:lang w:val="en-US" w:eastAsia="zh-CN" w:bidi="ar"/>
        </w:rPr>
        <w:t>可持续发展能力；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hAnsi="Calibri" w:eastAsia="仿宋_GB2312" w:cs="仿宋_GB2312"/>
          <w:i w:val="0"/>
          <w:iCs w:val="0"/>
          <w:caps w:val="0"/>
          <w:color w:val="auto"/>
          <w:spacing w:val="0"/>
          <w:kern w:val="0"/>
          <w:sz w:val="32"/>
          <w:szCs w:val="32"/>
          <w:highlight w:val="none"/>
          <w:lang w:val="en-US" w:eastAsia="zh-CN" w:bidi="ar"/>
        </w:rPr>
        <w:t>（五）具有符合现代要求的企业治理模式，在设计、研发、工艺、技术、制造、产品、服务和经营理念、营销渠道、管理模式等方面具备较强的创新能力；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hAnsi="Calibri" w:eastAsia="仿宋_GB2312" w:cs="仿宋_GB2312"/>
          <w:i w:val="0"/>
          <w:iCs w:val="0"/>
          <w:caps w:val="0"/>
          <w:color w:val="auto"/>
          <w:spacing w:val="0"/>
          <w:kern w:val="0"/>
          <w:sz w:val="32"/>
          <w:szCs w:val="32"/>
          <w:highlight w:val="none"/>
          <w:lang w:val="en-US" w:eastAsia="zh-CN" w:bidi="ar"/>
        </w:rPr>
        <w:t>（六）在所属行业或领域内具有较强影响力；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Calibri" w:eastAsia="仿宋_GB2312" w:cs="仿宋_GB2312"/>
          <w:i w:val="0"/>
          <w:iCs w:val="0"/>
          <w:caps w:val="0"/>
          <w:color w:val="auto"/>
          <w:spacing w:val="0"/>
          <w:kern w:val="0"/>
          <w:sz w:val="32"/>
          <w:szCs w:val="32"/>
          <w:highlight w:val="none"/>
          <w:lang w:val="en-US" w:eastAsia="zh-CN" w:bidi="ar"/>
        </w:rPr>
      </w:pPr>
      <w:r>
        <w:rPr>
          <w:rFonts w:hint="eastAsia" w:ascii="仿宋_GB2312" w:hAnsi="Calibri" w:eastAsia="仿宋_GB2312" w:cs="仿宋_GB2312"/>
          <w:i w:val="0"/>
          <w:iCs w:val="0"/>
          <w:caps w:val="0"/>
          <w:color w:val="auto"/>
          <w:spacing w:val="0"/>
          <w:kern w:val="0"/>
          <w:sz w:val="32"/>
          <w:szCs w:val="32"/>
          <w:highlight w:val="none"/>
          <w:lang w:val="en-US" w:eastAsia="zh-CN" w:bidi="ar"/>
        </w:rPr>
        <w:t>（七）</w:t>
      </w:r>
      <w:r>
        <w:rPr>
          <w:rFonts w:hint="eastAsia" w:ascii="仿宋_GB2312" w:eastAsia="仿宋_GB2312" w:cs="仿宋_GB2312"/>
          <w:i w:val="0"/>
          <w:iCs w:val="0"/>
          <w:caps w:val="0"/>
          <w:color w:val="auto"/>
          <w:spacing w:val="0"/>
          <w:kern w:val="0"/>
          <w:sz w:val="32"/>
          <w:szCs w:val="32"/>
          <w:highlight w:val="none"/>
          <w:lang w:val="en-US" w:eastAsia="zh-CN" w:bidi="ar"/>
        </w:rPr>
        <w:t>无</w:t>
      </w:r>
      <w:r>
        <w:rPr>
          <w:rFonts w:hint="eastAsia" w:ascii="仿宋_GB2312" w:hAnsi="Calibri" w:eastAsia="仿宋_GB2312" w:cs="仿宋_GB2312"/>
          <w:i w:val="0"/>
          <w:iCs w:val="0"/>
          <w:caps w:val="0"/>
          <w:color w:val="auto"/>
          <w:spacing w:val="0"/>
          <w:kern w:val="0"/>
          <w:sz w:val="32"/>
          <w:szCs w:val="32"/>
          <w:highlight w:val="none"/>
          <w:lang w:val="en-US" w:eastAsia="zh-CN" w:bidi="ar"/>
        </w:rPr>
        <w:t>经营异常或严重违法失信</w:t>
      </w:r>
      <w:r>
        <w:rPr>
          <w:rFonts w:hint="eastAsia" w:ascii="仿宋_GB2312" w:eastAsia="仿宋_GB2312" w:cs="仿宋_GB2312"/>
          <w:i w:val="0"/>
          <w:iCs w:val="0"/>
          <w:caps w:val="0"/>
          <w:color w:val="auto"/>
          <w:spacing w:val="0"/>
          <w:kern w:val="0"/>
          <w:sz w:val="32"/>
          <w:szCs w:val="32"/>
          <w:highlight w:val="none"/>
          <w:lang w:val="en-US" w:eastAsia="zh-CN" w:bidi="ar"/>
        </w:rPr>
        <w:t>记录</w:t>
      </w:r>
      <w:r>
        <w:rPr>
          <w:rFonts w:hint="eastAsia" w:ascii="仿宋_GB2312" w:hAnsi="Calibri" w:eastAsia="仿宋_GB2312" w:cs="仿宋_GB2312"/>
          <w:i w:val="0"/>
          <w:iCs w:val="0"/>
          <w:caps w:val="0"/>
          <w:color w:val="auto"/>
          <w:spacing w:val="0"/>
          <w:kern w:val="0"/>
          <w:sz w:val="32"/>
          <w:szCs w:val="32"/>
          <w:highlight w:val="none"/>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hAnsi="Calibri" w:eastAsia="仿宋_GB2312" w:cs="仿宋_GB2312"/>
          <w:i w:val="0"/>
          <w:iCs w:val="0"/>
          <w:caps w:val="0"/>
          <w:color w:val="auto"/>
          <w:spacing w:val="0"/>
          <w:kern w:val="0"/>
          <w:sz w:val="32"/>
          <w:szCs w:val="32"/>
          <w:highlight w:val="none"/>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Calibri" w:hAnsi="Calibri" w:cs="Calibri"/>
          <w:i w:val="0"/>
          <w:iCs w:val="0"/>
          <w:color w:val="auto"/>
          <w:sz w:val="21"/>
          <w:szCs w:val="21"/>
          <w:highlight w:val="none"/>
        </w:rPr>
      </w:pPr>
      <w:r>
        <w:rPr>
          <w:rFonts w:hint="eastAsia" w:ascii="黑体" w:hAnsi="宋体" w:eastAsia="黑体" w:cs="黑体"/>
          <w:i w:val="0"/>
          <w:iCs w:val="0"/>
          <w:caps w:val="0"/>
          <w:color w:val="auto"/>
          <w:spacing w:val="0"/>
          <w:kern w:val="0"/>
          <w:sz w:val="32"/>
          <w:szCs w:val="32"/>
          <w:highlight w:val="none"/>
          <w:lang w:val="en-US" w:eastAsia="zh-CN" w:bidi="ar"/>
        </w:rPr>
        <w:t>第三章</w:t>
      </w:r>
      <w:r>
        <w:rPr>
          <w:rFonts w:hint="eastAsia" w:ascii="黑体" w:hAnsi="宋体" w:eastAsia="黑体" w:cs="黑体"/>
          <w:i w:val="0"/>
          <w:iCs w:val="0"/>
          <w:caps w:val="0"/>
          <w:color w:val="auto"/>
          <w:spacing w:val="0"/>
          <w:kern w:val="0"/>
          <w:sz w:val="32"/>
          <w:szCs w:val="32"/>
          <w:highlight w:val="none"/>
          <w:lang w:val="en-US" w:eastAsia="zh" w:bidi="ar"/>
        </w:rPr>
        <w:t>　</w:t>
      </w:r>
      <w:r>
        <w:rPr>
          <w:rFonts w:hint="eastAsia" w:ascii="黑体" w:hAnsi="宋体" w:eastAsia="黑体" w:cs="黑体"/>
          <w:i w:val="0"/>
          <w:iCs w:val="0"/>
          <w:caps w:val="0"/>
          <w:color w:val="auto"/>
          <w:spacing w:val="0"/>
          <w:kern w:val="0"/>
          <w:sz w:val="32"/>
          <w:szCs w:val="32"/>
          <w:highlight w:val="none"/>
          <w:lang w:val="en-US" w:eastAsia="zh-CN" w:bidi="ar"/>
        </w:rPr>
        <w:t>认定程序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黑体" w:hAnsi="宋体" w:eastAsia="黑体" w:cs="黑体"/>
          <w:i w:val="0"/>
          <w:iCs w:val="0"/>
          <w:caps w:val="0"/>
          <w:color w:val="auto"/>
          <w:spacing w:val="0"/>
          <w:kern w:val="0"/>
          <w:sz w:val="32"/>
          <w:szCs w:val="32"/>
          <w:highlight w:val="none"/>
          <w:lang w:val="en-US" w:eastAsia="zh-CN" w:bidi="ar"/>
        </w:rPr>
        <w:t xml:space="preserve">第八条 </w:t>
      </w:r>
      <w:r>
        <w:rPr>
          <w:rFonts w:hint="eastAsia" w:ascii="仿宋_GB2312" w:eastAsia="仿宋_GB2312" w:cs="仿宋_GB2312"/>
          <w:i w:val="0"/>
          <w:iCs w:val="0"/>
          <w:caps w:val="0"/>
          <w:color w:val="auto"/>
          <w:spacing w:val="0"/>
          <w:kern w:val="0"/>
          <w:sz w:val="32"/>
          <w:szCs w:val="32"/>
          <w:highlight w:val="none"/>
          <w:lang w:val="en-US" w:eastAsia="zh-CN" w:bidi="ar"/>
        </w:rPr>
        <w:t>市商务局</w:t>
      </w:r>
      <w:r>
        <w:rPr>
          <w:rFonts w:hint="eastAsia" w:ascii="仿宋_GB2312" w:hAnsi="Calibri" w:eastAsia="仿宋_GB2312" w:cs="仿宋_GB2312"/>
          <w:i w:val="0"/>
          <w:iCs w:val="0"/>
          <w:caps w:val="0"/>
          <w:color w:val="auto"/>
          <w:spacing w:val="0"/>
          <w:kern w:val="0"/>
          <w:sz w:val="32"/>
          <w:szCs w:val="32"/>
          <w:highlight w:val="none"/>
          <w:lang w:val="en-US" w:eastAsia="zh-CN" w:bidi="ar"/>
        </w:rPr>
        <w:t>会同相关部门原则上每</w:t>
      </w:r>
      <w:r>
        <w:rPr>
          <w:rFonts w:hint="eastAsia" w:ascii="仿宋_GB2312" w:eastAsia="仿宋_GB2312" w:cs="仿宋_GB2312"/>
          <w:i w:val="0"/>
          <w:iCs w:val="0"/>
          <w:caps w:val="0"/>
          <w:color w:val="auto"/>
          <w:spacing w:val="0"/>
          <w:kern w:val="0"/>
          <w:sz w:val="32"/>
          <w:szCs w:val="32"/>
          <w:highlight w:val="none"/>
          <w:lang w:val="en-US" w:eastAsia="zh-CN" w:bidi="ar"/>
        </w:rPr>
        <w:t>2</w:t>
      </w:r>
      <w:r>
        <w:rPr>
          <w:rFonts w:hint="eastAsia" w:ascii="仿宋_GB2312" w:hAnsi="Calibri" w:eastAsia="仿宋_GB2312" w:cs="仿宋_GB2312"/>
          <w:i w:val="0"/>
          <w:iCs w:val="0"/>
          <w:caps w:val="0"/>
          <w:color w:val="auto"/>
          <w:spacing w:val="0"/>
          <w:kern w:val="0"/>
          <w:sz w:val="32"/>
          <w:szCs w:val="32"/>
          <w:highlight w:val="none"/>
          <w:lang w:val="en-US" w:eastAsia="zh-CN" w:bidi="ar"/>
        </w:rPr>
        <w:t>年认定并公布新一批次</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老字号名录。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老字号申报和认定工作时间安排由</w:t>
      </w:r>
      <w:r>
        <w:rPr>
          <w:rFonts w:hint="eastAsia" w:ascii="仿宋_GB2312" w:eastAsia="仿宋_GB2312" w:cs="仿宋_GB2312"/>
          <w:i w:val="0"/>
          <w:iCs w:val="0"/>
          <w:caps w:val="0"/>
          <w:color w:val="auto"/>
          <w:spacing w:val="0"/>
          <w:kern w:val="0"/>
          <w:sz w:val="32"/>
          <w:szCs w:val="32"/>
          <w:highlight w:val="none"/>
          <w:lang w:val="en-US" w:eastAsia="zh-CN" w:bidi="ar"/>
        </w:rPr>
        <w:t>市商务局以通知形式</w:t>
      </w:r>
      <w:r>
        <w:rPr>
          <w:rFonts w:hint="eastAsia" w:ascii="仿宋_GB2312" w:hAnsi="Calibri" w:eastAsia="仿宋_GB2312" w:cs="仿宋_GB2312"/>
          <w:i w:val="0"/>
          <w:iCs w:val="0"/>
          <w:caps w:val="0"/>
          <w:color w:val="auto"/>
          <w:spacing w:val="0"/>
          <w:kern w:val="0"/>
          <w:sz w:val="32"/>
          <w:szCs w:val="32"/>
          <w:highlight w:val="none"/>
          <w:lang w:val="en-US" w:eastAsia="zh-CN" w:bidi="ar"/>
        </w:rPr>
        <w:t>发布。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黑体" w:hAnsi="宋体" w:eastAsia="黑体" w:cs="黑体"/>
          <w:i w:val="0"/>
          <w:iCs w:val="0"/>
          <w:caps w:val="0"/>
          <w:color w:val="auto"/>
          <w:spacing w:val="0"/>
          <w:kern w:val="0"/>
          <w:sz w:val="32"/>
          <w:szCs w:val="32"/>
          <w:highlight w:val="none"/>
          <w:lang w:val="en-US" w:eastAsia="zh-CN" w:bidi="ar"/>
        </w:rPr>
        <w:t>第九条 </w:t>
      </w:r>
      <w:r>
        <w:rPr>
          <w:rFonts w:hint="eastAsia" w:ascii="仿宋_GB2312" w:hAnsi="Calibri" w:eastAsia="仿宋_GB2312" w:cs="仿宋_GB2312"/>
          <w:i w:val="0"/>
          <w:iCs w:val="0"/>
          <w:caps w:val="0"/>
          <w:color w:val="auto"/>
          <w:spacing w:val="0"/>
          <w:kern w:val="0"/>
          <w:sz w:val="32"/>
          <w:szCs w:val="32"/>
          <w:highlight w:val="none"/>
          <w:lang w:val="en-US" w:eastAsia="zh-CN" w:bidi="ar"/>
        </w:rPr>
        <w:t>符合本办法第六条、第七条规定条件的企业应在规定日期内</w:t>
      </w:r>
      <w:r>
        <w:rPr>
          <w:rFonts w:hint="eastAsia" w:ascii="仿宋_GB2312" w:eastAsia="仿宋_GB2312" w:cs="仿宋_GB2312"/>
          <w:i w:val="0"/>
          <w:iCs w:val="0"/>
          <w:caps w:val="0"/>
          <w:color w:val="auto"/>
          <w:spacing w:val="0"/>
          <w:kern w:val="0"/>
          <w:sz w:val="32"/>
          <w:szCs w:val="32"/>
          <w:highlight w:val="none"/>
          <w:lang w:val="en-US" w:eastAsia="zh-CN" w:bidi="ar"/>
        </w:rPr>
        <w:t>上报</w:t>
      </w:r>
      <w:r>
        <w:rPr>
          <w:rFonts w:hint="eastAsia" w:ascii="仿宋_GB2312" w:hAnsi="Calibri" w:eastAsia="仿宋_GB2312" w:cs="仿宋_GB2312"/>
          <w:i w:val="0"/>
          <w:iCs w:val="0"/>
          <w:caps w:val="0"/>
          <w:color w:val="auto"/>
          <w:spacing w:val="0"/>
          <w:kern w:val="0"/>
          <w:sz w:val="32"/>
          <w:szCs w:val="32"/>
          <w:highlight w:val="none"/>
          <w:lang w:val="en-US" w:eastAsia="zh-CN" w:bidi="ar"/>
        </w:rPr>
        <w:t>申报材料，包括：</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hAnsi="Calibri" w:eastAsia="仿宋_GB2312" w:cs="仿宋_GB2312"/>
          <w:i w:val="0"/>
          <w:iCs w:val="0"/>
          <w:caps w:val="0"/>
          <w:color w:val="auto"/>
          <w:spacing w:val="0"/>
          <w:kern w:val="0"/>
          <w:sz w:val="32"/>
          <w:szCs w:val="32"/>
          <w:highlight w:val="none"/>
          <w:lang w:val="en-US" w:eastAsia="zh-CN" w:bidi="ar"/>
        </w:rPr>
        <w:t>（一）企业基本信息、股权结构及近3年经营情况；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hAnsi="Calibri" w:eastAsia="仿宋_GB2312" w:cs="仿宋_GB2312"/>
          <w:i w:val="0"/>
          <w:iCs w:val="0"/>
          <w:caps w:val="0"/>
          <w:color w:val="auto"/>
          <w:spacing w:val="0"/>
          <w:kern w:val="0"/>
          <w:sz w:val="32"/>
          <w:szCs w:val="32"/>
          <w:highlight w:val="none"/>
          <w:lang w:val="en-US" w:eastAsia="zh-CN" w:bidi="ar"/>
        </w:rPr>
        <w:t>（二）品牌创立时间的证明材料；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hAnsi="Calibri" w:eastAsia="仿宋_GB2312" w:cs="仿宋_GB2312"/>
          <w:i w:val="0"/>
          <w:iCs w:val="0"/>
          <w:caps w:val="0"/>
          <w:color w:val="auto"/>
          <w:spacing w:val="0"/>
          <w:kern w:val="0"/>
          <w:sz w:val="32"/>
          <w:szCs w:val="32"/>
          <w:highlight w:val="none"/>
          <w:lang w:val="en-US" w:eastAsia="zh-CN" w:bidi="ar"/>
        </w:rPr>
        <w:t>（三）</w:t>
      </w:r>
      <w:r>
        <w:rPr>
          <w:rFonts w:hint="eastAsia" w:ascii="仿宋_GB2312" w:eastAsia="仿宋_GB2312" w:cs="仿宋_GB2312"/>
          <w:i w:val="0"/>
          <w:iCs w:val="0"/>
          <w:caps w:val="0"/>
          <w:color w:val="auto"/>
          <w:spacing w:val="0"/>
          <w:kern w:val="0"/>
          <w:sz w:val="32"/>
          <w:szCs w:val="32"/>
          <w:highlight w:val="none"/>
          <w:lang w:val="en-US" w:eastAsia="zh-CN" w:bidi="ar"/>
        </w:rPr>
        <w:t>老字号</w:t>
      </w:r>
      <w:r>
        <w:rPr>
          <w:rFonts w:hint="eastAsia" w:ascii="仿宋_GB2312" w:hAnsi="Calibri" w:eastAsia="仿宋_GB2312" w:cs="仿宋_GB2312"/>
          <w:i w:val="0"/>
          <w:iCs w:val="0"/>
          <w:caps w:val="0"/>
          <w:color w:val="auto"/>
          <w:spacing w:val="0"/>
          <w:kern w:val="0"/>
          <w:sz w:val="32"/>
          <w:szCs w:val="32"/>
          <w:highlight w:val="none"/>
          <w:lang w:val="en-US" w:eastAsia="zh-CN" w:bidi="ar"/>
        </w:rPr>
        <w:t>注册商标的权属证明文件；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hAnsi="Calibri" w:eastAsia="仿宋_GB2312" w:cs="仿宋_GB2312"/>
          <w:i w:val="0"/>
          <w:iCs w:val="0"/>
          <w:caps w:val="0"/>
          <w:color w:val="auto"/>
          <w:spacing w:val="0"/>
          <w:kern w:val="0"/>
          <w:sz w:val="32"/>
          <w:szCs w:val="32"/>
          <w:highlight w:val="none"/>
          <w:lang w:val="en-US" w:eastAsia="zh-CN" w:bidi="ar"/>
        </w:rPr>
        <w:t>（四）主营业务传承脉络清晰的证明材料；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hAnsi="Calibri" w:eastAsia="仿宋_GB2312" w:cs="仿宋_GB2312"/>
          <w:i w:val="0"/>
          <w:iCs w:val="0"/>
          <w:caps w:val="0"/>
          <w:color w:val="auto"/>
          <w:spacing w:val="0"/>
          <w:kern w:val="0"/>
          <w:sz w:val="32"/>
          <w:szCs w:val="32"/>
          <w:highlight w:val="none"/>
          <w:lang w:val="en-US" w:eastAsia="zh-CN" w:bidi="ar"/>
        </w:rPr>
        <w:t>（五）品牌历史价值和文化价值的介绍材料；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hAnsi="Calibri" w:eastAsia="仿宋_GB2312" w:cs="仿宋_GB2312"/>
          <w:i w:val="0"/>
          <w:iCs w:val="0"/>
          <w:caps w:val="0"/>
          <w:color w:val="auto"/>
          <w:spacing w:val="0"/>
          <w:kern w:val="0"/>
          <w:sz w:val="32"/>
          <w:szCs w:val="32"/>
          <w:highlight w:val="none"/>
          <w:lang w:val="en-US" w:eastAsia="zh-CN" w:bidi="ar"/>
        </w:rPr>
        <w:t>（六）企业在设计研发、工艺技术、产品服务和经营理念、营销渠道、管理模式等方面创新发展的介绍材料；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Calibri" w:eastAsia="仿宋_GB2312" w:cs="仿宋_GB2312"/>
          <w:i w:val="0"/>
          <w:iCs w:val="0"/>
          <w:caps w:val="0"/>
          <w:color w:val="auto"/>
          <w:spacing w:val="0"/>
          <w:kern w:val="0"/>
          <w:sz w:val="32"/>
          <w:szCs w:val="32"/>
          <w:highlight w:val="none"/>
          <w:lang w:val="en-US" w:eastAsia="zh-CN" w:bidi="ar"/>
        </w:rPr>
      </w:pPr>
      <w:r>
        <w:rPr>
          <w:rFonts w:hint="eastAsia" w:ascii="仿宋_GB2312" w:hAnsi="Calibri" w:eastAsia="仿宋_GB2312" w:cs="仿宋_GB2312"/>
          <w:i w:val="0"/>
          <w:iCs w:val="0"/>
          <w:caps w:val="0"/>
          <w:color w:val="auto"/>
          <w:spacing w:val="0"/>
          <w:kern w:val="0"/>
          <w:sz w:val="32"/>
          <w:szCs w:val="32"/>
          <w:highlight w:val="none"/>
          <w:lang w:val="en-US" w:eastAsia="zh-CN" w:bidi="ar"/>
        </w:rPr>
        <w:t>（七）企业文化的介绍材料和获得荣誉的证明材料；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Calibri" w:eastAsia="仿宋_GB2312" w:cs="仿宋_GB2312"/>
          <w:i w:val="0"/>
          <w:iCs w:val="0"/>
          <w:caps w:val="0"/>
          <w:color w:val="auto"/>
          <w:spacing w:val="0"/>
          <w:kern w:val="0"/>
          <w:sz w:val="32"/>
          <w:szCs w:val="32"/>
          <w:highlight w:val="none"/>
          <w:lang w:val="en-US" w:eastAsia="zh-CN" w:bidi="ar"/>
        </w:rPr>
      </w:pPr>
      <w:r>
        <w:rPr>
          <w:rFonts w:hint="eastAsia" w:ascii="仿宋_GB2312" w:eastAsia="仿宋_GB2312" w:cs="仿宋_GB2312"/>
          <w:i w:val="0"/>
          <w:iCs w:val="0"/>
          <w:caps w:val="0"/>
          <w:color w:val="auto"/>
          <w:spacing w:val="0"/>
          <w:kern w:val="0"/>
          <w:sz w:val="32"/>
          <w:szCs w:val="32"/>
          <w:highlight w:val="none"/>
          <w:lang w:val="en-US" w:eastAsia="zh-CN" w:bidi="ar"/>
        </w:rPr>
        <w:t>（八）企业信用报告（无违法违规证明版）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仿宋_GB2312" w:hAnsi="Calibri" w:eastAsia="仿宋_GB2312" w:cs="仿宋_GB2312"/>
          <w:i w:val="0"/>
          <w:iCs w:val="0"/>
          <w:caps w:val="0"/>
          <w:color w:val="auto"/>
          <w:spacing w:val="0"/>
          <w:kern w:val="0"/>
          <w:sz w:val="32"/>
          <w:szCs w:val="32"/>
          <w:highlight w:val="none"/>
          <w:lang w:val="en-US" w:eastAsia="zh-CN" w:bidi="ar"/>
        </w:rPr>
      </w:pPr>
      <w:r>
        <w:rPr>
          <w:rFonts w:hint="eastAsia" w:ascii="仿宋_GB2312" w:eastAsia="仿宋_GB2312" w:cs="仿宋_GB2312"/>
          <w:i w:val="0"/>
          <w:iCs w:val="0"/>
          <w:caps w:val="0"/>
          <w:color w:val="auto"/>
          <w:spacing w:val="0"/>
          <w:kern w:val="0"/>
          <w:sz w:val="32"/>
          <w:szCs w:val="32"/>
          <w:highlight w:val="none"/>
          <w:lang w:val="en-US" w:eastAsia="zh-CN" w:bidi="ar"/>
        </w:rPr>
        <w:t>（九）</w:t>
      </w:r>
      <w:r>
        <w:rPr>
          <w:rFonts w:hint="eastAsia" w:ascii="仿宋_GB2312" w:hAnsi="Calibri" w:eastAsia="仿宋_GB2312" w:cs="仿宋_GB2312"/>
          <w:i w:val="0"/>
          <w:iCs w:val="0"/>
          <w:caps w:val="0"/>
          <w:color w:val="auto"/>
          <w:spacing w:val="0"/>
          <w:kern w:val="0"/>
          <w:sz w:val="32"/>
          <w:szCs w:val="32"/>
          <w:highlight w:val="none"/>
          <w:lang w:val="en-US" w:eastAsia="zh-CN" w:bidi="ar"/>
        </w:rPr>
        <w:t>针对上述材料并经法定代表人或负责人签字的真实性承诺；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Calibri" w:hAnsi="Calibri" w:cs="Calibri"/>
          <w:i w:val="0"/>
          <w:iCs w:val="0"/>
          <w:color w:val="auto"/>
          <w:sz w:val="21"/>
          <w:szCs w:val="21"/>
          <w:highlight w:val="none"/>
        </w:rPr>
      </w:pPr>
      <w:r>
        <w:rPr>
          <w:rFonts w:hint="eastAsia" w:ascii="仿宋_GB2312" w:hAnsi="Calibri" w:eastAsia="仿宋_GB2312" w:cs="仿宋_GB2312"/>
          <w:i w:val="0"/>
          <w:iCs w:val="0"/>
          <w:caps w:val="0"/>
          <w:color w:val="auto"/>
          <w:spacing w:val="0"/>
          <w:kern w:val="0"/>
          <w:sz w:val="32"/>
          <w:szCs w:val="32"/>
          <w:highlight w:val="none"/>
          <w:lang w:val="en-US" w:eastAsia="zh-CN" w:bidi="ar"/>
        </w:rPr>
        <w:t>（</w:t>
      </w:r>
      <w:r>
        <w:rPr>
          <w:rFonts w:hint="eastAsia" w:ascii="仿宋_GB2312" w:eastAsia="仿宋_GB2312" w:cs="仿宋_GB2312"/>
          <w:i w:val="0"/>
          <w:iCs w:val="0"/>
          <w:caps w:val="0"/>
          <w:color w:val="auto"/>
          <w:spacing w:val="0"/>
          <w:kern w:val="0"/>
          <w:sz w:val="32"/>
          <w:szCs w:val="32"/>
          <w:highlight w:val="none"/>
          <w:lang w:val="en-US" w:eastAsia="zh-CN" w:bidi="ar"/>
        </w:rPr>
        <w:t>十</w:t>
      </w:r>
      <w:r>
        <w:rPr>
          <w:rFonts w:hint="eastAsia" w:ascii="仿宋_GB2312" w:hAnsi="Calibri" w:eastAsia="仿宋_GB2312" w:cs="仿宋_GB2312"/>
          <w:i w:val="0"/>
          <w:iCs w:val="0"/>
          <w:caps w:val="0"/>
          <w:color w:val="auto"/>
          <w:spacing w:val="0"/>
          <w:kern w:val="0"/>
          <w:sz w:val="32"/>
          <w:szCs w:val="32"/>
          <w:highlight w:val="none"/>
          <w:lang w:val="en-US" w:eastAsia="zh-CN" w:bidi="ar"/>
        </w:rPr>
        <w:t>）各</w:t>
      </w:r>
      <w:r>
        <w:rPr>
          <w:rFonts w:hint="eastAsia" w:ascii="仿宋_GB2312" w:eastAsia="仿宋_GB2312" w:cs="仿宋_GB2312"/>
          <w:i w:val="0"/>
          <w:iCs w:val="0"/>
          <w:caps w:val="0"/>
          <w:color w:val="auto"/>
          <w:spacing w:val="0"/>
          <w:kern w:val="0"/>
          <w:sz w:val="32"/>
          <w:szCs w:val="32"/>
          <w:highlight w:val="none"/>
          <w:lang w:val="en-US" w:eastAsia="zh-CN" w:bidi="ar"/>
        </w:rPr>
        <w:t>区级商务部门</w:t>
      </w:r>
      <w:r>
        <w:rPr>
          <w:rFonts w:hint="eastAsia" w:ascii="仿宋_GB2312" w:hAnsi="Calibri" w:eastAsia="仿宋_GB2312" w:cs="仿宋_GB2312"/>
          <w:i w:val="0"/>
          <w:iCs w:val="0"/>
          <w:caps w:val="0"/>
          <w:color w:val="auto"/>
          <w:spacing w:val="0"/>
          <w:kern w:val="0"/>
          <w:sz w:val="32"/>
          <w:szCs w:val="32"/>
          <w:highlight w:val="none"/>
          <w:lang w:val="en-US" w:eastAsia="zh-CN" w:bidi="ar"/>
        </w:rPr>
        <w:t>和相关部门认为应当提交的其他相关材料。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Calibri" w:hAnsi="Calibri" w:cs="Calibri"/>
          <w:i w:val="0"/>
          <w:iCs w:val="0"/>
          <w:color w:val="auto"/>
          <w:sz w:val="21"/>
          <w:szCs w:val="21"/>
          <w:highlight w:val="none"/>
        </w:rPr>
      </w:pPr>
      <w:r>
        <w:rPr>
          <w:rFonts w:hint="eastAsia" w:ascii="仿宋_GB2312" w:hAnsi="Calibri" w:eastAsia="仿宋_GB2312" w:cs="仿宋_GB2312"/>
          <w:i w:val="0"/>
          <w:iCs w:val="0"/>
          <w:caps w:val="0"/>
          <w:color w:val="auto"/>
          <w:spacing w:val="0"/>
          <w:kern w:val="0"/>
          <w:sz w:val="32"/>
          <w:szCs w:val="32"/>
          <w:highlight w:val="none"/>
          <w:lang w:val="en-US" w:eastAsia="zh-CN" w:bidi="ar"/>
        </w:rPr>
        <w:t>上述申报材料应当真实、有效、完整，其中能够通过政府信息系统获取的，相关部门可不再要求企业提供。</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right="0" w:rightChars="0" w:firstLine="640" w:firstLineChars="200"/>
        <w:jc w:val="both"/>
        <w:textAlignment w:val="auto"/>
        <w:rPr>
          <w:rFonts w:hint="eastAsia" w:ascii="仿宋_GB2312" w:eastAsia="仿宋_GB2312" w:cs="仿宋_GB2312"/>
          <w:i w:val="0"/>
          <w:iCs w:val="0"/>
          <w:caps w:val="0"/>
          <w:color w:val="auto"/>
          <w:spacing w:val="0"/>
          <w:kern w:val="0"/>
          <w:sz w:val="32"/>
          <w:szCs w:val="32"/>
          <w:highlight w:val="none"/>
          <w:lang w:val="en-US" w:eastAsia="zh-CN" w:bidi="ar"/>
        </w:rPr>
      </w:pPr>
      <w:r>
        <w:rPr>
          <w:rFonts w:hint="eastAsia" w:ascii="黑体" w:hAnsi="黑体" w:eastAsia="黑体" w:cs="黑体"/>
          <w:i w:val="0"/>
          <w:iCs w:val="0"/>
          <w:caps w:val="0"/>
          <w:color w:val="auto"/>
          <w:spacing w:val="0"/>
          <w:kern w:val="0"/>
          <w:sz w:val="32"/>
          <w:szCs w:val="32"/>
          <w:highlight w:val="none"/>
          <w:lang w:val="en-US" w:eastAsia="zh-CN" w:bidi="ar"/>
        </w:rPr>
        <w:t>第十条</w:t>
      </w:r>
      <w:r>
        <w:rPr>
          <w:rFonts w:hint="eastAsia" w:ascii="仿宋_GB2312" w:eastAsia="仿宋_GB2312" w:cs="仿宋_GB2312"/>
          <w:i w:val="0"/>
          <w:iCs w:val="0"/>
          <w:caps w:val="0"/>
          <w:color w:val="auto"/>
          <w:spacing w:val="0"/>
          <w:kern w:val="0"/>
          <w:sz w:val="32"/>
          <w:szCs w:val="32"/>
          <w:highlight w:val="none"/>
          <w:lang w:val="en-US" w:eastAsia="zh-CN" w:bidi="ar"/>
        </w:rPr>
        <w:t xml:space="preserve"> 各区级商务部门结合实际情况对申报材料进行初核后向市商务局提出推荐名单。</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right="0" w:rightChars="0" w:firstLine="640" w:firstLineChars="200"/>
        <w:jc w:val="both"/>
        <w:textAlignment w:val="auto"/>
        <w:rPr>
          <w:rFonts w:hint="eastAsia" w:ascii="仿宋_GB2312" w:eastAsia="仿宋_GB2312" w:cs="仿宋_GB2312"/>
          <w:i w:val="0"/>
          <w:iCs w:val="0"/>
          <w:caps w:val="0"/>
          <w:color w:val="auto"/>
          <w:spacing w:val="0"/>
          <w:kern w:val="0"/>
          <w:sz w:val="32"/>
          <w:szCs w:val="32"/>
          <w:highlight w:val="none"/>
          <w:lang w:val="en-US" w:eastAsia="zh-CN" w:bidi="ar"/>
        </w:rPr>
      </w:pPr>
      <w:r>
        <w:rPr>
          <w:rFonts w:hint="eastAsia" w:ascii="仿宋_GB2312" w:eastAsia="仿宋_GB2312" w:cs="仿宋_GB2312"/>
          <w:i w:val="0"/>
          <w:iCs w:val="0"/>
          <w:caps w:val="0"/>
          <w:color w:val="auto"/>
          <w:spacing w:val="0"/>
          <w:kern w:val="0"/>
          <w:sz w:val="32"/>
          <w:szCs w:val="32"/>
          <w:highlight w:val="none"/>
          <w:lang w:val="en-US" w:eastAsia="zh-CN" w:bidi="ar"/>
        </w:rPr>
        <w:t>市属企业及中央驻珠企业可通过其一级集团（总公司）并经其主管部门同意后向市商务局推荐申报。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Calibri" w:hAnsi="Calibri" w:cs="Calibri"/>
          <w:i w:val="0"/>
          <w:iCs w:val="0"/>
          <w:color w:val="auto"/>
          <w:sz w:val="21"/>
          <w:szCs w:val="21"/>
          <w:highlight w:val="none"/>
        </w:rPr>
      </w:pPr>
      <w:r>
        <w:rPr>
          <w:rFonts w:hint="eastAsia" w:ascii="黑体" w:hAnsi="宋体" w:eastAsia="黑体" w:cs="黑体"/>
          <w:i w:val="0"/>
          <w:iCs w:val="0"/>
          <w:caps w:val="0"/>
          <w:color w:val="auto"/>
          <w:spacing w:val="0"/>
          <w:kern w:val="0"/>
          <w:sz w:val="32"/>
          <w:szCs w:val="32"/>
          <w:highlight w:val="none"/>
          <w:lang w:val="en-US" w:eastAsia="zh-CN" w:bidi="ar"/>
        </w:rPr>
        <w:t>第十一条 </w:t>
      </w:r>
      <w:r>
        <w:rPr>
          <w:rFonts w:hint="eastAsia" w:ascii="仿宋_GB2312" w:eastAsia="仿宋_GB2312" w:cs="仿宋_GB2312"/>
          <w:i w:val="0"/>
          <w:iCs w:val="0"/>
          <w:caps w:val="0"/>
          <w:color w:val="auto"/>
          <w:spacing w:val="0"/>
          <w:kern w:val="0"/>
          <w:sz w:val="32"/>
          <w:szCs w:val="32"/>
          <w:highlight w:val="none"/>
          <w:lang w:val="en-US" w:eastAsia="zh-CN" w:bidi="ar"/>
        </w:rPr>
        <w:t>市商务局</w:t>
      </w:r>
      <w:r>
        <w:rPr>
          <w:rFonts w:hint="eastAsia" w:ascii="仿宋_GB2312" w:hAnsi="Calibri" w:eastAsia="仿宋_GB2312" w:cs="仿宋_GB2312"/>
          <w:i w:val="0"/>
          <w:iCs w:val="0"/>
          <w:caps w:val="0"/>
          <w:color w:val="auto"/>
          <w:spacing w:val="0"/>
          <w:kern w:val="0"/>
          <w:sz w:val="32"/>
          <w:szCs w:val="32"/>
          <w:highlight w:val="none"/>
          <w:lang w:val="en-US" w:eastAsia="zh-CN" w:bidi="ar"/>
        </w:rPr>
        <w:t>会同相关部门组织专家按照科学、公平、公正的原则，对</w:t>
      </w:r>
      <w:r>
        <w:rPr>
          <w:rFonts w:hint="eastAsia" w:ascii="仿宋_GB2312" w:eastAsia="仿宋_GB2312" w:cs="仿宋_GB2312"/>
          <w:i w:val="0"/>
          <w:iCs w:val="0"/>
          <w:caps w:val="0"/>
          <w:color w:val="auto"/>
          <w:spacing w:val="0"/>
          <w:kern w:val="0"/>
          <w:sz w:val="32"/>
          <w:szCs w:val="32"/>
          <w:highlight w:val="none"/>
          <w:lang w:val="en-US" w:eastAsia="zh-CN" w:bidi="ar"/>
        </w:rPr>
        <w:t>申报</w:t>
      </w:r>
      <w:r>
        <w:rPr>
          <w:rFonts w:hint="eastAsia" w:ascii="仿宋_GB2312" w:hAnsi="Calibri" w:eastAsia="仿宋_GB2312" w:cs="仿宋_GB2312"/>
          <w:i w:val="0"/>
          <w:iCs w:val="0"/>
          <w:caps w:val="0"/>
          <w:color w:val="auto"/>
          <w:spacing w:val="0"/>
          <w:kern w:val="0"/>
          <w:sz w:val="32"/>
          <w:szCs w:val="32"/>
          <w:highlight w:val="none"/>
          <w:lang w:val="en-US" w:eastAsia="zh-CN" w:bidi="ar"/>
        </w:rPr>
        <w:t>企业进行</w:t>
      </w:r>
      <w:r>
        <w:rPr>
          <w:rFonts w:hint="eastAsia" w:ascii="仿宋_GB2312" w:eastAsia="仿宋_GB2312" w:cs="仿宋_GB2312"/>
          <w:i w:val="0"/>
          <w:iCs w:val="0"/>
          <w:caps w:val="0"/>
          <w:color w:val="auto"/>
          <w:spacing w:val="0"/>
          <w:kern w:val="0"/>
          <w:sz w:val="32"/>
          <w:szCs w:val="32"/>
          <w:highlight w:val="none"/>
          <w:lang w:val="en-US" w:eastAsia="zh-CN" w:bidi="ar"/>
        </w:rPr>
        <w:t>评选。评选根据当年认定老字号的工作计划，择优确认</w:t>
      </w:r>
      <w:r>
        <w:rPr>
          <w:rFonts w:hint="eastAsia" w:ascii="仿宋_GB2312" w:hAnsi="Calibri" w:eastAsia="仿宋_GB2312" w:cs="仿宋_GB2312"/>
          <w:i w:val="0"/>
          <w:iCs w:val="0"/>
          <w:caps w:val="0"/>
          <w:color w:val="auto"/>
          <w:spacing w:val="0"/>
          <w:kern w:val="0"/>
          <w:sz w:val="32"/>
          <w:szCs w:val="32"/>
          <w:highlight w:val="none"/>
          <w:lang w:val="en-US" w:eastAsia="zh-CN" w:bidi="ar"/>
        </w:rPr>
        <w:t>认定</w:t>
      </w:r>
      <w:r>
        <w:rPr>
          <w:rFonts w:hint="eastAsia" w:ascii="仿宋_GB2312" w:eastAsia="仿宋_GB2312" w:cs="仿宋_GB2312"/>
          <w:i w:val="0"/>
          <w:iCs w:val="0"/>
          <w:caps w:val="0"/>
          <w:color w:val="auto"/>
          <w:spacing w:val="0"/>
          <w:kern w:val="0"/>
          <w:sz w:val="32"/>
          <w:szCs w:val="32"/>
          <w:highlight w:val="none"/>
          <w:lang w:val="en-US" w:eastAsia="zh-CN" w:bidi="ar"/>
        </w:rPr>
        <w:t>的珠海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老字号及其所属企业。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仿宋_GB2312" w:hAnsi="Calibri" w:eastAsia="仿宋_GB2312" w:cs="仿宋_GB2312"/>
          <w:i w:val="0"/>
          <w:iCs w:val="0"/>
          <w:caps w:val="0"/>
          <w:color w:val="auto"/>
          <w:spacing w:val="0"/>
          <w:kern w:val="0"/>
          <w:sz w:val="32"/>
          <w:szCs w:val="32"/>
          <w:highlight w:val="none"/>
          <w:lang w:val="en-US" w:eastAsia="zh-CN" w:bidi="ar"/>
        </w:rPr>
      </w:pPr>
      <w:r>
        <w:rPr>
          <w:rFonts w:hint="eastAsia" w:ascii="仿宋_GB2312" w:hAnsi="Calibri" w:eastAsia="仿宋_GB2312" w:cs="仿宋_GB2312"/>
          <w:i w:val="0"/>
          <w:iCs w:val="0"/>
          <w:caps w:val="0"/>
          <w:color w:val="auto"/>
          <w:spacing w:val="0"/>
          <w:kern w:val="0"/>
          <w:sz w:val="32"/>
          <w:szCs w:val="32"/>
          <w:highlight w:val="none"/>
          <w:lang w:val="en-US" w:eastAsia="zh-CN" w:bidi="ar"/>
        </w:rPr>
        <w:t>参与评议的专家可根据需要采取材料审查、现场调查、查阅档案等形式进行审查</w:t>
      </w:r>
      <w:r>
        <w:rPr>
          <w:rFonts w:hint="eastAsia" w:ascii="仿宋_GB2312" w:eastAsia="仿宋_GB2312" w:cs="仿宋_GB2312"/>
          <w:i w:val="0"/>
          <w:iCs w:val="0"/>
          <w:caps w:val="0"/>
          <w:color w:val="auto"/>
          <w:spacing w:val="0"/>
          <w:kern w:val="0"/>
          <w:sz w:val="32"/>
          <w:szCs w:val="32"/>
          <w:highlight w:val="none"/>
          <w:lang w:val="en-US" w:eastAsia="zh-CN" w:bidi="ar"/>
        </w:rPr>
        <w:t>（评选及认定要求详见附件2）。</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Calibri" w:hAnsi="Calibri" w:cs="Calibri"/>
          <w:i w:val="0"/>
          <w:iCs w:val="0"/>
          <w:color w:val="auto"/>
          <w:sz w:val="21"/>
          <w:szCs w:val="21"/>
          <w:highlight w:val="none"/>
        </w:rPr>
      </w:pPr>
      <w:r>
        <w:rPr>
          <w:rFonts w:hint="eastAsia" w:ascii="黑体" w:hAnsi="宋体" w:eastAsia="黑体" w:cs="黑体"/>
          <w:i w:val="0"/>
          <w:iCs w:val="0"/>
          <w:caps w:val="0"/>
          <w:color w:val="auto"/>
          <w:spacing w:val="0"/>
          <w:kern w:val="0"/>
          <w:sz w:val="32"/>
          <w:szCs w:val="32"/>
          <w:highlight w:val="none"/>
          <w:lang w:val="en-US" w:eastAsia="zh-CN" w:bidi="ar"/>
        </w:rPr>
        <w:t>第十二条 </w:t>
      </w:r>
      <w:r>
        <w:rPr>
          <w:rFonts w:hint="eastAsia" w:ascii="仿宋_GB2312" w:eastAsia="仿宋_GB2312" w:cs="仿宋_GB2312"/>
          <w:i w:val="0"/>
          <w:iCs w:val="0"/>
          <w:caps w:val="0"/>
          <w:color w:val="auto"/>
          <w:spacing w:val="0"/>
          <w:kern w:val="0"/>
          <w:sz w:val="32"/>
          <w:szCs w:val="32"/>
          <w:highlight w:val="none"/>
          <w:lang w:val="en-US" w:eastAsia="zh-CN" w:bidi="ar"/>
        </w:rPr>
        <w:t>市商务局</w:t>
      </w:r>
      <w:r>
        <w:rPr>
          <w:rFonts w:hint="eastAsia" w:ascii="仿宋_GB2312" w:hAnsi="Calibri" w:eastAsia="仿宋_GB2312" w:cs="仿宋_GB2312"/>
          <w:i w:val="0"/>
          <w:iCs w:val="0"/>
          <w:caps w:val="0"/>
          <w:color w:val="auto"/>
          <w:spacing w:val="0"/>
          <w:kern w:val="0"/>
          <w:sz w:val="32"/>
          <w:szCs w:val="32"/>
          <w:highlight w:val="none"/>
          <w:lang w:val="en-US" w:eastAsia="zh-CN" w:bidi="ar"/>
        </w:rPr>
        <w:t>在官方网站对拟认定的</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老字号及其所属企业相关信息进行公示，公示期不少于</w:t>
      </w:r>
      <w:r>
        <w:rPr>
          <w:rFonts w:hint="eastAsia" w:ascii="仿宋_GB2312" w:eastAsia="仿宋_GB2312" w:cs="仿宋_GB2312"/>
          <w:i w:val="0"/>
          <w:iCs w:val="0"/>
          <w:caps w:val="0"/>
          <w:color w:val="auto"/>
          <w:spacing w:val="0"/>
          <w:kern w:val="0"/>
          <w:sz w:val="32"/>
          <w:szCs w:val="32"/>
          <w:highlight w:val="none"/>
          <w:lang w:val="en-US" w:eastAsia="zh-CN" w:bidi="ar"/>
        </w:rPr>
        <w:t>7</w:t>
      </w:r>
      <w:r>
        <w:rPr>
          <w:rFonts w:hint="eastAsia" w:ascii="仿宋_GB2312" w:hAnsi="Calibri" w:eastAsia="仿宋_GB2312" w:cs="仿宋_GB2312"/>
          <w:i w:val="0"/>
          <w:iCs w:val="0"/>
          <w:caps w:val="0"/>
          <w:color w:val="auto"/>
          <w:spacing w:val="0"/>
          <w:kern w:val="0"/>
          <w:sz w:val="32"/>
          <w:szCs w:val="32"/>
          <w:highlight w:val="none"/>
          <w:lang w:val="en-US" w:eastAsia="zh-CN" w:bidi="ar"/>
        </w:rPr>
        <w:t>日。任何单位或个人对名单有不同意见的，均可向</w:t>
      </w:r>
      <w:r>
        <w:rPr>
          <w:rFonts w:hint="eastAsia" w:ascii="仿宋_GB2312" w:eastAsia="仿宋_GB2312" w:cs="仿宋_GB2312"/>
          <w:i w:val="0"/>
          <w:iCs w:val="0"/>
          <w:caps w:val="0"/>
          <w:color w:val="auto"/>
          <w:spacing w:val="0"/>
          <w:kern w:val="0"/>
          <w:sz w:val="32"/>
          <w:szCs w:val="32"/>
          <w:highlight w:val="none"/>
          <w:lang w:val="en-US" w:eastAsia="zh-CN" w:bidi="ar"/>
        </w:rPr>
        <w:t>市商务局</w:t>
      </w:r>
      <w:r>
        <w:rPr>
          <w:rFonts w:hint="eastAsia" w:ascii="仿宋_GB2312" w:hAnsi="Calibri" w:eastAsia="仿宋_GB2312" w:cs="仿宋_GB2312"/>
          <w:i w:val="0"/>
          <w:iCs w:val="0"/>
          <w:caps w:val="0"/>
          <w:color w:val="auto"/>
          <w:spacing w:val="0"/>
          <w:kern w:val="0"/>
          <w:sz w:val="32"/>
          <w:szCs w:val="32"/>
          <w:highlight w:val="none"/>
          <w:lang w:val="en-US" w:eastAsia="zh-CN" w:bidi="ar"/>
        </w:rPr>
        <w:t>提出异议，并提供详实的书面举证材料。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仿宋_GB2312" w:hAnsi="Calibri" w:eastAsia="仿宋_GB2312" w:cs="仿宋_GB2312"/>
          <w:i w:val="0"/>
          <w:iCs w:val="0"/>
          <w:caps w:val="0"/>
          <w:color w:val="auto"/>
          <w:spacing w:val="0"/>
          <w:kern w:val="0"/>
          <w:sz w:val="32"/>
          <w:szCs w:val="32"/>
          <w:highlight w:val="none"/>
          <w:lang w:val="en-US" w:eastAsia="zh-CN" w:bidi="ar"/>
        </w:rPr>
      </w:pPr>
      <w:r>
        <w:rPr>
          <w:rFonts w:hint="eastAsia" w:ascii="仿宋_GB2312" w:eastAsia="仿宋_GB2312" w:cs="仿宋_GB2312"/>
          <w:i w:val="0"/>
          <w:iCs w:val="0"/>
          <w:caps w:val="0"/>
          <w:color w:val="auto"/>
          <w:spacing w:val="0"/>
          <w:kern w:val="0"/>
          <w:sz w:val="32"/>
          <w:szCs w:val="32"/>
          <w:highlight w:val="none"/>
          <w:lang w:val="en-US" w:eastAsia="zh-CN" w:bidi="ar"/>
        </w:rPr>
        <w:t>市商务局</w:t>
      </w:r>
      <w:r>
        <w:rPr>
          <w:rFonts w:hint="eastAsia" w:ascii="仿宋_GB2312" w:hAnsi="Calibri" w:eastAsia="仿宋_GB2312" w:cs="仿宋_GB2312"/>
          <w:i w:val="0"/>
          <w:iCs w:val="0"/>
          <w:caps w:val="0"/>
          <w:color w:val="auto"/>
          <w:spacing w:val="0"/>
          <w:kern w:val="0"/>
          <w:sz w:val="32"/>
          <w:szCs w:val="32"/>
          <w:highlight w:val="none"/>
          <w:lang w:val="en-US" w:eastAsia="zh-CN" w:bidi="ar"/>
        </w:rPr>
        <w:t>在接到异议后会同相关部门组织专家对异议情况进行复核</w:t>
      </w:r>
      <w:r>
        <w:rPr>
          <w:rFonts w:hint="eastAsia" w:ascii="仿宋_GB2312" w:eastAsia="仿宋_GB2312" w:cs="仿宋_GB2312"/>
          <w:i w:val="0"/>
          <w:iCs w:val="0"/>
          <w:caps w:val="0"/>
          <w:color w:val="auto"/>
          <w:spacing w:val="0"/>
          <w:kern w:val="0"/>
          <w:sz w:val="32"/>
          <w:szCs w:val="32"/>
          <w:highlight w:val="none"/>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黑体" w:hAnsi="宋体" w:eastAsia="黑体" w:cs="黑体"/>
          <w:i w:val="0"/>
          <w:iCs w:val="0"/>
          <w:caps w:val="0"/>
          <w:color w:val="auto"/>
          <w:spacing w:val="0"/>
          <w:kern w:val="0"/>
          <w:sz w:val="32"/>
          <w:szCs w:val="32"/>
          <w:highlight w:val="none"/>
          <w:lang w:val="en-US" w:eastAsia="zh-CN" w:bidi="ar"/>
        </w:rPr>
        <w:t>第十三条 </w:t>
      </w:r>
      <w:r>
        <w:rPr>
          <w:rFonts w:hint="eastAsia" w:ascii="仿宋_GB2312" w:hAnsi="Calibri" w:eastAsia="仿宋_GB2312" w:cs="仿宋_GB2312"/>
          <w:i w:val="0"/>
          <w:iCs w:val="0"/>
          <w:caps w:val="0"/>
          <w:color w:val="auto"/>
          <w:spacing w:val="0"/>
          <w:kern w:val="0"/>
          <w:sz w:val="32"/>
          <w:szCs w:val="32"/>
          <w:highlight w:val="none"/>
          <w:lang w:val="en-US" w:eastAsia="zh-CN" w:bidi="ar"/>
        </w:rPr>
        <w:t>在公示期间无异议或异议不成立的，由</w:t>
      </w:r>
      <w:r>
        <w:rPr>
          <w:rFonts w:hint="eastAsia" w:ascii="仿宋_GB2312" w:eastAsia="仿宋_GB2312" w:cs="仿宋_GB2312"/>
          <w:i w:val="0"/>
          <w:iCs w:val="0"/>
          <w:caps w:val="0"/>
          <w:color w:val="auto"/>
          <w:spacing w:val="0"/>
          <w:kern w:val="0"/>
          <w:sz w:val="32"/>
          <w:szCs w:val="32"/>
          <w:highlight w:val="none"/>
          <w:lang w:val="en-US" w:eastAsia="zh-CN" w:bidi="ar"/>
        </w:rPr>
        <w:t>市商务局</w:t>
      </w:r>
      <w:r>
        <w:rPr>
          <w:rFonts w:hint="eastAsia" w:ascii="仿宋_GB2312" w:hAnsi="Calibri" w:eastAsia="仿宋_GB2312" w:cs="仿宋_GB2312"/>
          <w:i w:val="0"/>
          <w:iCs w:val="0"/>
          <w:caps w:val="0"/>
          <w:color w:val="auto"/>
          <w:spacing w:val="0"/>
          <w:kern w:val="0"/>
          <w:sz w:val="32"/>
          <w:szCs w:val="32"/>
          <w:highlight w:val="none"/>
          <w:lang w:val="en-US" w:eastAsia="zh-CN" w:bidi="ar"/>
        </w:rPr>
        <w:t>会同相关部门列入</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w:t>
      </w:r>
      <w:bookmarkStart w:id="0" w:name="_GoBack"/>
      <w:bookmarkEnd w:id="0"/>
      <w:r>
        <w:rPr>
          <w:rFonts w:hint="eastAsia" w:ascii="仿宋_GB2312" w:hAnsi="Calibri" w:eastAsia="仿宋_GB2312" w:cs="仿宋_GB2312"/>
          <w:i w:val="0"/>
          <w:iCs w:val="0"/>
          <w:caps w:val="0"/>
          <w:color w:val="auto"/>
          <w:spacing w:val="0"/>
          <w:kern w:val="0"/>
          <w:sz w:val="32"/>
          <w:szCs w:val="32"/>
          <w:highlight w:val="none"/>
          <w:lang w:val="en-US" w:eastAsia="zh-CN" w:bidi="ar"/>
        </w:rPr>
        <w:t>名录并向社会公布，依据本办法授予</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老字号标识使用权、颁发</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老字号牌匾。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Calibri" w:eastAsia="仿宋_GB2312" w:cs="仿宋_GB2312"/>
          <w:i w:val="0"/>
          <w:iCs w:val="0"/>
          <w:caps w:val="0"/>
          <w:color w:val="auto"/>
          <w:spacing w:val="0"/>
          <w:kern w:val="0"/>
          <w:sz w:val="32"/>
          <w:szCs w:val="32"/>
          <w:highlight w:val="none"/>
          <w:lang w:val="en-US" w:eastAsia="zh-CN" w:bidi="ar"/>
        </w:rPr>
      </w:pPr>
      <w:r>
        <w:rPr>
          <w:rFonts w:hint="eastAsia" w:ascii="黑体" w:hAnsi="宋体" w:eastAsia="黑体" w:cs="黑体"/>
          <w:i w:val="0"/>
          <w:iCs w:val="0"/>
          <w:caps w:val="0"/>
          <w:color w:val="auto"/>
          <w:spacing w:val="0"/>
          <w:kern w:val="0"/>
          <w:sz w:val="32"/>
          <w:szCs w:val="32"/>
          <w:highlight w:val="none"/>
          <w:lang w:val="en-US" w:eastAsia="zh-CN" w:bidi="ar"/>
        </w:rPr>
        <w:t>第十四条 </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老字号标识</w:t>
      </w:r>
      <w:r>
        <w:rPr>
          <w:rFonts w:hint="eastAsia" w:ascii="仿宋_GB2312" w:eastAsia="仿宋_GB2312" w:cs="仿宋_GB2312"/>
          <w:i w:val="0"/>
          <w:iCs w:val="0"/>
          <w:caps w:val="0"/>
          <w:color w:val="auto"/>
          <w:spacing w:val="0"/>
          <w:kern w:val="0"/>
          <w:sz w:val="32"/>
          <w:szCs w:val="32"/>
          <w:highlight w:val="none"/>
          <w:lang w:val="en-US" w:eastAsia="zh-CN" w:bidi="ar"/>
        </w:rPr>
        <w:t>属市商务局</w:t>
      </w:r>
      <w:r>
        <w:rPr>
          <w:rFonts w:hint="eastAsia" w:ascii="仿宋_GB2312" w:hAnsi="Calibri" w:eastAsia="仿宋_GB2312" w:cs="仿宋_GB2312"/>
          <w:i w:val="0"/>
          <w:iCs w:val="0"/>
          <w:caps w:val="0"/>
          <w:color w:val="auto"/>
          <w:spacing w:val="0"/>
          <w:kern w:val="0"/>
          <w:sz w:val="32"/>
          <w:szCs w:val="32"/>
          <w:highlight w:val="none"/>
          <w:lang w:val="en-US" w:eastAsia="zh-CN" w:bidi="ar"/>
        </w:rPr>
        <w:t>标志，</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老字号企业可依据《</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老字号标识和牌匾使用规定》（</w:t>
      </w:r>
      <w:r>
        <w:rPr>
          <w:rFonts w:hint="eastAsia" w:ascii="仿宋_GB2312" w:eastAsia="仿宋_GB2312" w:cs="仿宋_GB2312"/>
          <w:i w:val="0"/>
          <w:iCs w:val="0"/>
          <w:caps w:val="0"/>
          <w:color w:val="auto"/>
          <w:spacing w:val="0"/>
          <w:kern w:val="0"/>
          <w:sz w:val="32"/>
          <w:szCs w:val="32"/>
          <w:highlight w:val="none"/>
          <w:lang w:val="en-US" w:eastAsia="zh-CN" w:bidi="ar"/>
        </w:rPr>
        <w:t>详见</w:t>
      </w:r>
      <w:r>
        <w:rPr>
          <w:rFonts w:hint="eastAsia" w:ascii="仿宋_GB2312" w:hAnsi="Calibri" w:eastAsia="仿宋_GB2312" w:cs="仿宋_GB2312"/>
          <w:i w:val="0"/>
          <w:iCs w:val="0"/>
          <w:caps w:val="0"/>
          <w:color w:val="auto"/>
          <w:spacing w:val="0"/>
          <w:kern w:val="0"/>
          <w:sz w:val="32"/>
          <w:szCs w:val="32"/>
          <w:highlight w:val="none"/>
          <w:lang w:val="en-US" w:eastAsia="zh-CN" w:bidi="ar"/>
        </w:rPr>
        <w:t>附件</w:t>
      </w:r>
      <w:r>
        <w:rPr>
          <w:rFonts w:hint="eastAsia" w:ascii="仿宋_GB2312" w:eastAsia="仿宋_GB2312" w:cs="仿宋_GB2312"/>
          <w:i w:val="0"/>
          <w:iCs w:val="0"/>
          <w:caps w:val="0"/>
          <w:color w:val="auto"/>
          <w:spacing w:val="0"/>
          <w:kern w:val="0"/>
          <w:sz w:val="32"/>
          <w:szCs w:val="32"/>
          <w:highlight w:val="none"/>
          <w:lang w:val="en-US" w:eastAsia="zh-CN" w:bidi="ar"/>
        </w:rPr>
        <w:t>1</w:t>
      </w:r>
      <w:r>
        <w:rPr>
          <w:rFonts w:hint="eastAsia" w:ascii="仿宋_GB2312" w:hAnsi="Calibri" w:eastAsia="仿宋_GB2312" w:cs="仿宋_GB2312"/>
          <w:i w:val="0"/>
          <w:iCs w:val="0"/>
          <w:caps w:val="0"/>
          <w:color w:val="auto"/>
          <w:spacing w:val="0"/>
          <w:kern w:val="0"/>
          <w:sz w:val="32"/>
          <w:szCs w:val="32"/>
          <w:highlight w:val="none"/>
          <w:lang w:val="en-US" w:eastAsia="zh-CN" w:bidi="ar"/>
        </w:rPr>
        <w:t>），使用</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老字号标识和牌匾。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hAnsi="Calibri" w:eastAsia="仿宋_GB2312" w:cs="仿宋_GB2312"/>
          <w:i w:val="0"/>
          <w:iCs w:val="0"/>
          <w:caps w:val="0"/>
          <w:color w:val="auto"/>
          <w:spacing w:val="0"/>
          <w:kern w:val="0"/>
          <w:sz w:val="32"/>
          <w:szCs w:val="32"/>
          <w:highlight w:val="none"/>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Calibri" w:hAnsi="Calibri" w:cs="Calibri"/>
          <w:i w:val="0"/>
          <w:iCs w:val="0"/>
          <w:color w:val="auto"/>
          <w:sz w:val="21"/>
          <w:szCs w:val="21"/>
          <w:highlight w:val="none"/>
        </w:rPr>
      </w:pPr>
      <w:r>
        <w:rPr>
          <w:rFonts w:hint="eastAsia" w:ascii="黑体" w:hAnsi="宋体" w:eastAsia="黑体" w:cs="黑体"/>
          <w:i w:val="0"/>
          <w:iCs w:val="0"/>
          <w:caps w:val="0"/>
          <w:color w:val="auto"/>
          <w:spacing w:val="0"/>
          <w:kern w:val="0"/>
          <w:sz w:val="32"/>
          <w:szCs w:val="32"/>
          <w:highlight w:val="none"/>
          <w:lang w:val="en-US" w:eastAsia="zh-CN" w:bidi="ar"/>
        </w:rPr>
        <w:t>第四章</w:t>
      </w:r>
      <w:r>
        <w:rPr>
          <w:rFonts w:hint="eastAsia" w:ascii="黑体" w:hAnsi="宋体" w:eastAsia="黑体" w:cs="黑体"/>
          <w:i w:val="0"/>
          <w:iCs w:val="0"/>
          <w:caps w:val="0"/>
          <w:color w:val="auto"/>
          <w:spacing w:val="0"/>
          <w:kern w:val="0"/>
          <w:sz w:val="32"/>
          <w:szCs w:val="32"/>
          <w:highlight w:val="none"/>
          <w:lang w:val="en-US" w:eastAsia="zh" w:bidi="ar"/>
        </w:rPr>
        <w:t>　</w:t>
      </w:r>
      <w:r>
        <w:rPr>
          <w:rFonts w:hint="eastAsia" w:ascii="黑体" w:hAnsi="宋体" w:eastAsia="黑体" w:cs="黑体"/>
          <w:i w:val="0"/>
          <w:iCs w:val="0"/>
          <w:caps w:val="0"/>
          <w:color w:val="auto"/>
          <w:spacing w:val="0"/>
          <w:kern w:val="0"/>
          <w:sz w:val="32"/>
          <w:szCs w:val="32"/>
          <w:highlight w:val="none"/>
          <w:lang w:val="en-US" w:eastAsia="zh-CN" w:bidi="ar"/>
        </w:rPr>
        <w:t>动态管理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黑体" w:hAnsi="宋体" w:eastAsia="黑体" w:cs="黑体"/>
          <w:i w:val="0"/>
          <w:iCs w:val="0"/>
          <w:caps w:val="0"/>
          <w:color w:val="auto"/>
          <w:spacing w:val="0"/>
          <w:kern w:val="0"/>
          <w:sz w:val="32"/>
          <w:szCs w:val="32"/>
          <w:highlight w:val="none"/>
          <w:lang w:val="en-US" w:eastAsia="zh-CN" w:bidi="ar"/>
        </w:rPr>
        <w:t>第十五条 </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老字号企业的企业名称或其商标发生以下变化的，应当自发生变化之日起30个工作日之内向</w:t>
      </w:r>
      <w:r>
        <w:rPr>
          <w:rFonts w:hint="eastAsia" w:ascii="仿宋_GB2312" w:eastAsia="仿宋_GB2312" w:cs="仿宋_GB2312"/>
          <w:i w:val="0"/>
          <w:iCs w:val="0"/>
          <w:caps w:val="0"/>
          <w:color w:val="auto"/>
          <w:spacing w:val="0"/>
          <w:kern w:val="0"/>
          <w:sz w:val="32"/>
          <w:szCs w:val="32"/>
          <w:highlight w:val="none"/>
          <w:lang w:val="en-US" w:eastAsia="zh-CN" w:bidi="ar"/>
        </w:rPr>
        <w:t>市</w:t>
      </w:r>
      <w:r>
        <w:rPr>
          <w:rFonts w:hint="eastAsia" w:ascii="仿宋_GB2312" w:hAnsi="Calibri" w:eastAsia="仿宋_GB2312" w:cs="仿宋_GB2312"/>
          <w:i w:val="0"/>
          <w:iCs w:val="0"/>
          <w:caps w:val="0"/>
          <w:color w:val="auto"/>
          <w:spacing w:val="0"/>
          <w:kern w:val="0"/>
          <w:sz w:val="32"/>
          <w:szCs w:val="32"/>
          <w:highlight w:val="none"/>
          <w:lang w:val="en-US" w:eastAsia="zh-CN" w:bidi="ar"/>
        </w:rPr>
        <w:t>商务</w:t>
      </w:r>
      <w:r>
        <w:rPr>
          <w:rFonts w:hint="eastAsia" w:ascii="仿宋_GB2312" w:eastAsia="仿宋_GB2312" w:cs="仿宋_GB2312"/>
          <w:i w:val="0"/>
          <w:iCs w:val="0"/>
          <w:caps w:val="0"/>
          <w:color w:val="auto"/>
          <w:spacing w:val="0"/>
          <w:kern w:val="0"/>
          <w:sz w:val="32"/>
          <w:szCs w:val="32"/>
          <w:highlight w:val="none"/>
          <w:lang w:val="en-US" w:eastAsia="zh-CN" w:bidi="ar"/>
        </w:rPr>
        <w:t>局</w:t>
      </w:r>
      <w:r>
        <w:rPr>
          <w:rFonts w:hint="eastAsia" w:ascii="仿宋_GB2312" w:hAnsi="Calibri" w:eastAsia="仿宋_GB2312" w:cs="仿宋_GB2312"/>
          <w:i w:val="0"/>
          <w:iCs w:val="0"/>
          <w:caps w:val="0"/>
          <w:color w:val="auto"/>
          <w:spacing w:val="0"/>
          <w:kern w:val="0"/>
          <w:sz w:val="32"/>
          <w:szCs w:val="32"/>
          <w:highlight w:val="none"/>
          <w:lang w:val="en-US" w:eastAsia="zh-CN" w:bidi="ar"/>
        </w:rPr>
        <w:t>提出申请，并详细说明发生变化的理由：</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hAnsi="Calibri" w:eastAsia="仿宋_GB2312" w:cs="仿宋_GB2312"/>
          <w:i w:val="0"/>
          <w:iCs w:val="0"/>
          <w:caps w:val="0"/>
          <w:color w:val="auto"/>
          <w:spacing w:val="0"/>
          <w:kern w:val="0"/>
          <w:sz w:val="32"/>
          <w:szCs w:val="32"/>
          <w:highlight w:val="none"/>
          <w:lang w:val="en-US" w:eastAsia="zh-CN" w:bidi="ar"/>
        </w:rPr>
        <w:t>（一）企业名称发生变化的；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hAnsi="Calibri" w:eastAsia="仿宋_GB2312" w:cs="仿宋_GB2312"/>
          <w:i w:val="0"/>
          <w:iCs w:val="0"/>
          <w:caps w:val="0"/>
          <w:color w:val="auto"/>
          <w:spacing w:val="0"/>
          <w:kern w:val="0"/>
          <w:sz w:val="32"/>
          <w:szCs w:val="32"/>
          <w:highlight w:val="none"/>
          <w:lang w:val="en-US" w:eastAsia="zh-CN" w:bidi="ar"/>
        </w:rPr>
        <w:t>（二）在不丧失老字号注册商标使用权的前提下，该注册商标发生转让的。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eastAsia="仿宋_GB2312" w:cs="仿宋_GB2312"/>
          <w:i w:val="0"/>
          <w:iCs w:val="0"/>
          <w:caps w:val="0"/>
          <w:color w:val="auto"/>
          <w:spacing w:val="0"/>
          <w:kern w:val="0"/>
          <w:sz w:val="32"/>
          <w:szCs w:val="32"/>
          <w:highlight w:val="none"/>
          <w:lang w:val="en-US" w:eastAsia="zh-CN" w:bidi="ar"/>
        </w:rPr>
        <w:t>市商务局</w:t>
      </w:r>
      <w:r>
        <w:rPr>
          <w:rFonts w:hint="eastAsia" w:ascii="仿宋_GB2312" w:hAnsi="Calibri" w:eastAsia="仿宋_GB2312" w:cs="仿宋_GB2312"/>
          <w:i w:val="0"/>
          <w:iCs w:val="0"/>
          <w:caps w:val="0"/>
          <w:color w:val="auto"/>
          <w:spacing w:val="0"/>
          <w:kern w:val="0"/>
          <w:sz w:val="32"/>
          <w:szCs w:val="32"/>
          <w:highlight w:val="none"/>
          <w:lang w:val="en-US" w:eastAsia="zh-CN" w:bidi="ar"/>
        </w:rPr>
        <w:t>在</w:t>
      </w:r>
      <w:r>
        <w:rPr>
          <w:rFonts w:hint="eastAsia" w:ascii="仿宋_GB2312" w:eastAsia="仿宋_GB2312" w:cs="仿宋_GB2312"/>
          <w:i w:val="0"/>
          <w:iCs w:val="0"/>
          <w:caps w:val="0"/>
          <w:color w:val="auto"/>
          <w:spacing w:val="0"/>
          <w:kern w:val="0"/>
          <w:sz w:val="32"/>
          <w:szCs w:val="32"/>
          <w:highlight w:val="none"/>
          <w:lang w:val="en-US" w:eastAsia="zh-CN" w:bidi="ar"/>
        </w:rPr>
        <w:t>收到企业申报材料</w:t>
      </w:r>
      <w:r>
        <w:rPr>
          <w:rFonts w:hint="eastAsia" w:ascii="仿宋_GB2312" w:hAnsi="Calibri" w:eastAsia="仿宋_GB2312" w:cs="仿宋_GB2312"/>
          <w:i w:val="0"/>
          <w:iCs w:val="0"/>
          <w:caps w:val="0"/>
          <w:color w:val="auto"/>
          <w:spacing w:val="0"/>
          <w:kern w:val="0"/>
          <w:sz w:val="32"/>
          <w:szCs w:val="32"/>
          <w:highlight w:val="none"/>
          <w:lang w:val="en-US" w:eastAsia="zh-CN" w:bidi="ar"/>
        </w:rPr>
        <w:t>后，应按照</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老字号认定条件进行审核，必要时商相关部门联合审核，审核过程中可根据需要现场核实相关情况或要求企业补充提供相关材料，并</w:t>
      </w:r>
      <w:r>
        <w:rPr>
          <w:rFonts w:hint="eastAsia" w:ascii="仿宋_GB2312" w:eastAsia="仿宋_GB2312" w:cs="仿宋_GB2312"/>
          <w:i w:val="0"/>
          <w:iCs w:val="0"/>
          <w:caps w:val="0"/>
          <w:color w:val="auto"/>
          <w:spacing w:val="0"/>
          <w:kern w:val="0"/>
          <w:sz w:val="32"/>
          <w:szCs w:val="32"/>
          <w:highlight w:val="none"/>
          <w:lang w:val="en-US" w:eastAsia="zh-CN" w:bidi="ar"/>
        </w:rPr>
        <w:t>在市商务局官网公布</w:t>
      </w:r>
      <w:r>
        <w:rPr>
          <w:rFonts w:hint="eastAsia" w:ascii="仿宋_GB2312" w:hAnsi="Calibri" w:eastAsia="仿宋_GB2312" w:cs="仿宋_GB2312"/>
          <w:i w:val="0"/>
          <w:iCs w:val="0"/>
          <w:caps w:val="0"/>
          <w:color w:val="auto"/>
          <w:spacing w:val="0"/>
          <w:kern w:val="0"/>
          <w:sz w:val="32"/>
          <w:szCs w:val="32"/>
          <w:highlight w:val="none"/>
          <w:lang w:val="en-US" w:eastAsia="zh-CN" w:bidi="ar"/>
        </w:rPr>
        <w:t>企业变更信息。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hAnsi="Calibri" w:eastAsia="仿宋_GB2312" w:cs="仿宋_GB2312"/>
          <w:i w:val="0"/>
          <w:iCs w:val="0"/>
          <w:caps w:val="0"/>
          <w:color w:val="auto"/>
          <w:spacing w:val="0"/>
          <w:kern w:val="0"/>
          <w:sz w:val="32"/>
          <w:szCs w:val="32"/>
          <w:highlight w:val="none"/>
          <w:lang w:val="en-US" w:eastAsia="zh-CN" w:bidi="ar"/>
        </w:rPr>
      </w:pPr>
      <w:r>
        <w:rPr>
          <w:rFonts w:hint="eastAsia" w:ascii="黑体" w:hAnsi="宋体" w:eastAsia="黑体" w:cs="黑体"/>
          <w:i w:val="0"/>
          <w:iCs w:val="0"/>
          <w:caps w:val="0"/>
          <w:color w:val="auto"/>
          <w:spacing w:val="0"/>
          <w:kern w:val="0"/>
          <w:sz w:val="32"/>
          <w:szCs w:val="32"/>
          <w:highlight w:val="none"/>
          <w:lang w:val="en-US" w:eastAsia="zh-CN" w:bidi="ar"/>
        </w:rPr>
        <w:t>第十六条 </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老字号企业应当于每年</w:t>
      </w:r>
      <w:r>
        <w:rPr>
          <w:rFonts w:hint="eastAsia" w:ascii="仿宋_GB2312" w:eastAsia="仿宋_GB2312" w:cs="仿宋_GB2312"/>
          <w:i w:val="0"/>
          <w:iCs w:val="0"/>
          <w:caps w:val="0"/>
          <w:color w:val="auto"/>
          <w:spacing w:val="0"/>
          <w:kern w:val="0"/>
          <w:sz w:val="32"/>
          <w:szCs w:val="32"/>
          <w:highlight w:val="none"/>
          <w:lang w:val="en-US" w:eastAsia="zh-CN" w:bidi="ar"/>
        </w:rPr>
        <w:t>1</w:t>
      </w:r>
      <w:r>
        <w:rPr>
          <w:rFonts w:hint="eastAsia" w:ascii="仿宋_GB2312" w:hAnsi="Calibri" w:eastAsia="仿宋_GB2312" w:cs="仿宋_GB2312"/>
          <w:i w:val="0"/>
          <w:iCs w:val="0"/>
          <w:caps w:val="0"/>
          <w:color w:val="auto"/>
          <w:spacing w:val="0"/>
          <w:kern w:val="0"/>
          <w:sz w:val="32"/>
          <w:szCs w:val="32"/>
          <w:highlight w:val="none"/>
          <w:lang w:val="en-US" w:eastAsia="zh-CN" w:bidi="ar"/>
        </w:rPr>
        <w:t>月31日前</w:t>
      </w:r>
      <w:r>
        <w:rPr>
          <w:rFonts w:hint="eastAsia" w:ascii="仿宋_GB2312" w:eastAsia="仿宋_GB2312" w:cs="仿宋_GB2312"/>
          <w:i w:val="0"/>
          <w:iCs w:val="0"/>
          <w:caps w:val="0"/>
          <w:color w:val="auto"/>
          <w:spacing w:val="0"/>
          <w:kern w:val="0"/>
          <w:sz w:val="32"/>
          <w:szCs w:val="32"/>
          <w:highlight w:val="none"/>
          <w:lang w:val="en-US" w:eastAsia="zh-CN" w:bidi="ar"/>
        </w:rPr>
        <w:t>向区级商务部门报送</w:t>
      </w:r>
      <w:r>
        <w:rPr>
          <w:rFonts w:hint="eastAsia" w:ascii="仿宋_GB2312" w:hAnsi="Calibri" w:eastAsia="仿宋_GB2312" w:cs="仿宋_GB2312"/>
          <w:i w:val="0"/>
          <w:iCs w:val="0"/>
          <w:caps w:val="0"/>
          <w:color w:val="auto"/>
          <w:spacing w:val="0"/>
          <w:kern w:val="0"/>
          <w:sz w:val="32"/>
          <w:szCs w:val="32"/>
          <w:highlight w:val="none"/>
          <w:lang w:val="en-US" w:eastAsia="zh-CN" w:bidi="ar"/>
        </w:rPr>
        <w:t>上一年度经营情况（上市公司可在年报公布后的5个工作日内上报）。</w:t>
      </w:r>
      <w:r>
        <w:rPr>
          <w:rFonts w:hint="eastAsia" w:ascii="仿宋_GB2312" w:eastAsia="仿宋_GB2312" w:cs="仿宋_GB2312"/>
          <w:i w:val="0"/>
          <w:iCs w:val="0"/>
          <w:caps w:val="0"/>
          <w:color w:val="auto"/>
          <w:spacing w:val="0"/>
          <w:kern w:val="0"/>
          <w:sz w:val="32"/>
          <w:szCs w:val="32"/>
          <w:highlight w:val="none"/>
          <w:lang w:val="en-US" w:eastAsia="zh-CN" w:bidi="ar"/>
        </w:rPr>
        <w:t>区级商务部门于每年3月10日前汇总报市商务局。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hAnsi="Calibri" w:eastAsia="仿宋_GB2312" w:cs="仿宋_GB2312"/>
          <w:i w:val="0"/>
          <w:iCs w:val="0"/>
          <w:caps w:val="0"/>
          <w:color w:val="auto"/>
          <w:spacing w:val="-6"/>
          <w:kern w:val="0"/>
          <w:sz w:val="32"/>
          <w:szCs w:val="32"/>
          <w:highlight w:val="none"/>
          <w:lang w:val="en-US" w:eastAsia="zh-CN" w:bidi="ar"/>
        </w:rPr>
      </w:pPr>
      <w:r>
        <w:rPr>
          <w:rFonts w:hint="eastAsia" w:ascii="黑体" w:hAnsi="宋体" w:eastAsia="黑体" w:cs="黑体"/>
          <w:i w:val="0"/>
          <w:iCs w:val="0"/>
          <w:caps w:val="0"/>
          <w:color w:val="auto"/>
          <w:spacing w:val="-6"/>
          <w:kern w:val="0"/>
          <w:sz w:val="32"/>
          <w:szCs w:val="32"/>
          <w:highlight w:val="none"/>
          <w:lang w:val="en-US" w:eastAsia="zh-CN" w:bidi="ar"/>
        </w:rPr>
        <w:t>第十七条 </w:t>
      </w:r>
      <w:r>
        <w:rPr>
          <w:rFonts w:hint="eastAsia" w:ascii="仿宋_GB2312" w:hAnsi="仿宋_GB2312" w:eastAsia="仿宋_GB2312" w:cs="仿宋_GB2312"/>
          <w:i w:val="0"/>
          <w:iCs w:val="0"/>
          <w:caps w:val="0"/>
          <w:color w:val="auto"/>
          <w:spacing w:val="-6"/>
          <w:kern w:val="0"/>
          <w:sz w:val="32"/>
          <w:szCs w:val="32"/>
          <w:highlight w:val="none"/>
          <w:lang w:val="en-US" w:eastAsia="zh-CN" w:bidi="ar"/>
        </w:rPr>
        <w:t>珠海市各级</w:t>
      </w:r>
      <w:r>
        <w:rPr>
          <w:rFonts w:hint="eastAsia" w:ascii="仿宋_GB2312" w:eastAsia="仿宋_GB2312" w:cs="仿宋_GB2312"/>
          <w:i w:val="0"/>
          <w:iCs w:val="0"/>
          <w:caps w:val="0"/>
          <w:color w:val="auto"/>
          <w:spacing w:val="-6"/>
          <w:kern w:val="0"/>
          <w:sz w:val="32"/>
          <w:szCs w:val="32"/>
          <w:highlight w:val="none"/>
          <w:lang w:val="en-US" w:eastAsia="zh-CN" w:bidi="ar"/>
        </w:rPr>
        <w:t>商务部门负责珠海</w:t>
      </w:r>
      <w:r>
        <w:rPr>
          <w:rFonts w:hint="eastAsia" w:ascii="仿宋_GB2312" w:hAnsi="Calibri" w:eastAsia="仿宋_GB2312" w:cs="仿宋_GB2312"/>
          <w:i w:val="0"/>
          <w:iCs w:val="0"/>
          <w:caps w:val="0"/>
          <w:color w:val="auto"/>
          <w:spacing w:val="-6"/>
          <w:kern w:val="0"/>
          <w:sz w:val="32"/>
          <w:szCs w:val="32"/>
          <w:highlight w:val="none"/>
          <w:lang w:val="en-US" w:eastAsia="zh-CN" w:bidi="ar"/>
        </w:rPr>
        <w:t>老字号日常监测，建立预警提醒和约谈机制，对出现本办法第十八条、第十九条、第二十条所列有关情形的</w:t>
      </w:r>
      <w:r>
        <w:rPr>
          <w:rFonts w:hint="eastAsia" w:ascii="仿宋_GB2312" w:eastAsia="仿宋_GB2312" w:cs="仿宋_GB2312"/>
          <w:i w:val="0"/>
          <w:iCs w:val="0"/>
          <w:caps w:val="0"/>
          <w:color w:val="auto"/>
          <w:spacing w:val="-6"/>
          <w:kern w:val="0"/>
          <w:sz w:val="32"/>
          <w:szCs w:val="32"/>
          <w:highlight w:val="none"/>
          <w:lang w:val="en-US" w:eastAsia="zh-CN" w:bidi="ar"/>
        </w:rPr>
        <w:t>珠海</w:t>
      </w:r>
      <w:r>
        <w:rPr>
          <w:rFonts w:hint="eastAsia" w:ascii="仿宋_GB2312" w:hAnsi="Calibri" w:eastAsia="仿宋_GB2312" w:cs="仿宋_GB2312"/>
          <w:i w:val="0"/>
          <w:iCs w:val="0"/>
          <w:caps w:val="0"/>
          <w:color w:val="auto"/>
          <w:spacing w:val="-6"/>
          <w:kern w:val="0"/>
          <w:sz w:val="32"/>
          <w:szCs w:val="32"/>
          <w:highlight w:val="none"/>
          <w:lang w:val="en-US" w:eastAsia="zh-CN" w:bidi="ar"/>
        </w:rPr>
        <w:t>老字号企业，分别采取相应管理措施</w:t>
      </w:r>
      <w:r>
        <w:rPr>
          <w:rFonts w:hint="eastAsia" w:ascii="仿宋_GB2312" w:eastAsia="仿宋_GB2312" w:cs="仿宋_GB2312"/>
          <w:i w:val="0"/>
          <w:iCs w:val="0"/>
          <w:caps w:val="0"/>
          <w:color w:val="auto"/>
          <w:spacing w:val="-6"/>
          <w:kern w:val="0"/>
          <w:sz w:val="32"/>
          <w:szCs w:val="32"/>
          <w:highlight w:val="none"/>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黑体" w:hAnsi="宋体" w:eastAsia="黑体" w:cs="黑体"/>
          <w:i w:val="0"/>
          <w:iCs w:val="0"/>
          <w:caps w:val="0"/>
          <w:color w:val="auto"/>
          <w:spacing w:val="0"/>
          <w:kern w:val="0"/>
          <w:sz w:val="32"/>
          <w:szCs w:val="32"/>
          <w:highlight w:val="none"/>
          <w:lang w:val="en-US" w:eastAsia="zh-CN" w:bidi="ar"/>
        </w:rPr>
        <w:t xml:space="preserve">第十八条 </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老字号企业出现下列情形之一的，由</w:t>
      </w:r>
      <w:r>
        <w:rPr>
          <w:rFonts w:hint="eastAsia" w:ascii="仿宋_GB2312" w:eastAsia="仿宋_GB2312" w:cs="仿宋_GB2312"/>
          <w:i w:val="0"/>
          <w:iCs w:val="0"/>
          <w:caps w:val="0"/>
          <w:color w:val="auto"/>
          <w:spacing w:val="0"/>
          <w:kern w:val="0"/>
          <w:sz w:val="32"/>
          <w:szCs w:val="32"/>
          <w:highlight w:val="none"/>
          <w:lang w:val="en-US" w:eastAsia="zh-CN" w:bidi="ar"/>
        </w:rPr>
        <w:t>所在区商务部门</w:t>
      </w:r>
      <w:r>
        <w:rPr>
          <w:rFonts w:hint="eastAsia" w:ascii="仿宋_GB2312" w:hAnsi="Calibri" w:eastAsia="仿宋_GB2312" w:cs="仿宋_GB2312"/>
          <w:i w:val="0"/>
          <w:iCs w:val="0"/>
          <w:caps w:val="0"/>
          <w:color w:val="auto"/>
          <w:spacing w:val="0"/>
          <w:kern w:val="0"/>
          <w:sz w:val="32"/>
          <w:szCs w:val="32"/>
          <w:highlight w:val="none"/>
          <w:lang w:val="en-US" w:eastAsia="zh-CN" w:bidi="ar"/>
        </w:rPr>
        <w:t>责令3个月内予以整改，必要时可约谈企业负责人</w:t>
      </w:r>
      <w:r>
        <w:rPr>
          <w:rFonts w:hint="eastAsia" w:ascii="仿宋_GB2312" w:eastAsia="仿宋_GB2312" w:cs="仿宋_GB2312"/>
          <w:i w:val="0"/>
          <w:iCs w:val="0"/>
          <w:caps w:val="0"/>
          <w:color w:val="auto"/>
          <w:spacing w:val="0"/>
          <w:kern w:val="0"/>
          <w:sz w:val="32"/>
          <w:szCs w:val="32"/>
          <w:highlight w:val="none"/>
          <w:lang w:val="en-US" w:eastAsia="zh-CN" w:bidi="ar"/>
        </w:rPr>
        <w:t>；其中市属企业及中央驻珠企业由市商务局责令整改、约谈</w:t>
      </w:r>
      <w:r>
        <w:rPr>
          <w:rFonts w:hint="eastAsia" w:ascii="仿宋_GB2312" w:hAnsi="Calibri" w:eastAsia="仿宋_GB2312" w:cs="仿宋_GB2312"/>
          <w:i w:val="0"/>
          <w:iCs w:val="0"/>
          <w:caps w:val="0"/>
          <w:color w:val="auto"/>
          <w:spacing w:val="0"/>
          <w:kern w:val="0"/>
          <w:sz w:val="32"/>
          <w:szCs w:val="32"/>
          <w:highlight w:val="none"/>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hAnsi="Calibri" w:eastAsia="仿宋_GB2312" w:cs="仿宋_GB2312"/>
          <w:i w:val="0"/>
          <w:iCs w:val="0"/>
          <w:caps w:val="0"/>
          <w:color w:val="auto"/>
          <w:spacing w:val="0"/>
          <w:kern w:val="0"/>
          <w:sz w:val="32"/>
          <w:szCs w:val="32"/>
          <w:highlight w:val="none"/>
          <w:lang w:val="en-US" w:eastAsia="zh-CN" w:bidi="ar"/>
        </w:rPr>
        <w:t>（一）企业信息发生变化后未按本办法第十五条规定及时提交申请的；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hAnsi="Calibri" w:eastAsia="仿宋_GB2312" w:cs="仿宋_GB2312"/>
          <w:i w:val="0"/>
          <w:iCs w:val="0"/>
          <w:caps w:val="0"/>
          <w:color w:val="auto"/>
          <w:spacing w:val="0"/>
          <w:kern w:val="0"/>
          <w:sz w:val="32"/>
          <w:szCs w:val="32"/>
          <w:highlight w:val="none"/>
          <w:lang w:val="en-US" w:eastAsia="zh-CN" w:bidi="ar"/>
        </w:rPr>
        <w:t>（二）未按本办法第十六条规定按时</w:t>
      </w:r>
      <w:r>
        <w:rPr>
          <w:rFonts w:hint="eastAsia" w:ascii="仿宋_GB2312" w:eastAsia="仿宋_GB2312" w:cs="仿宋_GB2312"/>
          <w:i w:val="0"/>
          <w:iCs w:val="0"/>
          <w:caps w:val="0"/>
          <w:color w:val="auto"/>
          <w:spacing w:val="0"/>
          <w:kern w:val="0"/>
          <w:sz w:val="32"/>
          <w:szCs w:val="32"/>
          <w:highlight w:val="none"/>
          <w:lang w:val="en-US" w:eastAsia="zh-CN" w:bidi="ar"/>
        </w:rPr>
        <w:t>提交</w:t>
      </w:r>
      <w:r>
        <w:rPr>
          <w:rFonts w:hint="eastAsia" w:ascii="仿宋_GB2312" w:hAnsi="Calibri" w:eastAsia="仿宋_GB2312" w:cs="仿宋_GB2312"/>
          <w:i w:val="0"/>
          <w:iCs w:val="0"/>
          <w:caps w:val="0"/>
          <w:color w:val="auto"/>
          <w:spacing w:val="0"/>
          <w:kern w:val="0"/>
          <w:sz w:val="32"/>
          <w:szCs w:val="32"/>
          <w:highlight w:val="none"/>
          <w:lang w:val="en-US" w:eastAsia="zh-CN" w:bidi="ar"/>
        </w:rPr>
        <w:t>相关信息的；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hAnsi="Calibri" w:eastAsia="仿宋_GB2312" w:cs="仿宋_GB2312"/>
          <w:i w:val="0"/>
          <w:iCs w:val="0"/>
          <w:caps w:val="0"/>
          <w:color w:val="auto"/>
          <w:spacing w:val="0"/>
          <w:kern w:val="0"/>
          <w:sz w:val="32"/>
          <w:szCs w:val="32"/>
          <w:highlight w:val="none"/>
          <w:lang w:val="en-US" w:eastAsia="zh-CN" w:bidi="ar"/>
        </w:rPr>
        <w:t>（三）</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老字号标识、牌匾使用不符合《</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老字号标识和牌匾使用规定》的；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hAnsi="Calibri" w:eastAsia="仿宋_GB2312" w:cs="仿宋_GB2312"/>
          <w:i w:val="0"/>
          <w:iCs w:val="0"/>
          <w:caps w:val="0"/>
          <w:color w:val="auto"/>
          <w:spacing w:val="0"/>
          <w:kern w:val="0"/>
          <w:sz w:val="32"/>
          <w:szCs w:val="32"/>
          <w:highlight w:val="none"/>
          <w:lang w:val="en-US" w:eastAsia="zh-CN" w:bidi="ar"/>
        </w:rPr>
        <w:t>（四）因经营问题被相关部门作出行政处罚，或引起社会不良影响的；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eastAsia="仿宋_GB2312" w:cs="仿宋_GB2312"/>
          <w:i w:val="0"/>
          <w:iCs w:val="0"/>
          <w:caps w:val="0"/>
          <w:color w:val="auto"/>
          <w:spacing w:val="0"/>
          <w:kern w:val="0"/>
          <w:sz w:val="32"/>
          <w:szCs w:val="32"/>
          <w:highlight w:val="none"/>
          <w:lang w:val="en-US" w:eastAsia="zh-CN" w:bidi="ar"/>
        </w:rPr>
      </w:pPr>
      <w:r>
        <w:rPr>
          <w:rFonts w:hint="eastAsia" w:ascii="仿宋_GB2312" w:hAnsi="Calibri" w:eastAsia="仿宋_GB2312" w:cs="仿宋_GB2312"/>
          <w:i w:val="0"/>
          <w:iCs w:val="0"/>
          <w:caps w:val="0"/>
          <w:color w:val="auto"/>
          <w:spacing w:val="0"/>
          <w:kern w:val="0"/>
          <w:sz w:val="32"/>
          <w:szCs w:val="32"/>
          <w:highlight w:val="none"/>
          <w:lang w:val="en-US" w:eastAsia="zh-CN" w:bidi="ar"/>
        </w:rPr>
        <w:t>（五）因违反《文物保护法》</w:t>
      </w:r>
      <w:r>
        <w:rPr>
          <w:rFonts w:hint="eastAsia" w:ascii="仿宋_GB2312" w:eastAsia="仿宋_GB2312" w:cs="仿宋_GB2312"/>
          <w:i w:val="0"/>
          <w:iCs w:val="0"/>
          <w:caps w:val="0"/>
          <w:color w:val="auto"/>
          <w:spacing w:val="0"/>
          <w:kern w:val="0"/>
          <w:sz w:val="32"/>
          <w:szCs w:val="32"/>
          <w:highlight w:val="none"/>
          <w:lang w:val="en-US" w:eastAsia="zh-CN" w:bidi="ar"/>
        </w:rPr>
        <w:t>等</w:t>
      </w:r>
      <w:r>
        <w:rPr>
          <w:rFonts w:hint="eastAsia" w:ascii="仿宋_GB2312" w:hAnsi="Calibri" w:eastAsia="仿宋_GB2312" w:cs="仿宋_GB2312"/>
          <w:i w:val="0"/>
          <w:iCs w:val="0"/>
          <w:caps w:val="0"/>
          <w:color w:val="auto"/>
          <w:spacing w:val="0"/>
          <w:kern w:val="0"/>
          <w:sz w:val="32"/>
          <w:szCs w:val="32"/>
          <w:highlight w:val="none"/>
          <w:lang w:val="en-US" w:eastAsia="zh-CN" w:bidi="ar"/>
        </w:rPr>
        <w:t>相关</w:t>
      </w:r>
      <w:r>
        <w:rPr>
          <w:rFonts w:hint="eastAsia" w:ascii="仿宋_GB2312" w:eastAsia="仿宋_GB2312" w:cs="仿宋_GB2312"/>
          <w:i w:val="0"/>
          <w:iCs w:val="0"/>
          <w:caps w:val="0"/>
          <w:color w:val="auto"/>
          <w:spacing w:val="0"/>
          <w:kern w:val="0"/>
          <w:sz w:val="32"/>
          <w:szCs w:val="32"/>
          <w:highlight w:val="none"/>
          <w:lang w:val="en-US" w:eastAsia="zh-CN" w:bidi="ar"/>
        </w:rPr>
        <w:t>法规</w:t>
      </w:r>
      <w:r>
        <w:rPr>
          <w:rFonts w:hint="eastAsia" w:ascii="仿宋_GB2312" w:hAnsi="Calibri" w:eastAsia="仿宋_GB2312" w:cs="仿宋_GB2312"/>
          <w:i w:val="0"/>
          <w:iCs w:val="0"/>
          <w:caps w:val="0"/>
          <w:color w:val="auto"/>
          <w:spacing w:val="0"/>
          <w:kern w:val="0"/>
          <w:sz w:val="32"/>
          <w:szCs w:val="32"/>
          <w:highlight w:val="none"/>
          <w:lang w:val="en-US" w:eastAsia="zh-CN" w:bidi="ar"/>
        </w:rPr>
        <w:t>规定，对涉及不可移动文物的生产经营场所违法进行修缮、转让、抵押、改变用途等活动被相关部门作出行政处罚的</w:t>
      </w:r>
      <w:r>
        <w:rPr>
          <w:rFonts w:hint="eastAsia" w:ascii="仿宋_GB2312" w:eastAsia="仿宋_GB2312" w:cs="仿宋_GB2312"/>
          <w:i w:val="0"/>
          <w:iCs w:val="0"/>
          <w:caps w:val="0"/>
          <w:color w:val="auto"/>
          <w:spacing w:val="0"/>
          <w:kern w:val="0"/>
          <w:sz w:val="32"/>
          <w:szCs w:val="32"/>
          <w:highlight w:val="none"/>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hAnsi="Calibri" w:eastAsia="仿宋_GB2312" w:cs="仿宋_GB2312"/>
          <w:i w:val="0"/>
          <w:iCs w:val="0"/>
          <w:caps w:val="0"/>
          <w:color w:val="auto"/>
          <w:spacing w:val="0"/>
          <w:kern w:val="0"/>
          <w:sz w:val="32"/>
          <w:szCs w:val="32"/>
          <w:highlight w:val="none"/>
          <w:lang w:val="en-US" w:eastAsia="zh-CN" w:bidi="ar"/>
        </w:rPr>
        <w:t>（六）被相关部门列入经营异常名录的。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黑体" w:hAnsi="宋体" w:eastAsia="黑体" w:cs="黑体"/>
          <w:i w:val="0"/>
          <w:iCs w:val="0"/>
          <w:caps w:val="0"/>
          <w:color w:val="auto"/>
          <w:spacing w:val="0"/>
          <w:kern w:val="0"/>
          <w:sz w:val="32"/>
          <w:szCs w:val="32"/>
          <w:highlight w:val="none"/>
          <w:lang w:val="en-US" w:eastAsia="zh-CN" w:bidi="ar"/>
        </w:rPr>
        <w:t>第十九条 </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老字号企业出现下列情形之一的，</w:t>
      </w:r>
      <w:r>
        <w:rPr>
          <w:rFonts w:hint="eastAsia" w:ascii="仿宋_GB2312" w:eastAsia="仿宋_GB2312" w:cs="仿宋_GB2312"/>
          <w:i w:val="0"/>
          <w:iCs w:val="0"/>
          <w:caps w:val="0"/>
          <w:color w:val="auto"/>
          <w:spacing w:val="0"/>
          <w:kern w:val="0"/>
          <w:sz w:val="32"/>
          <w:szCs w:val="32"/>
          <w:highlight w:val="none"/>
          <w:lang w:val="en-US" w:eastAsia="zh-CN" w:bidi="ar"/>
        </w:rPr>
        <w:t>各区级商务部门</w:t>
      </w:r>
      <w:r>
        <w:rPr>
          <w:rFonts w:hint="eastAsia" w:ascii="仿宋_GB2312" w:hAnsi="Calibri" w:eastAsia="仿宋_GB2312" w:cs="仿宋_GB2312"/>
          <w:i w:val="0"/>
          <w:iCs w:val="0"/>
          <w:caps w:val="0"/>
          <w:color w:val="auto"/>
          <w:spacing w:val="0"/>
          <w:kern w:val="0"/>
          <w:sz w:val="32"/>
          <w:szCs w:val="32"/>
          <w:highlight w:val="none"/>
          <w:lang w:val="en-US" w:eastAsia="zh-CN" w:bidi="ar"/>
        </w:rPr>
        <w:t>可以建议</w:t>
      </w:r>
      <w:r>
        <w:rPr>
          <w:rFonts w:hint="eastAsia" w:ascii="仿宋_GB2312" w:eastAsia="仿宋_GB2312" w:cs="仿宋_GB2312"/>
          <w:i w:val="0"/>
          <w:iCs w:val="0"/>
          <w:caps w:val="0"/>
          <w:color w:val="auto"/>
          <w:spacing w:val="0"/>
          <w:kern w:val="0"/>
          <w:sz w:val="32"/>
          <w:szCs w:val="32"/>
          <w:highlight w:val="none"/>
          <w:lang w:val="en-US" w:eastAsia="zh-CN" w:bidi="ar"/>
        </w:rPr>
        <w:t>市商务局</w:t>
      </w:r>
      <w:r>
        <w:rPr>
          <w:rFonts w:hint="eastAsia" w:ascii="仿宋_GB2312" w:hAnsi="Calibri" w:eastAsia="仿宋_GB2312" w:cs="仿宋_GB2312"/>
          <w:i w:val="0"/>
          <w:iCs w:val="0"/>
          <w:caps w:val="0"/>
          <w:color w:val="auto"/>
          <w:spacing w:val="0"/>
          <w:kern w:val="0"/>
          <w:sz w:val="32"/>
          <w:szCs w:val="32"/>
          <w:highlight w:val="none"/>
          <w:lang w:val="en-US" w:eastAsia="zh-CN" w:bidi="ar"/>
        </w:rPr>
        <w:t>暂停其</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老字号标识及牌匾使用权：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hAnsi="Calibri" w:eastAsia="仿宋_GB2312" w:cs="仿宋_GB2312"/>
          <w:i w:val="0"/>
          <w:iCs w:val="0"/>
          <w:caps w:val="0"/>
          <w:color w:val="auto"/>
          <w:spacing w:val="0"/>
          <w:kern w:val="0"/>
          <w:sz w:val="32"/>
          <w:szCs w:val="32"/>
          <w:highlight w:val="none"/>
          <w:lang w:val="en-US" w:eastAsia="zh-CN" w:bidi="ar"/>
        </w:rPr>
        <w:t>（一）被</w:t>
      </w:r>
      <w:r>
        <w:rPr>
          <w:rFonts w:hint="eastAsia" w:ascii="仿宋_GB2312" w:eastAsia="仿宋_GB2312" w:cs="仿宋_GB2312"/>
          <w:i w:val="0"/>
          <w:iCs w:val="0"/>
          <w:caps w:val="0"/>
          <w:color w:val="auto"/>
          <w:spacing w:val="0"/>
          <w:kern w:val="0"/>
          <w:sz w:val="32"/>
          <w:szCs w:val="32"/>
          <w:highlight w:val="none"/>
          <w:lang w:val="en-US" w:eastAsia="zh-CN" w:bidi="ar"/>
        </w:rPr>
        <w:t>商务部门</w:t>
      </w:r>
      <w:r>
        <w:rPr>
          <w:rFonts w:hint="eastAsia" w:ascii="仿宋_GB2312" w:hAnsi="Calibri" w:eastAsia="仿宋_GB2312" w:cs="仿宋_GB2312"/>
          <w:i w:val="0"/>
          <w:iCs w:val="0"/>
          <w:caps w:val="0"/>
          <w:color w:val="auto"/>
          <w:spacing w:val="0"/>
          <w:kern w:val="0"/>
          <w:sz w:val="32"/>
          <w:szCs w:val="32"/>
          <w:highlight w:val="none"/>
          <w:lang w:val="en-US" w:eastAsia="zh-CN" w:bidi="ar"/>
        </w:rPr>
        <w:t>约谈，未按时整改或整改措施不力的；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Calibri" w:eastAsia="仿宋_GB2312" w:cs="仿宋_GB2312"/>
          <w:i w:val="0"/>
          <w:iCs w:val="0"/>
          <w:caps w:val="0"/>
          <w:color w:val="auto"/>
          <w:spacing w:val="0"/>
          <w:kern w:val="0"/>
          <w:sz w:val="32"/>
          <w:szCs w:val="32"/>
          <w:highlight w:val="none"/>
          <w:lang w:val="en-US" w:eastAsia="zh-CN" w:bidi="ar"/>
        </w:rPr>
      </w:pPr>
      <w:r>
        <w:rPr>
          <w:rFonts w:hint="eastAsia" w:ascii="仿宋_GB2312" w:hAnsi="Calibri" w:eastAsia="仿宋_GB2312" w:cs="仿宋_GB2312"/>
          <w:i w:val="0"/>
          <w:iCs w:val="0"/>
          <w:caps w:val="0"/>
          <w:color w:val="auto"/>
          <w:spacing w:val="0"/>
          <w:kern w:val="0"/>
          <w:sz w:val="32"/>
          <w:szCs w:val="32"/>
          <w:highlight w:val="none"/>
          <w:lang w:val="en-US" w:eastAsia="zh-CN" w:bidi="ar"/>
        </w:rPr>
        <w:t>（二）被相关部门列入严重违法失信名单的</w:t>
      </w:r>
      <w:r>
        <w:rPr>
          <w:rFonts w:hint="eastAsia" w:ascii="仿宋_GB2312" w:eastAsia="仿宋_GB2312" w:cs="仿宋_GB2312"/>
          <w:i w:val="0"/>
          <w:iCs w:val="0"/>
          <w:caps w:val="0"/>
          <w:color w:val="auto"/>
          <w:spacing w:val="0"/>
          <w:kern w:val="0"/>
          <w:sz w:val="32"/>
          <w:szCs w:val="32"/>
          <w:highlight w:val="none"/>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hAnsi="Calibri" w:eastAsia="仿宋_GB2312" w:cs="仿宋_GB2312"/>
          <w:i w:val="0"/>
          <w:iCs w:val="0"/>
          <w:caps w:val="0"/>
          <w:color w:val="auto"/>
          <w:spacing w:val="0"/>
          <w:kern w:val="0"/>
          <w:sz w:val="32"/>
          <w:szCs w:val="32"/>
          <w:highlight w:val="none"/>
          <w:lang w:val="en-US" w:eastAsia="zh-CN" w:bidi="ar"/>
        </w:rPr>
      </w:pPr>
      <w:r>
        <w:rPr>
          <w:rFonts w:hint="eastAsia" w:ascii="仿宋_GB2312" w:eastAsia="仿宋_GB2312" w:cs="仿宋_GB2312"/>
          <w:i w:val="0"/>
          <w:iCs w:val="0"/>
          <w:caps w:val="0"/>
          <w:color w:val="auto"/>
          <w:spacing w:val="0"/>
          <w:kern w:val="0"/>
          <w:sz w:val="32"/>
          <w:szCs w:val="32"/>
          <w:highlight w:val="none"/>
          <w:lang w:val="en-US" w:eastAsia="zh-CN" w:bidi="ar"/>
        </w:rPr>
        <w:t>（三）</w:t>
      </w:r>
      <w:r>
        <w:rPr>
          <w:rFonts w:hint="default" w:ascii="仿宋_GB2312" w:hAnsi="Calibri" w:eastAsia="仿宋_GB2312" w:cs="仿宋_GB2312"/>
          <w:i w:val="0"/>
          <w:iCs w:val="0"/>
          <w:caps w:val="0"/>
          <w:color w:val="auto"/>
          <w:spacing w:val="0"/>
          <w:kern w:val="0"/>
          <w:sz w:val="32"/>
          <w:szCs w:val="32"/>
          <w:highlight w:val="none"/>
          <w:lang w:val="en-US" w:eastAsia="zh-CN" w:bidi="ar"/>
        </w:rPr>
        <w:t>因</w:t>
      </w:r>
      <w:r>
        <w:rPr>
          <w:rFonts w:hint="eastAsia" w:ascii="仿宋_GB2312" w:eastAsia="仿宋_GB2312" w:cs="仿宋_GB2312"/>
          <w:i w:val="0"/>
          <w:iCs w:val="0"/>
          <w:caps w:val="0"/>
          <w:color w:val="auto"/>
          <w:spacing w:val="0"/>
          <w:kern w:val="0"/>
          <w:sz w:val="32"/>
          <w:szCs w:val="32"/>
          <w:highlight w:val="none"/>
          <w:lang w:val="en-US" w:eastAsia="zh-CN" w:bidi="ar"/>
        </w:rPr>
        <w:t>违反</w:t>
      </w:r>
      <w:r>
        <w:rPr>
          <w:rFonts w:hint="default" w:ascii="仿宋_GB2312" w:hAnsi="Calibri" w:eastAsia="仿宋_GB2312" w:cs="仿宋_GB2312"/>
          <w:i w:val="0"/>
          <w:iCs w:val="0"/>
          <w:caps w:val="0"/>
          <w:color w:val="auto"/>
          <w:spacing w:val="0"/>
          <w:kern w:val="0"/>
          <w:sz w:val="32"/>
          <w:szCs w:val="32"/>
          <w:highlight w:val="none"/>
          <w:lang w:val="en-US" w:eastAsia="zh-CN" w:bidi="ar"/>
        </w:rPr>
        <w:t>《中华人民共和国文物保护法》等相关法律法规，造成文物灭失、损毁的</w:t>
      </w:r>
      <w:r>
        <w:rPr>
          <w:rFonts w:hint="eastAsia" w:ascii="仿宋_GB2312" w:eastAsia="仿宋_GB2312" w:cs="仿宋_GB2312"/>
          <w:i w:val="0"/>
          <w:iCs w:val="0"/>
          <w:caps w:val="0"/>
          <w:color w:val="auto"/>
          <w:spacing w:val="0"/>
          <w:kern w:val="0"/>
          <w:sz w:val="32"/>
          <w:szCs w:val="32"/>
          <w:highlight w:val="none"/>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eastAsia="仿宋_GB2312" w:cs="仿宋_GB2312"/>
          <w:i w:val="0"/>
          <w:iCs w:val="0"/>
          <w:caps w:val="0"/>
          <w:color w:val="auto"/>
          <w:spacing w:val="0"/>
          <w:kern w:val="0"/>
          <w:sz w:val="32"/>
          <w:szCs w:val="32"/>
          <w:highlight w:val="none"/>
          <w:lang w:val="en-US" w:eastAsia="zh-CN" w:bidi="ar"/>
        </w:rPr>
        <w:t>市商务局</w:t>
      </w:r>
      <w:r>
        <w:rPr>
          <w:rFonts w:hint="eastAsia" w:ascii="仿宋_GB2312" w:hAnsi="Calibri" w:eastAsia="仿宋_GB2312" w:cs="仿宋_GB2312"/>
          <w:i w:val="0"/>
          <w:iCs w:val="0"/>
          <w:caps w:val="0"/>
          <w:color w:val="auto"/>
          <w:spacing w:val="0"/>
          <w:kern w:val="0"/>
          <w:sz w:val="32"/>
          <w:szCs w:val="32"/>
          <w:highlight w:val="none"/>
          <w:lang w:val="en-US" w:eastAsia="zh-CN" w:bidi="ar"/>
        </w:rPr>
        <w:t>认为确有必要的，应当作出暂停其</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老字号标识及牌匾使用权的决定，并责令其于3个月内完成整改。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老字号企业整改完成后，由</w:t>
      </w:r>
      <w:r>
        <w:rPr>
          <w:rFonts w:hint="eastAsia" w:ascii="仿宋_GB2312" w:eastAsia="仿宋_GB2312" w:cs="仿宋_GB2312"/>
          <w:i w:val="0"/>
          <w:iCs w:val="0"/>
          <w:caps w:val="0"/>
          <w:color w:val="auto"/>
          <w:spacing w:val="0"/>
          <w:kern w:val="0"/>
          <w:sz w:val="32"/>
          <w:szCs w:val="32"/>
          <w:highlight w:val="none"/>
          <w:lang w:val="en-US" w:eastAsia="zh-CN" w:bidi="ar"/>
        </w:rPr>
        <w:t>所在区商务部门</w:t>
      </w:r>
      <w:r>
        <w:rPr>
          <w:rFonts w:hint="eastAsia" w:ascii="仿宋_GB2312" w:hAnsi="Calibri" w:eastAsia="仿宋_GB2312" w:cs="仿宋_GB2312"/>
          <w:i w:val="0"/>
          <w:iCs w:val="0"/>
          <w:caps w:val="0"/>
          <w:color w:val="auto"/>
          <w:spacing w:val="0"/>
          <w:kern w:val="0"/>
          <w:sz w:val="32"/>
          <w:szCs w:val="32"/>
          <w:highlight w:val="none"/>
          <w:lang w:val="en-US" w:eastAsia="zh-CN" w:bidi="ar"/>
        </w:rPr>
        <w:t>对整改情况进行审核，并提出审核意见</w:t>
      </w:r>
      <w:r>
        <w:rPr>
          <w:rFonts w:hint="eastAsia" w:ascii="仿宋_GB2312" w:eastAsia="仿宋_GB2312" w:cs="仿宋_GB2312"/>
          <w:i w:val="0"/>
          <w:iCs w:val="0"/>
          <w:caps w:val="0"/>
          <w:color w:val="auto"/>
          <w:spacing w:val="0"/>
          <w:kern w:val="0"/>
          <w:sz w:val="32"/>
          <w:szCs w:val="32"/>
          <w:highlight w:val="none"/>
          <w:lang w:val="en-US" w:eastAsia="zh-CN" w:bidi="ar"/>
        </w:rPr>
        <w:t>报市商务局，市属企业及中央驻珠企业整改情况直接报市商务局审核</w:t>
      </w:r>
      <w:r>
        <w:rPr>
          <w:rFonts w:hint="eastAsia" w:ascii="仿宋_GB2312" w:hAnsi="Calibri" w:eastAsia="仿宋_GB2312" w:cs="仿宋_GB2312"/>
          <w:i w:val="0"/>
          <w:iCs w:val="0"/>
          <w:caps w:val="0"/>
          <w:color w:val="auto"/>
          <w:spacing w:val="0"/>
          <w:kern w:val="0"/>
          <w:sz w:val="32"/>
          <w:szCs w:val="32"/>
          <w:highlight w:val="none"/>
          <w:lang w:val="en-US" w:eastAsia="zh-CN" w:bidi="ar"/>
        </w:rPr>
        <w:t>。</w:t>
      </w:r>
      <w:r>
        <w:rPr>
          <w:rFonts w:hint="eastAsia" w:ascii="仿宋_GB2312" w:eastAsia="仿宋_GB2312" w:cs="仿宋_GB2312"/>
          <w:i w:val="0"/>
          <w:iCs w:val="0"/>
          <w:caps w:val="0"/>
          <w:color w:val="auto"/>
          <w:spacing w:val="0"/>
          <w:kern w:val="0"/>
          <w:sz w:val="32"/>
          <w:szCs w:val="32"/>
          <w:highlight w:val="none"/>
          <w:lang w:val="en-US" w:eastAsia="zh-CN" w:bidi="ar"/>
        </w:rPr>
        <w:t>市商务局</w:t>
      </w:r>
      <w:r>
        <w:rPr>
          <w:rFonts w:hint="eastAsia" w:ascii="仿宋_GB2312" w:hAnsi="Calibri" w:eastAsia="仿宋_GB2312" w:cs="仿宋_GB2312"/>
          <w:i w:val="0"/>
          <w:iCs w:val="0"/>
          <w:caps w:val="0"/>
          <w:color w:val="auto"/>
          <w:spacing w:val="0"/>
          <w:kern w:val="0"/>
          <w:sz w:val="32"/>
          <w:szCs w:val="32"/>
          <w:highlight w:val="none"/>
          <w:lang w:val="en-US" w:eastAsia="zh-CN" w:bidi="ar"/>
        </w:rPr>
        <w:t>认为整改到位的，应当作出撤销暂停其</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老字号标识及牌匾使用权的决定。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黑体" w:hAnsi="宋体" w:eastAsia="黑体" w:cs="黑体"/>
          <w:i w:val="0"/>
          <w:iCs w:val="0"/>
          <w:caps w:val="0"/>
          <w:color w:val="auto"/>
          <w:spacing w:val="0"/>
          <w:kern w:val="0"/>
          <w:sz w:val="32"/>
          <w:szCs w:val="32"/>
          <w:highlight w:val="none"/>
          <w:lang w:val="en-US" w:eastAsia="zh-CN" w:bidi="ar"/>
        </w:rPr>
        <w:t>第二十条</w:t>
      </w:r>
      <w:r>
        <w:rPr>
          <w:rFonts w:hint="eastAsia" w:ascii="仿宋_GB2312" w:hAnsi="Calibri" w:eastAsia="仿宋_GB2312" w:cs="仿宋_GB2312"/>
          <w:i w:val="0"/>
          <w:iCs w:val="0"/>
          <w:caps w:val="0"/>
          <w:color w:val="auto"/>
          <w:spacing w:val="0"/>
          <w:kern w:val="0"/>
          <w:sz w:val="32"/>
          <w:szCs w:val="32"/>
          <w:highlight w:val="none"/>
          <w:lang w:val="en-US" w:eastAsia="zh-CN" w:bidi="ar"/>
        </w:rPr>
        <w:t> </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老字号企业出现下列情形之一的，</w:t>
      </w:r>
      <w:r>
        <w:rPr>
          <w:rFonts w:hint="eastAsia" w:ascii="仿宋_GB2312" w:eastAsia="仿宋_GB2312" w:cs="仿宋_GB2312"/>
          <w:i w:val="0"/>
          <w:iCs w:val="0"/>
          <w:caps w:val="0"/>
          <w:color w:val="auto"/>
          <w:spacing w:val="0"/>
          <w:kern w:val="0"/>
          <w:sz w:val="32"/>
          <w:szCs w:val="32"/>
          <w:highlight w:val="none"/>
          <w:lang w:val="en-US" w:eastAsia="zh-CN" w:bidi="ar"/>
        </w:rPr>
        <w:t>市商务局</w:t>
      </w:r>
      <w:r>
        <w:rPr>
          <w:rFonts w:hint="eastAsia" w:ascii="仿宋_GB2312" w:hAnsi="Calibri" w:eastAsia="仿宋_GB2312" w:cs="仿宋_GB2312"/>
          <w:i w:val="0"/>
          <w:iCs w:val="0"/>
          <w:caps w:val="0"/>
          <w:color w:val="auto"/>
          <w:spacing w:val="0"/>
          <w:kern w:val="0"/>
          <w:sz w:val="32"/>
          <w:szCs w:val="32"/>
          <w:highlight w:val="none"/>
          <w:lang w:val="en-US" w:eastAsia="zh-CN" w:bidi="ar"/>
        </w:rPr>
        <w:t>认为确有必要的，商相关部门作出移出</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老字号名录并收回</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老字号标识使用权及牌匾的决定：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hAnsi="Calibri" w:eastAsia="仿宋_GB2312" w:cs="仿宋_GB2312"/>
          <w:i w:val="0"/>
          <w:iCs w:val="0"/>
          <w:caps w:val="0"/>
          <w:color w:val="auto"/>
          <w:spacing w:val="0"/>
          <w:kern w:val="0"/>
          <w:sz w:val="32"/>
          <w:szCs w:val="32"/>
          <w:highlight w:val="none"/>
          <w:lang w:val="en-US" w:eastAsia="zh-CN" w:bidi="ar"/>
        </w:rPr>
        <w:t>（一）企业破产清算、解散、注销、被吊销营业执照或三年以上不开展经营活动的；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hAnsi="Calibri" w:eastAsia="仿宋_GB2312" w:cs="仿宋_GB2312"/>
          <w:i w:val="0"/>
          <w:iCs w:val="0"/>
          <w:caps w:val="0"/>
          <w:color w:val="auto"/>
          <w:spacing w:val="0"/>
          <w:kern w:val="0"/>
          <w:sz w:val="32"/>
          <w:szCs w:val="32"/>
          <w:highlight w:val="none"/>
          <w:lang w:val="en-US" w:eastAsia="zh-CN" w:bidi="ar"/>
        </w:rPr>
        <w:t>（二）丧失老字号注册商标所有权及使用权的；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Calibri" w:eastAsia="仿宋_GB2312" w:cs="仿宋_GB2312"/>
          <w:i w:val="0"/>
          <w:iCs w:val="0"/>
          <w:caps w:val="0"/>
          <w:color w:val="auto"/>
          <w:spacing w:val="0"/>
          <w:kern w:val="0"/>
          <w:sz w:val="32"/>
          <w:szCs w:val="32"/>
          <w:highlight w:val="none"/>
          <w:lang w:val="en-US" w:eastAsia="zh-CN" w:bidi="ar"/>
        </w:rPr>
      </w:pPr>
      <w:r>
        <w:rPr>
          <w:rFonts w:hint="eastAsia" w:ascii="仿宋_GB2312" w:hAnsi="Calibri" w:eastAsia="仿宋_GB2312" w:cs="仿宋_GB2312"/>
          <w:i w:val="0"/>
          <w:iCs w:val="0"/>
          <w:caps w:val="0"/>
          <w:color w:val="auto"/>
          <w:spacing w:val="0"/>
          <w:kern w:val="0"/>
          <w:sz w:val="32"/>
          <w:szCs w:val="32"/>
          <w:highlight w:val="none"/>
          <w:lang w:val="en-US" w:eastAsia="zh-CN" w:bidi="ar"/>
        </w:rPr>
        <w:t>（三）</w:t>
      </w:r>
      <w:r>
        <w:rPr>
          <w:rFonts w:hint="eastAsia" w:ascii="仿宋_GB2312" w:eastAsia="仿宋_GB2312" w:cs="仿宋_GB2312"/>
          <w:i w:val="0"/>
          <w:iCs w:val="0"/>
          <w:caps w:val="0"/>
          <w:color w:val="auto"/>
          <w:spacing w:val="0"/>
          <w:kern w:val="0"/>
          <w:sz w:val="32"/>
          <w:szCs w:val="32"/>
          <w:highlight w:val="none"/>
          <w:lang w:val="en-US" w:eastAsia="zh-CN" w:bidi="ar"/>
        </w:rPr>
        <w:t>根据相关法律法规，相关职能部门认定其发生重大安全生产责任事故、重大侵犯知识产权或消费者权益事件、严重扰乱市场秩序或其他严重违法行为，或拖欠员工工资的；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hAnsi="Calibri" w:eastAsia="仿宋_GB2312" w:cs="仿宋_GB2312"/>
          <w:i w:val="0"/>
          <w:iCs w:val="0"/>
          <w:caps w:val="0"/>
          <w:color w:val="auto"/>
          <w:spacing w:val="0"/>
          <w:kern w:val="0"/>
          <w:sz w:val="32"/>
          <w:szCs w:val="32"/>
          <w:highlight w:val="none"/>
          <w:lang w:val="en-US" w:eastAsia="zh-CN" w:bidi="ar"/>
        </w:rPr>
        <w:t>（</w:t>
      </w:r>
      <w:r>
        <w:rPr>
          <w:rFonts w:hint="eastAsia" w:ascii="仿宋_GB2312" w:eastAsia="仿宋_GB2312" w:cs="仿宋_GB2312"/>
          <w:i w:val="0"/>
          <w:iCs w:val="0"/>
          <w:caps w:val="0"/>
          <w:color w:val="auto"/>
          <w:spacing w:val="0"/>
          <w:kern w:val="0"/>
          <w:sz w:val="32"/>
          <w:szCs w:val="32"/>
          <w:highlight w:val="none"/>
          <w:lang w:val="en-US" w:eastAsia="zh-CN" w:bidi="ar"/>
        </w:rPr>
        <w:t>四</w:t>
      </w:r>
      <w:r>
        <w:rPr>
          <w:rFonts w:hint="eastAsia" w:ascii="仿宋_GB2312" w:hAnsi="Calibri" w:eastAsia="仿宋_GB2312" w:cs="仿宋_GB2312"/>
          <w:i w:val="0"/>
          <w:iCs w:val="0"/>
          <w:caps w:val="0"/>
          <w:color w:val="auto"/>
          <w:spacing w:val="0"/>
          <w:kern w:val="0"/>
          <w:sz w:val="32"/>
          <w:szCs w:val="32"/>
          <w:highlight w:val="none"/>
          <w:lang w:val="en-US" w:eastAsia="zh-CN" w:bidi="ar"/>
        </w:rPr>
        <w:t>）以欺骗或其他不正当手段骗取</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老字号称号的；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Calibri" w:eastAsia="仿宋_GB2312" w:cs="仿宋_GB2312"/>
          <w:i w:val="0"/>
          <w:iCs w:val="0"/>
          <w:caps w:val="0"/>
          <w:color w:val="auto"/>
          <w:spacing w:val="0"/>
          <w:kern w:val="0"/>
          <w:sz w:val="32"/>
          <w:szCs w:val="32"/>
          <w:highlight w:val="none"/>
          <w:lang w:val="en-US" w:eastAsia="zh-CN" w:bidi="ar"/>
        </w:rPr>
      </w:pPr>
      <w:r>
        <w:rPr>
          <w:rFonts w:hint="eastAsia" w:ascii="仿宋_GB2312" w:hAnsi="Calibri" w:eastAsia="仿宋_GB2312" w:cs="仿宋_GB2312"/>
          <w:i w:val="0"/>
          <w:iCs w:val="0"/>
          <w:caps w:val="0"/>
          <w:color w:val="auto"/>
          <w:spacing w:val="0"/>
          <w:kern w:val="0"/>
          <w:sz w:val="32"/>
          <w:szCs w:val="32"/>
          <w:highlight w:val="none"/>
          <w:lang w:val="en-US" w:eastAsia="zh-CN" w:bidi="ar"/>
        </w:rPr>
        <w:t>（</w:t>
      </w:r>
      <w:r>
        <w:rPr>
          <w:rFonts w:hint="eastAsia" w:ascii="仿宋_GB2312" w:eastAsia="仿宋_GB2312" w:cs="仿宋_GB2312"/>
          <w:i w:val="0"/>
          <w:iCs w:val="0"/>
          <w:caps w:val="0"/>
          <w:color w:val="auto"/>
          <w:spacing w:val="0"/>
          <w:kern w:val="0"/>
          <w:sz w:val="32"/>
          <w:szCs w:val="32"/>
          <w:highlight w:val="none"/>
          <w:lang w:val="en-US" w:eastAsia="zh-CN" w:bidi="ar"/>
        </w:rPr>
        <w:t>五</w:t>
      </w:r>
      <w:r>
        <w:rPr>
          <w:rFonts w:hint="eastAsia" w:ascii="仿宋_GB2312" w:hAnsi="Calibri" w:eastAsia="仿宋_GB2312" w:cs="仿宋_GB2312"/>
          <w:i w:val="0"/>
          <w:iCs w:val="0"/>
          <w:caps w:val="0"/>
          <w:color w:val="auto"/>
          <w:spacing w:val="0"/>
          <w:kern w:val="0"/>
          <w:sz w:val="32"/>
          <w:szCs w:val="32"/>
          <w:highlight w:val="none"/>
          <w:lang w:val="en-US" w:eastAsia="zh-CN" w:bidi="ar"/>
        </w:rPr>
        <w:t>）被暂停</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老字号标识及牌匾使用权，到期后仍未有效整改的；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仿宋_GB2312" w:hAnsi="Calibri" w:eastAsia="仿宋_GB2312" w:cs="仿宋_GB2312"/>
          <w:i w:val="0"/>
          <w:iCs w:val="0"/>
          <w:caps w:val="0"/>
          <w:color w:val="auto"/>
          <w:spacing w:val="0"/>
          <w:kern w:val="0"/>
          <w:sz w:val="32"/>
          <w:szCs w:val="32"/>
          <w:highlight w:val="none"/>
          <w:lang w:val="en-US" w:eastAsia="zh-CN" w:bidi="ar"/>
        </w:rPr>
        <w:t>（</w:t>
      </w:r>
      <w:r>
        <w:rPr>
          <w:rFonts w:hint="eastAsia" w:ascii="仿宋_GB2312" w:eastAsia="仿宋_GB2312" w:cs="仿宋_GB2312"/>
          <w:i w:val="0"/>
          <w:iCs w:val="0"/>
          <w:caps w:val="0"/>
          <w:color w:val="auto"/>
          <w:spacing w:val="0"/>
          <w:kern w:val="0"/>
          <w:sz w:val="32"/>
          <w:szCs w:val="32"/>
          <w:highlight w:val="none"/>
          <w:lang w:val="en-US" w:eastAsia="zh-CN" w:bidi="ar"/>
        </w:rPr>
        <w:t>六</w:t>
      </w:r>
      <w:r>
        <w:rPr>
          <w:rFonts w:hint="eastAsia" w:ascii="仿宋_GB2312" w:hAnsi="Calibri" w:eastAsia="仿宋_GB2312" w:cs="仿宋_GB2312"/>
          <w:i w:val="0"/>
          <w:iCs w:val="0"/>
          <w:caps w:val="0"/>
          <w:color w:val="auto"/>
          <w:spacing w:val="0"/>
          <w:kern w:val="0"/>
          <w:sz w:val="32"/>
          <w:szCs w:val="32"/>
          <w:highlight w:val="none"/>
          <w:lang w:val="en-US" w:eastAsia="zh-CN" w:bidi="ar"/>
        </w:rPr>
        <w:t>）其他不符合</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老字号和</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老字号企业基本条件的。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Calibri" w:eastAsia="仿宋_GB2312" w:cs="仿宋_GB2312"/>
          <w:i w:val="0"/>
          <w:iCs w:val="0"/>
          <w:caps w:val="0"/>
          <w:color w:val="auto"/>
          <w:spacing w:val="0"/>
          <w:kern w:val="0"/>
          <w:sz w:val="32"/>
          <w:szCs w:val="32"/>
          <w:highlight w:val="none"/>
          <w:lang w:val="en-US" w:eastAsia="zh-CN" w:bidi="ar"/>
        </w:rPr>
      </w:pPr>
      <w:r>
        <w:rPr>
          <w:rFonts w:hint="eastAsia" w:ascii="黑体" w:hAnsi="宋体" w:eastAsia="黑体" w:cs="黑体"/>
          <w:i w:val="0"/>
          <w:iCs w:val="0"/>
          <w:caps w:val="0"/>
          <w:color w:val="auto"/>
          <w:spacing w:val="0"/>
          <w:kern w:val="0"/>
          <w:sz w:val="32"/>
          <w:szCs w:val="32"/>
          <w:highlight w:val="none"/>
          <w:lang w:val="en-US" w:eastAsia="zh-CN" w:bidi="ar"/>
        </w:rPr>
        <w:t>第二十一条 </w:t>
      </w:r>
      <w:r>
        <w:rPr>
          <w:rFonts w:hint="eastAsia" w:ascii="仿宋_GB2312" w:eastAsia="仿宋_GB2312" w:cs="仿宋_GB2312"/>
          <w:i w:val="0"/>
          <w:iCs w:val="0"/>
          <w:caps w:val="0"/>
          <w:color w:val="auto"/>
          <w:spacing w:val="0"/>
          <w:kern w:val="0"/>
          <w:sz w:val="32"/>
          <w:szCs w:val="32"/>
          <w:highlight w:val="none"/>
          <w:lang w:val="en-US" w:eastAsia="zh-CN" w:bidi="ar"/>
        </w:rPr>
        <w:t>市商务局</w:t>
      </w:r>
      <w:r>
        <w:rPr>
          <w:rFonts w:hint="eastAsia" w:ascii="仿宋_GB2312" w:hAnsi="Calibri" w:eastAsia="仿宋_GB2312" w:cs="仿宋_GB2312"/>
          <w:i w:val="0"/>
          <w:iCs w:val="0"/>
          <w:caps w:val="0"/>
          <w:color w:val="auto"/>
          <w:spacing w:val="0"/>
          <w:kern w:val="0"/>
          <w:sz w:val="32"/>
          <w:szCs w:val="32"/>
          <w:highlight w:val="none"/>
          <w:lang w:val="en-US" w:eastAsia="zh-CN" w:bidi="ar"/>
        </w:rPr>
        <w:t>会同相关</w:t>
      </w:r>
      <w:r>
        <w:rPr>
          <w:rFonts w:hint="eastAsia" w:ascii="仿宋_GB2312" w:eastAsia="仿宋_GB2312" w:cs="仿宋_GB2312"/>
          <w:i w:val="0"/>
          <w:iCs w:val="0"/>
          <w:caps w:val="0"/>
          <w:color w:val="auto"/>
          <w:spacing w:val="0"/>
          <w:kern w:val="0"/>
          <w:sz w:val="32"/>
          <w:szCs w:val="32"/>
          <w:highlight w:val="none"/>
          <w:lang w:val="en-US" w:eastAsia="zh-CN" w:bidi="ar"/>
        </w:rPr>
        <w:t>部门原则上每2年对珠海老字号通过走访、收集资料等形式或委托各区级商务部门、专业机构开展复核。对复核中发现已经不符合珠海老</w:t>
      </w:r>
      <w:r>
        <w:rPr>
          <w:rFonts w:hint="eastAsia" w:ascii="仿宋_GB2312" w:hAnsi="Calibri" w:eastAsia="仿宋_GB2312" w:cs="仿宋_GB2312"/>
          <w:i w:val="0"/>
          <w:iCs w:val="0"/>
          <w:caps w:val="0"/>
          <w:color w:val="auto"/>
          <w:spacing w:val="0"/>
          <w:kern w:val="0"/>
          <w:sz w:val="32"/>
          <w:szCs w:val="32"/>
          <w:highlight w:val="none"/>
          <w:lang w:val="en-US" w:eastAsia="zh-CN" w:bidi="ar"/>
        </w:rPr>
        <w:t>字号条件的，商相关部门作出移出</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老字号名录、收回</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老字号标识使用权及牌匾的决定。</w:t>
      </w:r>
      <w:r>
        <w:rPr>
          <w:rFonts w:hint="eastAsia" w:ascii="仿宋_GB2312" w:eastAsia="仿宋_GB2312" w:cs="仿宋_GB2312"/>
          <w:i w:val="0"/>
          <w:iCs w:val="0"/>
          <w:caps w:val="0"/>
          <w:color w:val="auto"/>
          <w:spacing w:val="0"/>
          <w:kern w:val="0"/>
          <w:sz w:val="32"/>
          <w:szCs w:val="32"/>
          <w:highlight w:val="none"/>
          <w:lang w:val="en-US" w:eastAsia="zh-CN" w:bidi="ar"/>
        </w:rPr>
        <w:t>每年对珠海老字号进行抽查，特殊情况随机检查。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pacing w:val="-6"/>
          <w:sz w:val="21"/>
          <w:szCs w:val="21"/>
          <w:highlight w:val="none"/>
        </w:rPr>
      </w:pPr>
      <w:r>
        <w:rPr>
          <w:rFonts w:hint="eastAsia" w:ascii="黑体" w:hAnsi="宋体" w:eastAsia="黑体" w:cs="黑体"/>
          <w:i w:val="0"/>
          <w:iCs w:val="0"/>
          <w:caps w:val="0"/>
          <w:color w:val="auto"/>
          <w:spacing w:val="-6"/>
          <w:kern w:val="0"/>
          <w:sz w:val="32"/>
          <w:szCs w:val="32"/>
          <w:highlight w:val="none"/>
          <w:lang w:val="en-US" w:eastAsia="zh-CN" w:bidi="ar"/>
        </w:rPr>
        <w:t>第二十二条 </w:t>
      </w:r>
      <w:r>
        <w:rPr>
          <w:rFonts w:hint="eastAsia" w:ascii="仿宋_GB2312" w:eastAsia="仿宋_GB2312" w:cs="仿宋_GB2312"/>
          <w:i w:val="0"/>
          <w:iCs w:val="0"/>
          <w:caps w:val="0"/>
          <w:color w:val="auto"/>
          <w:spacing w:val="-6"/>
          <w:kern w:val="0"/>
          <w:sz w:val="32"/>
          <w:szCs w:val="32"/>
          <w:highlight w:val="none"/>
          <w:lang w:val="en-US" w:eastAsia="zh-CN" w:bidi="ar"/>
        </w:rPr>
        <w:t>市商务局</w:t>
      </w:r>
      <w:r>
        <w:rPr>
          <w:rFonts w:hint="eastAsia" w:ascii="仿宋_GB2312" w:hAnsi="Calibri" w:eastAsia="仿宋_GB2312" w:cs="仿宋_GB2312"/>
          <w:i w:val="0"/>
          <w:iCs w:val="0"/>
          <w:caps w:val="0"/>
          <w:color w:val="auto"/>
          <w:spacing w:val="-6"/>
          <w:kern w:val="0"/>
          <w:sz w:val="32"/>
          <w:szCs w:val="32"/>
          <w:highlight w:val="none"/>
          <w:lang w:val="en-US" w:eastAsia="zh-CN" w:bidi="ar"/>
        </w:rPr>
        <w:t>作出暂停或收回</w:t>
      </w:r>
      <w:r>
        <w:rPr>
          <w:rFonts w:hint="eastAsia" w:ascii="仿宋_GB2312" w:eastAsia="仿宋_GB2312" w:cs="仿宋_GB2312"/>
          <w:i w:val="0"/>
          <w:iCs w:val="0"/>
          <w:caps w:val="0"/>
          <w:color w:val="auto"/>
          <w:spacing w:val="-6"/>
          <w:kern w:val="0"/>
          <w:sz w:val="32"/>
          <w:szCs w:val="32"/>
          <w:highlight w:val="none"/>
          <w:lang w:val="en-US" w:eastAsia="zh-CN" w:bidi="ar"/>
        </w:rPr>
        <w:t>珠海</w:t>
      </w:r>
      <w:r>
        <w:rPr>
          <w:rFonts w:hint="eastAsia" w:ascii="仿宋_GB2312" w:hAnsi="Calibri" w:eastAsia="仿宋_GB2312" w:cs="仿宋_GB2312"/>
          <w:i w:val="0"/>
          <w:iCs w:val="0"/>
          <w:caps w:val="0"/>
          <w:color w:val="auto"/>
          <w:spacing w:val="-6"/>
          <w:kern w:val="0"/>
          <w:sz w:val="32"/>
          <w:szCs w:val="32"/>
          <w:highlight w:val="none"/>
          <w:lang w:val="en-US" w:eastAsia="zh-CN" w:bidi="ar"/>
        </w:rPr>
        <w:t>老字号标识使用权、移出</w:t>
      </w:r>
      <w:r>
        <w:rPr>
          <w:rFonts w:hint="eastAsia" w:ascii="仿宋_GB2312" w:eastAsia="仿宋_GB2312" w:cs="仿宋_GB2312"/>
          <w:i w:val="0"/>
          <w:iCs w:val="0"/>
          <w:caps w:val="0"/>
          <w:color w:val="auto"/>
          <w:spacing w:val="-6"/>
          <w:kern w:val="0"/>
          <w:sz w:val="32"/>
          <w:szCs w:val="32"/>
          <w:highlight w:val="none"/>
          <w:lang w:val="en-US" w:eastAsia="zh-CN" w:bidi="ar"/>
        </w:rPr>
        <w:t>珠海</w:t>
      </w:r>
      <w:r>
        <w:rPr>
          <w:rFonts w:hint="eastAsia" w:ascii="仿宋_GB2312" w:hAnsi="Calibri" w:eastAsia="仿宋_GB2312" w:cs="仿宋_GB2312"/>
          <w:i w:val="0"/>
          <w:iCs w:val="0"/>
          <w:caps w:val="0"/>
          <w:color w:val="auto"/>
          <w:spacing w:val="-6"/>
          <w:kern w:val="0"/>
          <w:sz w:val="32"/>
          <w:szCs w:val="32"/>
          <w:highlight w:val="none"/>
          <w:lang w:val="en-US" w:eastAsia="zh-CN" w:bidi="ar"/>
        </w:rPr>
        <w:t>老字号名录决定的，应当事先告知拟作出决定的内容并听取当事人的陈述和申辩，在市商务局官方网站公布最终处理结果。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Calibri" w:eastAsia="仿宋_GB2312" w:cs="仿宋_GB2312"/>
          <w:i w:val="0"/>
          <w:iCs w:val="0"/>
          <w:caps w:val="0"/>
          <w:color w:val="auto"/>
          <w:spacing w:val="0"/>
          <w:kern w:val="0"/>
          <w:sz w:val="32"/>
          <w:szCs w:val="32"/>
          <w:highlight w:val="none"/>
          <w:lang w:val="en-US" w:eastAsia="zh-CN" w:bidi="ar"/>
        </w:rPr>
      </w:pPr>
      <w:r>
        <w:rPr>
          <w:rFonts w:hint="eastAsia" w:ascii="仿宋_GB2312" w:hAnsi="Calibri" w:eastAsia="仿宋_GB2312" w:cs="仿宋_GB2312"/>
          <w:i w:val="0"/>
          <w:iCs w:val="0"/>
          <w:caps w:val="0"/>
          <w:color w:val="auto"/>
          <w:spacing w:val="0"/>
          <w:kern w:val="0"/>
          <w:sz w:val="32"/>
          <w:szCs w:val="32"/>
          <w:highlight w:val="none"/>
          <w:lang w:val="en-US" w:eastAsia="zh-CN" w:bidi="ar"/>
        </w:rPr>
        <w:t>被移出</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老字号名录的，自决定作出之日起</w:t>
      </w:r>
      <w:r>
        <w:rPr>
          <w:rFonts w:hint="eastAsia" w:ascii="仿宋_GB2312" w:eastAsia="仿宋_GB2312" w:cs="仿宋_GB2312"/>
          <w:i w:val="0"/>
          <w:iCs w:val="0"/>
          <w:caps w:val="0"/>
          <w:color w:val="auto"/>
          <w:spacing w:val="0"/>
          <w:kern w:val="0"/>
          <w:sz w:val="32"/>
          <w:szCs w:val="32"/>
          <w:highlight w:val="none"/>
          <w:lang w:val="en-US" w:eastAsia="zh-CN" w:bidi="ar"/>
        </w:rPr>
        <w:t>两个申报周期内</w:t>
      </w:r>
      <w:r>
        <w:rPr>
          <w:rFonts w:hint="eastAsia" w:ascii="仿宋_GB2312" w:hAnsi="Calibri" w:eastAsia="仿宋_GB2312" w:cs="仿宋_GB2312"/>
          <w:i w:val="0"/>
          <w:iCs w:val="0"/>
          <w:caps w:val="0"/>
          <w:color w:val="auto"/>
          <w:spacing w:val="0"/>
          <w:kern w:val="0"/>
          <w:sz w:val="32"/>
          <w:szCs w:val="32"/>
          <w:highlight w:val="none"/>
          <w:lang w:val="en-US" w:eastAsia="zh-CN" w:bidi="ar"/>
        </w:rPr>
        <w:t>不得再次申报</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hAnsi="Calibri" w:eastAsia="仿宋_GB2312" w:cs="仿宋_GB2312"/>
          <w:i w:val="0"/>
          <w:iCs w:val="0"/>
          <w:caps w:val="0"/>
          <w:color w:val="auto"/>
          <w:spacing w:val="0"/>
          <w:kern w:val="0"/>
          <w:sz w:val="32"/>
          <w:szCs w:val="32"/>
          <w:highlight w:val="none"/>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Calibri" w:hAnsi="Calibri" w:cs="Calibri"/>
          <w:i w:val="0"/>
          <w:iCs w:val="0"/>
          <w:color w:val="auto"/>
          <w:sz w:val="21"/>
          <w:szCs w:val="21"/>
          <w:highlight w:val="none"/>
        </w:rPr>
      </w:pPr>
      <w:r>
        <w:rPr>
          <w:rFonts w:hint="eastAsia" w:ascii="黑体" w:hAnsi="宋体" w:eastAsia="黑体" w:cs="黑体"/>
          <w:i w:val="0"/>
          <w:iCs w:val="0"/>
          <w:caps w:val="0"/>
          <w:color w:val="auto"/>
          <w:spacing w:val="0"/>
          <w:kern w:val="0"/>
          <w:sz w:val="32"/>
          <w:szCs w:val="32"/>
          <w:highlight w:val="none"/>
          <w:lang w:val="en-US" w:eastAsia="zh-CN" w:bidi="ar"/>
        </w:rPr>
        <w:t>第五章</w:t>
      </w:r>
      <w:r>
        <w:rPr>
          <w:rFonts w:hint="eastAsia" w:ascii="黑体" w:hAnsi="宋体" w:eastAsia="黑体" w:cs="黑体"/>
          <w:i w:val="0"/>
          <w:iCs w:val="0"/>
          <w:caps w:val="0"/>
          <w:color w:val="auto"/>
          <w:spacing w:val="0"/>
          <w:kern w:val="0"/>
          <w:sz w:val="32"/>
          <w:szCs w:val="32"/>
          <w:highlight w:val="none"/>
          <w:lang w:val="en-US" w:eastAsia="zh" w:bidi="ar"/>
        </w:rPr>
        <w:t>　</w:t>
      </w:r>
      <w:r>
        <w:rPr>
          <w:rFonts w:hint="eastAsia" w:ascii="黑体" w:hAnsi="宋体" w:eastAsia="黑体" w:cs="黑体"/>
          <w:i w:val="0"/>
          <w:iCs w:val="0"/>
          <w:caps w:val="0"/>
          <w:color w:val="auto"/>
          <w:spacing w:val="0"/>
          <w:kern w:val="0"/>
          <w:sz w:val="32"/>
          <w:szCs w:val="32"/>
          <w:highlight w:val="none"/>
          <w:lang w:val="en-US" w:eastAsia="zh-CN" w:bidi="ar"/>
        </w:rPr>
        <w:t>其他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Calibri" w:eastAsia="仿宋_GB2312" w:cs="仿宋_GB2312"/>
          <w:i w:val="0"/>
          <w:iCs w:val="0"/>
          <w:caps w:val="0"/>
          <w:color w:val="auto"/>
          <w:spacing w:val="0"/>
          <w:kern w:val="0"/>
          <w:sz w:val="32"/>
          <w:szCs w:val="32"/>
          <w:highlight w:val="none"/>
          <w:lang w:val="en-US" w:eastAsia="zh-CN" w:bidi="ar"/>
        </w:rPr>
      </w:pPr>
      <w:r>
        <w:rPr>
          <w:rFonts w:hint="eastAsia" w:ascii="黑体" w:hAnsi="宋体" w:eastAsia="黑体" w:cs="黑体"/>
          <w:i w:val="0"/>
          <w:iCs w:val="0"/>
          <w:caps w:val="0"/>
          <w:color w:val="auto"/>
          <w:spacing w:val="0"/>
          <w:kern w:val="0"/>
          <w:sz w:val="32"/>
          <w:szCs w:val="32"/>
          <w:highlight w:val="none"/>
          <w:lang w:val="en-US" w:eastAsia="zh-CN" w:bidi="ar"/>
        </w:rPr>
        <w:t>第二十三条 </w:t>
      </w:r>
      <w:r>
        <w:rPr>
          <w:rFonts w:hint="eastAsia" w:ascii="仿宋_GB2312" w:eastAsia="仿宋_GB2312" w:cs="仿宋_GB2312"/>
          <w:i w:val="0"/>
          <w:iCs w:val="0"/>
          <w:caps w:val="0"/>
          <w:color w:val="auto"/>
          <w:spacing w:val="0"/>
          <w:kern w:val="0"/>
          <w:sz w:val="32"/>
          <w:szCs w:val="32"/>
          <w:highlight w:val="none"/>
          <w:lang w:val="en-US" w:eastAsia="zh-CN" w:bidi="ar"/>
        </w:rPr>
        <w:t>各级</w:t>
      </w:r>
      <w:r>
        <w:rPr>
          <w:rFonts w:hint="eastAsia" w:ascii="仿宋_GB2312" w:hAnsi="Calibri" w:eastAsia="仿宋_GB2312" w:cs="仿宋_GB2312"/>
          <w:i w:val="0"/>
          <w:iCs w:val="0"/>
          <w:caps w:val="0"/>
          <w:color w:val="auto"/>
          <w:spacing w:val="0"/>
          <w:kern w:val="0"/>
          <w:sz w:val="32"/>
          <w:szCs w:val="32"/>
          <w:highlight w:val="none"/>
          <w:lang w:val="en-US" w:eastAsia="zh-CN" w:bidi="ar"/>
        </w:rPr>
        <w:t>相关部门</w:t>
      </w:r>
      <w:r>
        <w:rPr>
          <w:rFonts w:hint="eastAsia" w:ascii="仿宋_GB2312" w:eastAsia="仿宋_GB2312" w:cs="仿宋_GB2312"/>
          <w:i w:val="0"/>
          <w:iCs w:val="0"/>
          <w:caps w:val="0"/>
          <w:color w:val="auto"/>
          <w:spacing w:val="0"/>
          <w:kern w:val="0"/>
          <w:sz w:val="32"/>
          <w:szCs w:val="32"/>
          <w:highlight w:val="none"/>
          <w:lang w:val="en-US" w:eastAsia="zh-CN" w:bidi="ar"/>
        </w:rPr>
        <w:t>应</w:t>
      </w:r>
      <w:r>
        <w:rPr>
          <w:rFonts w:hint="eastAsia" w:ascii="仿宋_GB2312" w:hAnsi="Calibri" w:eastAsia="仿宋_GB2312" w:cs="仿宋_GB2312"/>
          <w:i w:val="0"/>
          <w:iCs w:val="0"/>
          <w:caps w:val="0"/>
          <w:color w:val="auto"/>
          <w:spacing w:val="0"/>
          <w:kern w:val="0"/>
          <w:sz w:val="32"/>
          <w:szCs w:val="32"/>
          <w:highlight w:val="none"/>
          <w:lang w:val="en-US" w:eastAsia="zh-CN" w:bidi="ar"/>
        </w:rPr>
        <w:t>加强对本区域内老字号知识产权、文化遗产的保护，为老字号文化传承、技艺改造、改革创新提供政策</w:t>
      </w:r>
      <w:r>
        <w:rPr>
          <w:rFonts w:hint="eastAsia" w:ascii="仿宋_GB2312" w:eastAsia="仿宋_GB2312" w:cs="仿宋_GB2312"/>
          <w:i w:val="0"/>
          <w:iCs w:val="0"/>
          <w:caps w:val="0"/>
          <w:color w:val="auto"/>
          <w:spacing w:val="0"/>
          <w:kern w:val="0"/>
          <w:sz w:val="32"/>
          <w:szCs w:val="32"/>
          <w:highlight w:val="none"/>
          <w:lang w:val="en-US" w:eastAsia="zh-CN" w:bidi="ar"/>
        </w:rPr>
        <w:t>和资金扶持，支持农村地区老字号品牌的培育与发展，</w:t>
      </w:r>
      <w:r>
        <w:rPr>
          <w:rFonts w:hint="eastAsia" w:ascii="仿宋_GB2312" w:hAnsi="Calibri" w:eastAsia="仿宋_GB2312" w:cs="仿宋_GB2312"/>
          <w:i w:val="0"/>
          <w:iCs w:val="0"/>
          <w:caps w:val="0"/>
          <w:color w:val="auto"/>
          <w:spacing w:val="0"/>
          <w:kern w:val="0"/>
          <w:sz w:val="32"/>
          <w:szCs w:val="32"/>
          <w:highlight w:val="none"/>
          <w:lang w:val="en-US" w:eastAsia="zh-CN" w:bidi="ar"/>
        </w:rPr>
        <w:t>组织开展老字号宣传推广活动。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hAnsi="Calibri" w:eastAsia="仿宋_GB2312" w:cs="仿宋_GB2312"/>
          <w:i w:val="0"/>
          <w:iCs w:val="0"/>
          <w:caps w:val="0"/>
          <w:color w:val="auto"/>
          <w:spacing w:val="0"/>
          <w:kern w:val="0"/>
          <w:sz w:val="32"/>
          <w:szCs w:val="32"/>
          <w:highlight w:val="none"/>
          <w:lang w:val="en-US" w:eastAsia="zh-CN" w:bidi="ar"/>
        </w:rPr>
      </w:pPr>
      <w:r>
        <w:rPr>
          <w:rFonts w:hint="eastAsia" w:ascii="黑体" w:hAnsi="宋体" w:eastAsia="黑体" w:cs="黑体"/>
          <w:i w:val="0"/>
          <w:iCs w:val="0"/>
          <w:caps w:val="0"/>
          <w:color w:val="auto"/>
          <w:spacing w:val="0"/>
          <w:kern w:val="0"/>
          <w:sz w:val="32"/>
          <w:szCs w:val="32"/>
          <w:highlight w:val="none"/>
          <w:lang w:val="en-US" w:eastAsia="zh-CN" w:bidi="ar"/>
        </w:rPr>
        <w:t>第二十四条  </w:t>
      </w:r>
      <w:r>
        <w:rPr>
          <w:rFonts w:hint="eastAsia" w:ascii="仿宋_GB2312" w:eastAsia="仿宋_GB2312" w:cs="仿宋_GB2312"/>
          <w:i w:val="0"/>
          <w:iCs w:val="0"/>
          <w:caps w:val="0"/>
          <w:color w:val="auto"/>
          <w:spacing w:val="0"/>
          <w:kern w:val="0"/>
          <w:sz w:val="32"/>
          <w:szCs w:val="32"/>
          <w:highlight w:val="none"/>
          <w:lang w:val="en-US" w:eastAsia="zh-CN" w:bidi="ar"/>
        </w:rPr>
        <w:t>各区及</w:t>
      </w:r>
      <w:r>
        <w:rPr>
          <w:rFonts w:hint="eastAsia" w:ascii="仿宋_GB2312" w:hAnsi="Calibri" w:eastAsia="仿宋_GB2312" w:cs="仿宋_GB2312"/>
          <w:i w:val="0"/>
          <w:iCs w:val="0"/>
          <w:caps w:val="0"/>
          <w:color w:val="auto"/>
          <w:spacing w:val="0"/>
          <w:kern w:val="0"/>
          <w:sz w:val="32"/>
          <w:szCs w:val="32"/>
          <w:highlight w:val="none"/>
          <w:lang w:val="en-US" w:eastAsia="zh-CN" w:bidi="ar"/>
        </w:rPr>
        <w:t>相关部门</w:t>
      </w:r>
      <w:r>
        <w:rPr>
          <w:rFonts w:hint="eastAsia" w:ascii="仿宋_GB2312" w:eastAsia="仿宋_GB2312" w:cs="仿宋_GB2312"/>
          <w:i w:val="0"/>
          <w:iCs w:val="0"/>
          <w:caps w:val="0"/>
          <w:color w:val="auto"/>
          <w:spacing w:val="0"/>
          <w:kern w:val="0"/>
          <w:sz w:val="32"/>
          <w:szCs w:val="32"/>
          <w:highlight w:val="none"/>
          <w:lang w:val="en-US" w:eastAsia="zh-CN" w:bidi="ar"/>
        </w:rPr>
        <w:t>应积极推动珠海老字号企业创新发展。</w:t>
      </w:r>
      <w:r>
        <w:rPr>
          <w:rFonts w:hint="eastAsia" w:ascii="仿宋_GB2312" w:hAnsi="仿宋_GB2312" w:eastAsia="仿宋_GB2312" w:cs="仿宋_GB2312"/>
          <w:b w:val="0"/>
          <w:bCs w:val="0"/>
          <w:color w:val="auto"/>
          <w:sz w:val="32"/>
          <w:szCs w:val="32"/>
          <w:highlight w:val="none"/>
          <w:lang w:eastAsia="zh-CN"/>
        </w:rPr>
        <w:t>宣传“一品牌一故事”，利用新闻、电视宣传、互联网媒体宣传老字号企业发展史料和典型案例，宣传一批符合条件的老字号代表性传承人。市商务局部门应结合</w:t>
      </w:r>
      <w:r>
        <w:rPr>
          <w:rFonts w:hint="eastAsia" w:ascii="仿宋_GB2312" w:hAnsi="仿宋_GB2312" w:eastAsia="仿宋_GB2312" w:cs="仿宋_GB2312"/>
          <w:b w:val="0"/>
          <w:bCs w:val="0"/>
          <w:color w:val="auto"/>
          <w:sz w:val="32"/>
          <w:szCs w:val="32"/>
          <w:highlight w:val="none"/>
          <w:lang w:val="en-US" w:eastAsia="zh-CN"/>
        </w:rPr>
        <w:t>珠海</w:t>
      </w:r>
      <w:r>
        <w:rPr>
          <w:rFonts w:hint="eastAsia" w:ascii="仿宋_GB2312" w:hAnsi="仿宋_GB2312" w:eastAsia="仿宋_GB2312" w:cs="仿宋_GB2312"/>
          <w:b w:val="0"/>
          <w:bCs w:val="0"/>
          <w:color w:val="auto"/>
          <w:sz w:val="32"/>
          <w:szCs w:val="32"/>
          <w:highlight w:val="none"/>
          <w:lang w:eastAsia="zh-CN"/>
        </w:rPr>
        <w:t>特色民俗，</w:t>
      </w:r>
      <w:r>
        <w:rPr>
          <w:rFonts w:hint="eastAsia" w:ascii="仿宋_GB2312" w:hAnsi="仿宋_GB2312" w:eastAsia="仿宋_GB2312" w:cs="仿宋_GB2312"/>
          <w:color w:val="auto"/>
          <w:sz w:val="32"/>
          <w:szCs w:val="32"/>
          <w:highlight w:val="none"/>
        </w:rPr>
        <w:t>通过</w:t>
      </w:r>
      <w:r>
        <w:rPr>
          <w:rFonts w:hint="eastAsia" w:ascii="仿宋_GB2312" w:hAnsi="仿宋_GB2312" w:eastAsia="仿宋_GB2312" w:cs="仿宋_GB2312"/>
          <w:color w:val="auto"/>
          <w:sz w:val="32"/>
          <w:szCs w:val="32"/>
          <w:highlight w:val="none"/>
          <w:lang w:val="en-US" w:eastAsia="zh-CN"/>
        </w:rPr>
        <w:t>珠海</w:t>
      </w:r>
      <w:r>
        <w:rPr>
          <w:rFonts w:hint="eastAsia" w:ascii="仿宋_GB2312" w:hAnsi="仿宋_GB2312" w:eastAsia="仿宋_GB2312" w:cs="仿宋_GB2312"/>
          <w:color w:val="auto"/>
          <w:sz w:val="32"/>
          <w:szCs w:val="32"/>
          <w:highlight w:val="none"/>
        </w:rPr>
        <w:t>美食节、</w:t>
      </w:r>
      <w:r>
        <w:rPr>
          <w:rFonts w:hint="eastAsia" w:ascii="仿宋_GB2312" w:hAnsi="仿宋_GB2312" w:eastAsia="仿宋_GB2312" w:cs="仿宋_GB2312"/>
          <w:color w:val="auto"/>
          <w:sz w:val="32"/>
          <w:szCs w:val="32"/>
          <w:highlight w:val="none"/>
          <w:lang w:val="en-US" w:eastAsia="zh-CN"/>
        </w:rPr>
        <w:t>旅游文化节</w:t>
      </w:r>
      <w:r>
        <w:rPr>
          <w:rFonts w:hint="eastAsia" w:ascii="仿宋_GB2312" w:hAnsi="仿宋_GB2312" w:eastAsia="仿宋_GB2312" w:cs="仿宋_GB2312"/>
          <w:color w:val="auto"/>
          <w:sz w:val="32"/>
          <w:szCs w:val="32"/>
          <w:highlight w:val="none"/>
        </w:rPr>
        <w:t>等活动，</w:t>
      </w:r>
      <w:r>
        <w:rPr>
          <w:rFonts w:hint="eastAsia" w:ascii="仿宋_GB2312" w:hAnsi="仿宋_GB2312" w:eastAsia="仿宋_GB2312" w:cs="仿宋_GB2312"/>
          <w:b w:val="0"/>
          <w:bCs w:val="0"/>
          <w:color w:val="auto"/>
          <w:sz w:val="32"/>
          <w:szCs w:val="32"/>
          <w:highlight w:val="none"/>
          <w:lang w:eastAsia="zh-CN"/>
        </w:rPr>
        <w:t>专设珠海老字号展览展销和文化体验活动，并给予展位优惠；</w:t>
      </w:r>
      <w:r>
        <w:rPr>
          <w:rFonts w:hint="eastAsia" w:ascii="仿宋_GB2312" w:hAnsi="仿宋_GB2312" w:eastAsia="仿宋_GB2312" w:cs="仿宋_GB2312"/>
          <w:i w:val="0"/>
          <w:iCs w:val="0"/>
          <w:caps w:val="0"/>
          <w:color w:val="auto"/>
          <w:spacing w:val="0"/>
          <w:kern w:val="0"/>
          <w:sz w:val="32"/>
          <w:szCs w:val="32"/>
          <w:highlight w:val="none"/>
          <w:lang w:val="en-US" w:eastAsia="zh-CN" w:bidi="ar"/>
        </w:rPr>
        <w:t>开展专项促消费活动，派发专项消费券，优先邀请珠海老字号企业参加，助力老字号打开消费市场；</w:t>
      </w:r>
      <w:r>
        <w:rPr>
          <w:rFonts w:hint="eastAsia" w:ascii="仿宋_GB2312" w:hAnsi="仿宋_GB2312" w:eastAsia="仿宋_GB2312" w:cs="仿宋_GB2312"/>
          <w:b w:val="0"/>
          <w:bCs w:val="0"/>
          <w:color w:val="auto"/>
          <w:sz w:val="32"/>
          <w:szCs w:val="32"/>
          <w:highlight w:val="none"/>
          <w:lang w:val="en-US" w:eastAsia="zh-CN"/>
        </w:rPr>
        <w:t>结合珠海市外向型经济比较发达的特点，应</w:t>
      </w:r>
      <w:r>
        <w:rPr>
          <w:rFonts w:hint="eastAsia" w:ascii="仿宋_GB2312" w:hAnsi="仿宋_GB2312" w:eastAsia="仿宋_GB2312" w:cs="仿宋_GB2312"/>
          <w:color w:val="auto"/>
          <w:sz w:val="32"/>
          <w:szCs w:val="32"/>
          <w:highlight w:val="none"/>
          <w:lang w:val="en-US" w:eastAsia="zh-CN"/>
        </w:rPr>
        <w:t>支持符合条件的老字号企业参加境外专业展会，积极宣传推广老字号品牌,积极为老字号企业“走出去”、开拓国际市场提供便利和</w:t>
      </w:r>
      <w:r>
        <w:rPr>
          <w:rFonts w:hint="eastAsia" w:ascii="仿宋_GB2312" w:hAnsi="Calibri" w:eastAsia="仿宋_GB2312" w:cs="仿宋_GB2312"/>
          <w:i w:val="0"/>
          <w:iCs w:val="0"/>
          <w:caps w:val="0"/>
          <w:color w:val="auto"/>
          <w:spacing w:val="0"/>
          <w:kern w:val="0"/>
          <w:sz w:val="32"/>
          <w:szCs w:val="32"/>
          <w:highlight w:val="none"/>
          <w:lang w:val="en-US" w:eastAsia="zh-CN" w:bidi="ar"/>
        </w:rPr>
        <w:t>扶持。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Calibri" w:hAnsi="Calibri" w:cs="Calibri"/>
          <w:i w:val="0"/>
          <w:iCs w:val="0"/>
          <w:color w:val="auto"/>
          <w:sz w:val="21"/>
          <w:szCs w:val="21"/>
          <w:highlight w:val="none"/>
        </w:rPr>
      </w:pPr>
      <w:r>
        <w:rPr>
          <w:rFonts w:hint="eastAsia" w:ascii="黑体" w:hAnsi="宋体" w:eastAsia="黑体" w:cs="黑体"/>
          <w:i w:val="0"/>
          <w:iCs w:val="0"/>
          <w:caps w:val="0"/>
          <w:color w:val="auto"/>
          <w:spacing w:val="0"/>
          <w:kern w:val="0"/>
          <w:sz w:val="32"/>
          <w:szCs w:val="32"/>
          <w:highlight w:val="none"/>
          <w:lang w:val="en-US" w:eastAsia="zh-CN" w:bidi="ar"/>
        </w:rPr>
        <w:t xml:space="preserve">第二十五条  </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老字号企业违反《</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老字号标识和牌匾使用规定》的，</w:t>
      </w:r>
      <w:r>
        <w:rPr>
          <w:rFonts w:hint="eastAsia" w:ascii="仿宋_GB2312" w:eastAsia="仿宋_GB2312" w:cs="仿宋_GB2312"/>
          <w:i w:val="0"/>
          <w:iCs w:val="0"/>
          <w:caps w:val="0"/>
          <w:color w:val="auto"/>
          <w:spacing w:val="0"/>
          <w:kern w:val="0"/>
          <w:sz w:val="32"/>
          <w:szCs w:val="32"/>
          <w:highlight w:val="none"/>
          <w:lang w:val="en-US" w:eastAsia="zh-CN" w:bidi="ar"/>
        </w:rPr>
        <w:t>各级商务部门</w:t>
      </w:r>
      <w:r>
        <w:rPr>
          <w:rFonts w:hint="eastAsia" w:ascii="仿宋_GB2312" w:hAnsi="Calibri" w:eastAsia="仿宋_GB2312" w:cs="仿宋_GB2312"/>
          <w:i w:val="0"/>
          <w:iCs w:val="0"/>
          <w:caps w:val="0"/>
          <w:color w:val="auto"/>
          <w:spacing w:val="0"/>
          <w:kern w:val="0"/>
          <w:sz w:val="32"/>
          <w:szCs w:val="32"/>
          <w:highlight w:val="none"/>
          <w:lang w:val="en-US" w:eastAsia="zh-CN" w:bidi="ar"/>
        </w:rPr>
        <w:t>可依据本办法采取相关措施。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Calibri" w:eastAsia="仿宋_GB2312" w:cs="仿宋_GB2312"/>
          <w:i w:val="0"/>
          <w:iCs w:val="0"/>
          <w:caps w:val="0"/>
          <w:color w:val="auto"/>
          <w:spacing w:val="0"/>
          <w:kern w:val="0"/>
          <w:sz w:val="32"/>
          <w:szCs w:val="32"/>
          <w:highlight w:val="none"/>
          <w:lang w:val="en-US" w:eastAsia="zh-CN" w:bidi="ar"/>
        </w:rPr>
      </w:pPr>
      <w:r>
        <w:rPr>
          <w:rFonts w:hint="eastAsia" w:ascii="仿宋_GB2312" w:hAnsi="Calibri" w:eastAsia="仿宋_GB2312" w:cs="仿宋_GB2312"/>
          <w:i w:val="0"/>
          <w:iCs w:val="0"/>
          <w:caps w:val="0"/>
          <w:color w:val="auto"/>
          <w:spacing w:val="0"/>
          <w:kern w:val="0"/>
          <w:sz w:val="32"/>
          <w:szCs w:val="32"/>
          <w:highlight w:val="none"/>
          <w:lang w:val="en-US" w:eastAsia="zh-CN" w:bidi="ar"/>
        </w:rPr>
        <w:t>任何单位或个人冒用或滥用</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老字号标识或牌匾，</w:t>
      </w:r>
      <w:r>
        <w:rPr>
          <w:rFonts w:hint="eastAsia" w:ascii="仿宋_GB2312" w:eastAsia="仿宋_GB2312" w:cs="仿宋_GB2312"/>
          <w:i w:val="0"/>
          <w:iCs w:val="0"/>
          <w:caps w:val="0"/>
          <w:color w:val="auto"/>
          <w:spacing w:val="0"/>
          <w:kern w:val="0"/>
          <w:sz w:val="32"/>
          <w:szCs w:val="32"/>
          <w:highlight w:val="none"/>
          <w:lang w:val="en-US" w:eastAsia="zh-CN" w:bidi="ar"/>
        </w:rPr>
        <w:t>并</w:t>
      </w:r>
      <w:r>
        <w:rPr>
          <w:rFonts w:hint="eastAsia" w:ascii="仿宋_GB2312" w:hAnsi="Calibri" w:eastAsia="仿宋_GB2312" w:cs="仿宋_GB2312"/>
          <w:i w:val="0"/>
          <w:iCs w:val="0"/>
          <w:caps w:val="0"/>
          <w:color w:val="auto"/>
          <w:spacing w:val="0"/>
          <w:kern w:val="0"/>
          <w:sz w:val="32"/>
          <w:szCs w:val="32"/>
          <w:highlight w:val="none"/>
          <w:lang w:val="en-US" w:eastAsia="zh-CN" w:bidi="ar"/>
        </w:rPr>
        <w:t>违反《中华人民共和国商标法》《中华人民共和国反不正当竞争法》《中华人民共和国广告法》等法律法规的，</w:t>
      </w:r>
      <w:r>
        <w:rPr>
          <w:rFonts w:hint="eastAsia" w:ascii="仿宋_GB2312" w:eastAsia="仿宋_GB2312" w:cs="仿宋_GB2312"/>
          <w:i w:val="0"/>
          <w:iCs w:val="0"/>
          <w:caps w:val="0"/>
          <w:color w:val="auto"/>
          <w:spacing w:val="0"/>
          <w:kern w:val="0"/>
          <w:sz w:val="32"/>
          <w:szCs w:val="32"/>
          <w:highlight w:val="none"/>
          <w:lang w:val="en-US" w:eastAsia="zh-CN" w:bidi="ar"/>
        </w:rPr>
        <w:t>相关部门应</w:t>
      </w:r>
      <w:r>
        <w:rPr>
          <w:rFonts w:hint="eastAsia" w:ascii="仿宋_GB2312" w:hAnsi="Calibri" w:eastAsia="仿宋_GB2312" w:cs="仿宋_GB2312"/>
          <w:i w:val="0"/>
          <w:iCs w:val="0"/>
          <w:caps w:val="0"/>
          <w:color w:val="auto"/>
          <w:spacing w:val="0"/>
          <w:kern w:val="0"/>
          <w:sz w:val="32"/>
          <w:szCs w:val="32"/>
          <w:highlight w:val="none"/>
          <w:lang w:val="en-US" w:eastAsia="zh-CN" w:bidi="ar"/>
        </w:rPr>
        <w:t>依法依规</w:t>
      </w:r>
      <w:r>
        <w:rPr>
          <w:rFonts w:hint="eastAsia" w:ascii="仿宋_GB2312" w:eastAsia="仿宋_GB2312" w:cs="仿宋_GB2312"/>
          <w:i w:val="0"/>
          <w:iCs w:val="0"/>
          <w:caps w:val="0"/>
          <w:color w:val="auto"/>
          <w:spacing w:val="0"/>
          <w:kern w:val="0"/>
          <w:sz w:val="32"/>
          <w:szCs w:val="32"/>
          <w:highlight w:val="none"/>
          <w:lang w:val="en-US" w:eastAsia="zh-CN" w:bidi="ar"/>
        </w:rPr>
        <w:t>对其</w:t>
      </w:r>
      <w:r>
        <w:rPr>
          <w:rFonts w:hint="eastAsia" w:ascii="仿宋_GB2312" w:hAnsi="Calibri" w:eastAsia="仿宋_GB2312" w:cs="仿宋_GB2312"/>
          <w:i w:val="0"/>
          <w:iCs w:val="0"/>
          <w:caps w:val="0"/>
          <w:color w:val="auto"/>
          <w:spacing w:val="0"/>
          <w:kern w:val="0"/>
          <w:sz w:val="32"/>
          <w:szCs w:val="32"/>
          <w:highlight w:val="none"/>
          <w:lang w:val="en-US" w:eastAsia="zh-CN" w:bidi="ar"/>
        </w:rPr>
        <w:t>进行查处。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黑体" w:hAnsi="宋体" w:eastAsia="黑体" w:cs="黑体"/>
          <w:i w:val="0"/>
          <w:iCs w:val="0"/>
          <w:caps w:val="0"/>
          <w:color w:val="auto"/>
          <w:spacing w:val="0"/>
          <w:kern w:val="0"/>
          <w:sz w:val="32"/>
          <w:szCs w:val="32"/>
          <w:highlight w:val="none"/>
          <w:lang w:val="en-US" w:eastAsia="zh-CN" w:bidi="ar"/>
        </w:rPr>
      </w:pPr>
      <w:r>
        <w:rPr>
          <w:rFonts w:hint="eastAsia" w:ascii="黑体" w:hAnsi="宋体" w:eastAsia="黑体" w:cs="黑体"/>
          <w:i w:val="0"/>
          <w:iCs w:val="0"/>
          <w:caps w:val="0"/>
          <w:color w:val="auto"/>
          <w:spacing w:val="0"/>
          <w:kern w:val="0"/>
          <w:sz w:val="32"/>
          <w:szCs w:val="32"/>
          <w:highlight w:val="none"/>
          <w:lang w:val="en-US" w:eastAsia="zh-CN" w:bidi="ar"/>
        </w:rPr>
        <w:t xml:space="preserve">第二十六条 </w:t>
      </w:r>
      <w:r>
        <w:rPr>
          <w:rFonts w:hint="eastAsia" w:ascii="仿宋_GB2312" w:hAnsi="Calibri" w:eastAsia="仿宋_GB2312" w:cs="仿宋_GB2312"/>
          <w:i w:val="0"/>
          <w:iCs w:val="0"/>
          <w:caps w:val="0"/>
          <w:color w:val="auto"/>
          <w:spacing w:val="0"/>
          <w:kern w:val="0"/>
          <w:sz w:val="32"/>
          <w:szCs w:val="32"/>
          <w:highlight w:val="none"/>
          <w:lang w:val="en-US" w:eastAsia="zh-CN" w:bidi="ar"/>
        </w:rPr>
        <w:t>本办法实施前，已经商务部认定为“中华老字号”</w:t>
      </w:r>
      <w:r>
        <w:rPr>
          <w:rFonts w:hint="eastAsia" w:ascii="仿宋_GB2312" w:eastAsia="仿宋_GB2312" w:cs="仿宋_GB2312"/>
          <w:i w:val="0"/>
          <w:iCs w:val="0"/>
          <w:caps w:val="0"/>
          <w:color w:val="auto"/>
          <w:spacing w:val="0"/>
          <w:kern w:val="0"/>
          <w:sz w:val="32"/>
          <w:szCs w:val="32"/>
          <w:highlight w:val="none"/>
          <w:lang w:val="en-US" w:eastAsia="zh-CN" w:bidi="ar"/>
        </w:rPr>
        <w:t>、省商务厅认定为“广东老字号”</w:t>
      </w:r>
      <w:r>
        <w:rPr>
          <w:rFonts w:hint="eastAsia" w:ascii="仿宋_GB2312" w:hAnsi="Calibri" w:eastAsia="仿宋_GB2312" w:cs="仿宋_GB2312"/>
          <w:i w:val="0"/>
          <w:iCs w:val="0"/>
          <w:caps w:val="0"/>
          <w:color w:val="auto"/>
          <w:spacing w:val="0"/>
          <w:kern w:val="0"/>
          <w:sz w:val="32"/>
          <w:szCs w:val="32"/>
          <w:highlight w:val="none"/>
          <w:lang w:val="en-US" w:eastAsia="zh-CN" w:bidi="ar"/>
        </w:rPr>
        <w:t>的，自动列入</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 xml:space="preserve">老字号名录，按照本办法管理。   </w:t>
      </w:r>
      <w:r>
        <w:rPr>
          <w:rFonts w:hint="eastAsia" w:ascii="黑体" w:hAnsi="宋体" w:eastAsia="黑体" w:cs="黑体"/>
          <w:i w:val="0"/>
          <w:iCs w:val="0"/>
          <w:caps w:val="0"/>
          <w:color w:val="auto"/>
          <w:spacing w:val="0"/>
          <w:kern w:val="0"/>
          <w:sz w:val="32"/>
          <w:szCs w:val="32"/>
          <w:highlight w:val="none"/>
          <w:lang w:val="en-US" w:eastAsia="zh-CN" w:bidi="ar"/>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hAnsi="Calibri" w:eastAsia="仿宋_GB2312" w:cs="仿宋_GB2312"/>
          <w:i w:val="0"/>
          <w:iCs w:val="0"/>
          <w:caps w:val="0"/>
          <w:color w:val="auto"/>
          <w:spacing w:val="0"/>
          <w:kern w:val="0"/>
          <w:sz w:val="32"/>
          <w:szCs w:val="32"/>
          <w:highlight w:val="none"/>
          <w:lang w:val="en-US" w:eastAsia="zh-CN" w:bidi="ar"/>
        </w:rPr>
      </w:pPr>
      <w:r>
        <w:rPr>
          <w:rFonts w:hint="eastAsia" w:ascii="黑体" w:hAnsi="宋体" w:eastAsia="黑体" w:cs="黑体"/>
          <w:i w:val="0"/>
          <w:iCs w:val="0"/>
          <w:caps w:val="0"/>
          <w:color w:val="auto"/>
          <w:spacing w:val="0"/>
          <w:kern w:val="0"/>
          <w:sz w:val="32"/>
          <w:szCs w:val="32"/>
          <w:highlight w:val="none"/>
          <w:lang w:val="en-US" w:eastAsia="zh-CN" w:bidi="ar"/>
        </w:rPr>
        <w:t>第二十七条 </w:t>
      </w:r>
      <w:r>
        <w:rPr>
          <w:rFonts w:hint="eastAsia" w:ascii="仿宋_GB2312" w:hAnsi="Calibri" w:eastAsia="仿宋_GB2312" w:cs="仿宋_GB2312"/>
          <w:i w:val="0"/>
          <w:iCs w:val="0"/>
          <w:caps w:val="0"/>
          <w:color w:val="auto"/>
          <w:spacing w:val="0"/>
          <w:kern w:val="0"/>
          <w:sz w:val="32"/>
          <w:szCs w:val="32"/>
          <w:highlight w:val="none"/>
          <w:lang w:val="en-US" w:eastAsia="zh-CN" w:bidi="ar"/>
        </w:rPr>
        <w:t>本办法由</w:t>
      </w:r>
      <w:r>
        <w:rPr>
          <w:rFonts w:hint="eastAsia" w:ascii="仿宋_GB2312" w:eastAsia="仿宋_GB2312" w:cs="仿宋_GB2312"/>
          <w:i w:val="0"/>
          <w:iCs w:val="0"/>
          <w:caps w:val="0"/>
          <w:color w:val="auto"/>
          <w:spacing w:val="0"/>
          <w:kern w:val="0"/>
          <w:sz w:val="32"/>
          <w:szCs w:val="32"/>
          <w:highlight w:val="none"/>
          <w:lang w:val="en-US" w:eastAsia="zh-CN" w:bidi="ar"/>
        </w:rPr>
        <w:t>珠海市商务局</w:t>
      </w:r>
      <w:r>
        <w:rPr>
          <w:rFonts w:hint="eastAsia" w:ascii="仿宋_GB2312" w:hAnsi="Calibri" w:eastAsia="仿宋_GB2312" w:cs="仿宋_GB2312"/>
          <w:i w:val="0"/>
          <w:iCs w:val="0"/>
          <w:caps w:val="0"/>
          <w:color w:val="auto"/>
          <w:spacing w:val="0"/>
          <w:kern w:val="0"/>
          <w:sz w:val="32"/>
          <w:szCs w:val="32"/>
          <w:highlight w:val="none"/>
          <w:lang w:val="en-US" w:eastAsia="zh-CN" w:bidi="ar"/>
        </w:rPr>
        <w:t>负责解释。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default" w:ascii="仿宋_GB2312" w:hAnsi="Calibri" w:eastAsia="仿宋_GB2312" w:cs="仿宋_GB2312"/>
          <w:i w:val="0"/>
          <w:iCs w:val="0"/>
          <w:caps w:val="0"/>
          <w:color w:val="auto"/>
          <w:spacing w:val="0"/>
          <w:kern w:val="0"/>
          <w:sz w:val="32"/>
          <w:szCs w:val="32"/>
          <w:highlight w:val="none"/>
          <w:lang w:val="en-US" w:eastAsia="zh-CN" w:bidi="ar"/>
        </w:rPr>
      </w:pPr>
      <w:r>
        <w:rPr>
          <w:rFonts w:hint="eastAsia" w:ascii="黑体" w:hAnsi="宋体" w:eastAsia="黑体" w:cs="黑体"/>
          <w:i w:val="0"/>
          <w:iCs w:val="0"/>
          <w:caps w:val="0"/>
          <w:color w:val="auto"/>
          <w:spacing w:val="0"/>
          <w:kern w:val="0"/>
          <w:sz w:val="32"/>
          <w:szCs w:val="32"/>
          <w:highlight w:val="none"/>
          <w:lang w:val="en-US" w:eastAsia="zh-CN" w:bidi="ar"/>
        </w:rPr>
        <w:t>第二十八条 </w:t>
      </w:r>
      <w:r>
        <w:rPr>
          <w:rFonts w:hint="eastAsia" w:ascii="仿宋_GB2312" w:hAnsi="Calibri" w:eastAsia="仿宋_GB2312" w:cs="仿宋_GB2312"/>
          <w:i w:val="0"/>
          <w:iCs w:val="0"/>
          <w:caps w:val="0"/>
          <w:color w:val="auto"/>
          <w:spacing w:val="0"/>
          <w:kern w:val="0"/>
          <w:sz w:val="32"/>
          <w:szCs w:val="32"/>
          <w:highlight w:val="none"/>
          <w:lang w:val="en-US" w:eastAsia="zh-CN" w:bidi="ar"/>
        </w:rPr>
        <w:t>本办法自</w:t>
      </w:r>
      <w:r>
        <w:rPr>
          <w:rFonts w:hint="eastAsia" w:ascii="仿宋_GB2312" w:eastAsia="仿宋_GB2312" w:cs="仿宋_GB2312"/>
          <w:i w:val="0"/>
          <w:iCs w:val="0"/>
          <w:caps w:val="0"/>
          <w:color w:val="auto"/>
          <w:spacing w:val="0"/>
          <w:kern w:val="0"/>
          <w:sz w:val="32"/>
          <w:szCs w:val="32"/>
          <w:highlight w:val="none"/>
          <w:lang w:val="en-US" w:eastAsia="zh-CN" w:bidi="ar"/>
        </w:rPr>
        <w:t>发布之日</w:t>
      </w:r>
      <w:r>
        <w:rPr>
          <w:rFonts w:hint="eastAsia" w:ascii="仿宋_GB2312" w:hAnsi="Calibri" w:eastAsia="仿宋_GB2312" w:cs="仿宋_GB2312"/>
          <w:i w:val="0"/>
          <w:iCs w:val="0"/>
          <w:caps w:val="0"/>
          <w:color w:val="auto"/>
          <w:spacing w:val="0"/>
          <w:kern w:val="0"/>
          <w:sz w:val="32"/>
          <w:szCs w:val="32"/>
          <w:highlight w:val="none"/>
          <w:lang w:val="en-US" w:eastAsia="zh-CN" w:bidi="ar"/>
        </w:rPr>
        <w:t>起施行</w:t>
      </w:r>
      <w:r>
        <w:rPr>
          <w:rFonts w:hint="eastAsia" w:ascii="仿宋_GB2312" w:eastAsia="仿宋_GB2312" w:cs="仿宋_GB2312"/>
          <w:i w:val="0"/>
          <w:iCs w:val="0"/>
          <w:caps w:val="0"/>
          <w:color w:val="auto"/>
          <w:spacing w:val="0"/>
          <w:kern w:val="0"/>
          <w:sz w:val="32"/>
          <w:szCs w:val="32"/>
          <w:highlight w:val="none"/>
          <w:lang w:val="en-US" w:eastAsia="zh-CN" w:bidi="ar"/>
        </w:rPr>
        <w:t>，有效期五年</w:t>
      </w:r>
      <w:r>
        <w:rPr>
          <w:rFonts w:hint="eastAsia" w:ascii="仿宋_GB2312" w:hAnsi="Calibri" w:eastAsia="仿宋_GB2312" w:cs="仿宋_GB2312"/>
          <w:i w:val="0"/>
          <w:iCs w:val="0"/>
          <w:caps w:val="0"/>
          <w:color w:val="auto"/>
          <w:spacing w:val="0"/>
          <w:kern w:val="0"/>
          <w:sz w:val="32"/>
          <w:szCs w:val="32"/>
          <w:highlight w:val="none"/>
          <w:lang w:val="en-US" w:eastAsia="zh-CN" w:bidi="ar"/>
        </w:rPr>
        <w:t xml:space="preserve">。 </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Calibri" w:eastAsia="仿宋_GB2312" w:cs="仿宋_GB2312"/>
          <w:i w:val="0"/>
          <w:iCs w:val="0"/>
          <w:caps w:val="0"/>
          <w:color w:val="auto"/>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Calibri" w:eastAsia="仿宋_GB2312" w:cs="仿宋_GB2312"/>
          <w:i w:val="0"/>
          <w:iCs w:val="0"/>
          <w:caps w:val="0"/>
          <w:color w:val="auto"/>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Calibri" w:eastAsia="仿宋_GB2312" w:cs="仿宋_GB2312"/>
          <w:i w:val="0"/>
          <w:iCs w:val="0"/>
          <w:caps w:val="0"/>
          <w:color w:val="auto"/>
          <w:spacing w:val="0"/>
          <w:kern w:val="0"/>
          <w:sz w:val="32"/>
          <w:szCs w:val="32"/>
          <w:highlight w:val="none"/>
          <w:lang w:val="en-US" w:eastAsia="zh-CN" w:bidi="ar"/>
        </w:rPr>
      </w:pPr>
      <w:r>
        <w:rPr>
          <w:rFonts w:hint="eastAsia" w:ascii="仿宋_GB2312" w:hAnsi="Calibri" w:eastAsia="仿宋_GB2312" w:cs="仿宋_GB2312"/>
          <w:i w:val="0"/>
          <w:iCs w:val="0"/>
          <w:caps w:val="0"/>
          <w:color w:val="auto"/>
          <w:spacing w:val="0"/>
          <w:kern w:val="0"/>
          <w:sz w:val="32"/>
          <w:szCs w:val="32"/>
          <w:highlight w:val="none"/>
          <w:lang w:val="en-US" w:eastAsia="zh-CN" w:bidi="ar"/>
        </w:rPr>
        <w:t>附件：</w:t>
      </w:r>
      <w:r>
        <w:rPr>
          <w:rFonts w:hint="eastAsia" w:ascii="仿宋_GB2312" w:eastAsia="仿宋_GB2312" w:cs="仿宋_GB2312"/>
          <w:i w:val="0"/>
          <w:iCs w:val="0"/>
          <w:caps w:val="0"/>
          <w:color w:val="auto"/>
          <w:spacing w:val="0"/>
          <w:kern w:val="0"/>
          <w:sz w:val="32"/>
          <w:szCs w:val="32"/>
          <w:highlight w:val="none"/>
          <w:lang w:val="en-US" w:eastAsia="zh-CN" w:bidi="ar"/>
        </w:rPr>
        <w:t>1</w:t>
      </w:r>
      <w:r>
        <w:rPr>
          <w:rFonts w:hint="eastAsia" w:ascii="仿宋" w:hAnsi="仿宋" w:eastAsia="仿宋" w:cs="仿宋"/>
          <w:i w:val="0"/>
          <w:iCs w:val="0"/>
          <w:caps w:val="0"/>
          <w:color w:val="auto"/>
          <w:spacing w:val="0"/>
          <w:kern w:val="0"/>
          <w:sz w:val="32"/>
          <w:szCs w:val="32"/>
          <w:highlight w:val="none"/>
          <w:lang w:val="en-US" w:eastAsia="zh-CN" w:bidi="ar"/>
        </w:rPr>
        <w:t>．</w:t>
      </w:r>
      <w:r>
        <w:rPr>
          <w:rFonts w:hint="eastAsia" w:ascii="仿宋_GB2312" w:eastAsia="仿宋_GB2312" w:cs="仿宋_GB2312"/>
          <w:i w:val="0"/>
          <w:iCs w:val="0"/>
          <w:caps w:val="0"/>
          <w:color w:val="auto"/>
          <w:spacing w:val="0"/>
          <w:kern w:val="0"/>
          <w:sz w:val="32"/>
          <w:szCs w:val="32"/>
          <w:highlight w:val="none"/>
          <w:lang w:val="en-US" w:eastAsia="zh-CN" w:bidi="ar"/>
        </w:rPr>
        <w:t>珠海</w:t>
      </w:r>
      <w:r>
        <w:rPr>
          <w:rFonts w:hint="eastAsia" w:ascii="仿宋_GB2312" w:hAnsi="Calibri" w:eastAsia="仿宋_GB2312" w:cs="仿宋_GB2312"/>
          <w:i w:val="0"/>
          <w:iCs w:val="0"/>
          <w:caps w:val="0"/>
          <w:color w:val="auto"/>
          <w:spacing w:val="0"/>
          <w:kern w:val="0"/>
          <w:sz w:val="32"/>
          <w:szCs w:val="32"/>
          <w:highlight w:val="none"/>
          <w:lang w:val="en-US" w:eastAsia="zh-CN" w:bidi="ar"/>
        </w:rPr>
        <w:t>老字号标识和牌匾使用规定</w:t>
      </w:r>
    </w:p>
    <w:p>
      <w:pPr>
        <w:keepNext w:val="0"/>
        <w:keepLines w:val="0"/>
        <w:pageBreakBefore w:val="0"/>
        <w:kinsoku/>
        <w:wordWrap/>
        <w:overflowPunct/>
        <w:topLinePunct w:val="0"/>
        <w:autoSpaceDE/>
        <w:autoSpaceDN/>
        <w:bidi w:val="0"/>
        <w:adjustRightInd/>
        <w:snapToGrid/>
        <w:spacing w:line="240" w:lineRule="auto"/>
        <w:ind w:firstLine="1600" w:firstLineChars="500"/>
        <w:jc w:val="both"/>
        <w:textAlignment w:val="auto"/>
        <w:rPr>
          <w:rFonts w:hint="eastAsia" w:ascii="仿宋_GB2312" w:hAnsi="Calibri" w:eastAsia="仿宋_GB2312" w:cs="仿宋_GB2312"/>
          <w:i w:val="0"/>
          <w:iCs w:val="0"/>
          <w:caps w:val="0"/>
          <w:color w:val="auto"/>
          <w:spacing w:val="0"/>
          <w:kern w:val="0"/>
          <w:sz w:val="32"/>
          <w:szCs w:val="32"/>
          <w:highlight w:val="none"/>
          <w:lang w:val="en-US" w:eastAsia="zh-CN" w:bidi="ar"/>
        </w:rPr>
      </w:pPr>
      <w:r>
        <w:rPr>
          <w:rFonts w:hint="eastAsia" w:ascii="仿宋_GB2312" w:eastAsia="仿宋_GB2312" w:cs="仿宋_GB2312"/>
          <w:i w:val="0"/>
          <w:iCs w:val="0"/>
          <w:caps w:val="0"/>
          <w:color w:val="auto"/>
          <w:spacing w:val="0"/>
          <w:kern w:val="0"/>
          <w:sz w:val="32"/>
          <w:szCs w:val="32"/>
          <w:highlight w:val="none"/>
          <w:lang w:val="en-US" w:eastAsia="zh-CN" w:bidi="ar"/>
        </w:rPr>
        <w:t>2</w:t>
      </w:r>
      <w:r>
        <w:rPr>
          <w:rFonts w:hint="eastAsia" w:ascii="仿宋" w:hAnsi="仿宋" w:eastAsia="仿宋" w:cs="仿宋"/>
          <w:i w:val="0"/>
          <w:iCs w:val="0"/>
          <w:caps w:val="0"/>
          <w:color w:val="auto"/>
          <w:spacing w:val="0"/>
          <w:kern w:val="0"/>
          <w:sz w:val="32"/>
          <w:szCs w:val="32"/>
          <w:highlight w:val="none"/>
          <w:lang w:val="en-US" w:eastAsia="zh-CN" w:bidi="ar"/>
        </w:rPr>
        <w:t>．</w:t>
      </w:r>
      <w:r>
        <w:rPr>
          <w:rFonts w:hint="eastAsia" w:ascii="仿宋_GB2312" w:eastAsia="仿宋_GB2312" w:cs="仿宋_GB2312"/>
          <w:i w:val="0"/>
          <w:iCs w:val="0"/>
          <w:caps w:val="0"/>
          <w:color w:val="auto"/>
          <w:spacing w:val="0"/>
          <w:kern w:val="0"/>
          <w:sz w:val="32"/>
          <w:szCs w:val="32"/>
          <w:highlight w:val="none"/>
          <w:lang w:val="en-US" w:eastAsia="zh-CN" w:bidi="ar"/>
        </w:rPr>
        <w:t>“珠海老字号”评选及认定要求</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CESI黑体-GB2312" w:hAnsi="CESI黑体-GB2312" w:eastAsia="CESI黑体-GB2312" w:cs="CESI黑体-GB2312"/>
          <w:i w:val="0"/>
          <w:iCs w:val="0"/>
          <w:caps w:val="0"/>
          <w:color w:val="auto"/>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CESI黑体-GB2312" w:hAnsi="CESI黑体-GB2312" w:eastAsia="CESI黑体-GB2312" w:cs="CESI黑体-GB2312"/>
          <w:i w:val="0"/>
          <w:iCs w:val="0"/>
          <w:caps w:val="0"/>
          <w:color w:val="auto"/>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CESI黑体-GB2312" w:hAnsi="CESI黑体-GB2312" w:eastAsia="CESI黑体-GB2312" w:cs="CESI黑体-GB2312"/>
          <w:i w:val="0"/>
          <w:iCs w:val="0"/>
          <w:caps w:val="0"/>
          <w:color w:val="auto"/>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CESI黑体-GB2312" w:hAnsi="CESI黑体-GB2312" w:eastAsia="CESI黑体-GB2312" w:cs="CESI黑体-GB2312"/>
          <w:i w:val="0"/>
          <w:iCs w:val="0"/>
          <w:caps w:val="0"/>
          <w:color w:val="auto"/>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CESI黑体-GB2312" w:hAnsi="CESI黑体-GB2312" w:eastAsia="CESI黑体-GB2312" w:cs="CESI黑体-GB2312"/>
          <w:i w:val="0"/>
          <w:iCs w:val="0"/>
          <w:caps w:val="0"/>
          <w:color w:val="auto"/>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CESI黑体-GB2312" w:hAnsi="CESI黑体-GB2312" w:eastAsia="CESI黑体-GB2312" w:cs="CESI黑体-GB2312"/>
          <w:i w:val="0"/>
          <w:iCs w:val="0"/>
          <w:caps w:val="0"/>
          <w:color w:val="auto"/>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CESI黑体-GB2312" w:hAnsi="CESI黑体-GB2312" w:eastAsia="CESI黑体-GB2312" w:cs="CESI黑体-GB2312"/>
          <w:i w:val="0"/>
          <w:iCs w:val="0"/>
          <w:caps w:val="0"/>
          <w:color w:val="auto"/>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CESI黑体-GB2312" w:hAnsi="CESI黑体-GB2312" w:eastAsia="CESI黑体-GB2312" w:cs="CESI黑体-GB2312"/>
          <w:i w:val="0"/>
          <w:iCs w:val="0"/>
          <w:caps w:val="0"/>
          <w:color w:val="auto"/>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CESI黑体-GB2312" w:hAnsi="CESI黑体-GB2312" w:eastAsia="CESI黑体-GB2312" w:cs="CESI黑体-GB2312"/>
          <w:i w:val="0"/>
          <w:iCs w:val="0"/>
          <w:caps w:val="0"/>
          <w:color w:val="auto"/>
          <w:spacing w:val="0"/>
          <w:kern w:val="0"/>
          <w:sz w:val="32"/>
          <w:szCs w:val="32"/>
          <w:highlight w:val="none"/>
          <w:lang w:val="en-US" w:eastAsia="zh-CN" w:bidi="ar"/>
        </w:rPr>
      </w:pPr>
      <w:r>
        <w:rPr>
          <w:rFonts w:hint="eastAsia" w:ascii="CESI黑体-GB2312" w:hAnsi="CESI黑体-GB2312" w:eastAsia="CESI黑体-GB2312" w:cs="CESI黑体-GB2312"/>
          <w:i w:val="0"/>
          <w:iCs w:val="0"/>
          <w:caps w:val="0"/>
          <w:color w:val="auto"/>
          <w:spacing w:val="0"/>
          <w:kern w:val="0"/>
          <w:sz w:val="32"/>
          <w:szCs w:val="32"/>
          <w:highlight w:val="none"/>
          <w:lang w:val="en-US" w:eastAsia="zh-CN" w:bidi="ar"/>
        </w:rPr>
        <w:t>附件1</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highlight w:val="none"/>
          <w:lang w:eastAsia="zh-CN"/>
        </w:rPr>
      </w:pPr>
      <w:r>
        <w:rPr>
          <w:rFonts w:hint="eastAsia" w:ascii="方正小标宋简体" w:hAnsi="方正小标宋简体" w:eastAsia="方正小标宋简体" w:cs="方正小标宋简体"/>
          <w:sz w:val="44"/>
          <w:szCs w:val="52"/>
          <w:highlight w:val="none"/>
          <w:lang w:eastAsia="zh-CN"/>
        </w:rPr>
        <w:t>珠海老字号标识和牌匾使用规定</w:t>
      </w:r>
    </w:p>
    <w:p>
      <w:pPr>
        <w:pStyle w:val="4"/>
        <w:keepNext w:val="0"/>
        <w:keepLines w:val="0"/>
        <w:pageBreakBefore w:val="0"/>
        <w:kinsoku/>
        <w:wordWrap/>
        <w:overflowPunct/>
        <w:topLinePunct w:val="0"/>
        <w:autoSpaceDE/>
        <w:autoSpaceDN/>
        <w:bidi w:val="0"/>
        <w:adjustRightInd/>
        <w:snapToGrid/>
        <w:spacing w:after="0" w:line="240" w:lineRule="auto"/>
        <w:jc w:val="both"/>
        <w:textAlignment w:val="auto"/>
        <w:rPr>
          <w:rFonts w:hint="eastAsia" w:ascii="CESI黑体-GB2312" w:hAnsi="CESI黑体-GB2312" w:eastAsia="CESI黑体-GB2312" w:cs="CESI黑体-GB2312"/>
          <w:sz w:val="32"/>
          <w:szCs w:val="40"/>
          <w:highlight w:val="none"/>
          <w:lang w:eastAsia="zh-CN"/>
        </w:rPr>
      </w:pPr>
    </w:p>
    <w:p>
      <w:pPr>
        <w:pStyle w:val="4"/>
        <w:keepNext w:val="0"/>
        <w:keepLines w:val="0"/>
        <w:pageBreakBefore w:val="0"/>
        <w:numPr>
          <w:ilvl w:val="0"/>
          <w:numId w:val="0"/>
        </w:numPr>
        <w:kinsoku/>
        <w:wordWrap/>
        <w:overflowPunct/>
        <w:topLinePunct w:val="0"/>
        <w:autoSpaceDE/>
        <w:autoSpaceDN/>
        <w:bidi w:val="0"/>
        <w:adjustRightInd/>
        <w:snapToGrid/>
        <w:spacing w:after="0" w:line="240" w:lineRule="auto"/>
        <w:ind w:leftChars="0" w:firstLine="640" w:firstLineChars="200"/>
        <w:jc w:val="both"/>
        <w:textAlignment w:val="auto"/>
        <w:rPr>
          <w:rFonts w:hint="eastAsia" w:ascii="仿宋_GB2312" w:hAnsi="仿宋_GB2312" w:eastAsia="仿宋_GB2312" w:cs="仿宋_GB2312"/>
          <w:sz w:val="32"/>
          <w:szCs w:val="40"/>
          <w:highlight w:val="none"/>
          <w:lang w:val="en-US" w:eastAsia="zh-CN"/>
        </w:rPr>
      </w:pPr>
      <w:r>
        <w:rPr>
          <w:rFonts w:hint="eastAsia" w:ascii="黑体" w:hAnsi="黑体" w:eastAsia="黑体" w:cs="黑体"/>
          <w:b w:val="0"/>
          <w:bCs w:val="0"/>
          <w:sz w:val="32"/>
          <w:szCs w:val="40"/>
          <w:highlight w:val="none"/>
          <w:lang w:val="en-US" w:eastAsia="zh-CN"/>
        </w:rPr>
        <w:t>第一条</w:t>
      </w:r>
      <w:r>
        <w:rPr>
          <w:rFonts w:hint="eastAsia" w:ascii="仿宋_GB2312" w:hAnsi="仿宋_GB2312" w:eastAsia="仿宋_GB2312" w:cs="仿宋_GB2312"/>
          <w:sz w:val="32"/>
          <w:szCs w:val="40"/>
          <w:highlight w:val="none"/>
          <w:lang w:val="en-US" w:eastAsia="zh-CN"/>
        </w:rPr>
        <w:t xml:space="preserve"> 为维护珠海老字号信誉、加强对珠海老字号标识和牌匾的管理，规范珠海老字号标识和牌匾的使用、依据《珠海老字号认定管理办法》，制定本规定。</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default"/>
          <w:highlight w:val="none"/>
          <w:lang w:val="en-US" w:eastAsia="zh-CN"/>
        </w:rPr>
      </w:pPr>
      <w:r>
        <w:rPr>
          <w:rFonts w:hint="eastAsia" w:ascii="黑体" w:hAnsi="黑体" w:eastAsia="黑体" w:cs="黑体"/>
          <w:b w:val="0"/>
          <w:bCs w:val="0"/>
          <w:kern w:val="2"/>
          <w:sz w:val="32"/>
          <w:szCs w:val="40"/>
          <w:highlight w:val="none"/>
          <w:lang w:val="en-US" w:eastAsia="zh-CN" w:bidi="ar-SA"/>
        </w:rPr>
        <w:t>第二条</w:t>
      </w:r>
      <w:r>
        <w:rPr>
          <w:rFonts w:hint="eastAsia" w:ascii="仿宋_GB2312" w:hAnsi="仿宋_GB2312" w:eastAsia="仿宋_GB2312" w:cs="仿宋_GB2312"/>
          <w:sz w:val="32"/>
          <w:szCs w:val="40"/>
          <w:highlight w:val="none"/>
          <w:lang w:val="en-US" w:eastAsia="zh-CN"/>
        </w:rPr>
        <w:t xml:space="preserve"> 珠海老字号标识和牌匾的使用应当遵循本规定。</w:t>
      </w:r>
    </w:p>
    <w:p>
      <w:pPr>
        <w:pStyle w:val="4"/>
        <w:keepNext w:val="0"/>
        <w:keepLines w:val="0"/>
        <w:pageBreakBefore w:val="0"/>
        <w:numPr>
          <w:ilvl w:val="0"/>
          <w:numId w:val="0"/>
        </w:numPr>
        <w:kinsoku/>
        <w:wordWrap/>
        <w:overflowPunct/>
        <w:topLinePunct w:val="0"/>
        <w:autoSpaceDE/>
        <w:autoSpaceDN/>
        <w:bidi w:val="0"/>
        <w:adjustRightInd/>
        <w:snapToGrid/>
        <w:spacing w:after="0" w:line="240" w:lineRule="auto"/>
        <w:ind w:leftChars="0" w:firstLine="640" w:firstLineChars="200"/>
        <w:jc w:val="both"/>
        <w:textAlignment w:val="auto"/>
        <w:rPr>
          <w:rFonts w:hint="eastAsia" w:ascii="仿宋_GB2312" w:hAnsi="仿宋_GB2312" w:eastAsia="仿宋_GB2312" w:cs="仿宋_GB2312"/>
          <w:sz w:val="32"/>
          <w:szCs w:val="40"/>
          <w:highlight w:val="none"/>
          <w:lang w:val="en-US" w:eastAsia="zh-CN"/>
        </w:rPr>
      </w:pPr>
      <w:r>
        <w:rPr>
          <w:rFonts w:hint="eastAsia" w:ascii="黑体" w:hAnsi="黑体" w:eastAsia="黑体" w:cs="黑体"/>
          <w:b w:val="0"/>
          <w:bCs w:val="0"/>
          <w:kern w:val="2"/>
          <w:sz w:val="32"/>
          <w:szCs w:val="40"/>
          <w:highlight w:val="none"/>
          <w:lang w:val="en-US" w:eastAsia="zh-CN" w:bidi="ar-SA"/>
        </w:rPr>
        <w:t>第三条</w:t>
      </w:r>
      <w:r>
        <w:rPr>
          <w:rFonts w:hint="eastAsia" w:ascii="仿宋_GB2312" w:hAnsi="仿宋_GB2312" w:eastAsia="仿宋_GB2312" w:cs="仿宋_GB2312"/>
          <w:sz w:val="32"/>
          <w:szCs w:val="40"/>
          <w:highlight w:val="none"/>
          <w:lang w:val="en-US" w:eastAsia="zh-CN"/>
        </w:rPr>
        <w:t xml:space="preserve"> 市商务局对珠海老字号的标识和牌匾的使用实行统一的管理和监督。区级商务部门按照职责分工对所辖区域内珠海老字号标识和牌匾的使用进行管理和监督。</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_GB2312" w:hAnsi="仿宋_GB2312" w:eastAsia="仿宋_GB2312" w:cs="仿宋_GB2312"/>
          <w:sz w:val="32"/>
          <w:szCs w:val="40"/>
          <w:highlight w:val="none"/>
          <w:lang w:val="en-US" w:eastAsia="zh-CN"/>
        </w:rPr>
      </w:pPr>
      <w:r>
        <w:rPr>
          <w:rFonts w:hint="eastAsia" w:ascii="黑体" w:hAnsi="黑体" w:eastAsia="黑体" w:cs="黑体"/>
          <w:b w:val="0"/>
          <w:bCs w:val="0"/>
          <w:kern w:val="2"/>
          <w:sz w:val="32"/>
          <w:szCs w:val="40"/>
          <w:highlight w:val="none"/>
          <w:lang w:val="en-US" w:eastAsia="zh-CN" w:bidi="ar-SA"/>
        </w:rPr>
        <w:t xml:space="preserve">第四条 </w:t>
      </w:r>
      <w:r>
        <w:rPr>
          <w:rFonts w:hint="eastAsia"/>
          <w:highlight w:val="none"/>
          <w:lang w:val="en-US" w:eastAsia="zh-CN"/>
        </w:rPr>
        <w:t xml:space="preserve"> </w:t>
      </w:r>
      <w:r>
        <w:rPr>
          <w:rFonts w:hint="eastAsia" w:ascii="仿宋_GB2312" w:hAnsi="仿宋_GB2312" w:eastAsia="仿宋_GB2312" w:cs="仿宋_GB2312"/>
          <w:sz w:val="32"/>
          <w:szCs w:val="40"/>
          <w:highlight w:val="none"/>
          <w:lang w:val="en-US" w:eastAsia="zh-CN"/>
        </w:rPr>
        <w:t>珠海老字号标识适用于市商务局认定的珠海老字号和珠海老字号企业。未被认定为珠海老字号的企业或个人，不得使用老字号标识和文字。</w:t>
      </w:r>
    </w:p>
    <w:p>
      <w:pPr>
        <w:pStyle w:val="4"/>
        <w:keepNext w:val="0"/>
        <w:keepLines w:val="0"/>
        <w:pageBreakBefore w:val="0"/>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 xml:space="preserve">    </w:t>
      </w:r>
      <w:r>
        <w:rPr>
          <w:rFonts w:hint="eastAsia" w:ascii="黑体" w:hAnsi="黑体" w:eastAsia="黑体" w:cs="黑体"/>
          <w:highlight w:val="none"/>
          <w:lang w:val="en-US" w:eastAsia="zh-CN"/>
        </w:rPr>
        <w:t>第五条</w:t>
      </w:r>
      <w:r>
        <w:rPr>
          <w:rFonts w:hint="eastAsia" w:ascii="仿宋_GB2312" w:hAnsi="仿宋_GB2312" w:eastAsia="仿宋_GB2312" w:cs="仿宋_GB2312"/>
          <w:highlight w:val="none"/>
          <w:lang w:val="en-US" w:eastAsia="zh-CN"/>
        </w:rPr>
        <w:t xml:space="preserve"> 珠海老字号标识属市商务局所有，标准标识式样另行公布。</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40"/>
          <w:highlight w:val="none"/>
          <w:lang w:val="en-US" w:eastAsia="zh-CN"/>
        </w:rPr>
      </w:pPr>
      <w:r>
        <w:rPr>
          <w:rFonts w:hint="eastAsia" w:ascii="黑体" w:hAnsi="黑体" w:eastAsia="黑体" w:cs="黑体"/>
          <w:kern w:val="2"/>
          <w:sz w:val="32"/>
          <w:szCs w:val="24"/>
          <w:highlight w:val="none"/>
          <w:lang w:val="en-US" w:eastAsia="zh-CN" w:bidi="ar-SA"/>
        </w:rPr>
        <w:t xml:space="preserve">第六条 </w:t>
      </w:r>
      <w:r>
        <w:rPr>
          <w:rFonts w:hint="eastAsia" w:ascii="仿宋_GB2312" w:hAnsi="仿宋_GB2312" w:eastAsia="仿宋_GB2312" w:cs="仿宋_GB2312"/>
          <w:sz w:val="32"/>
          <w:szCs w:val="40"/>
          <w:highlight w:val="none"/>
          <w:lang w:val="en-US" w:eastAsia="zh-CN"/>
        </w:rPr>
        <w:t>珠海老字号企业可以在相应产品或服务的包装、装潢、各类资料、广告宣传及互联网等媒介中使用统一规定的珠海老字号标识。</w:t>
      </w:r>
    </w:p>
    <w:p>
      <w:pPr>
        <w:pStyle w:val="4"/>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highlight w:val="none"/>
          <w:lang w:val="en-US" w:eastAsia="zh-CN"/>
        </w:rPr>
      </w:pPr>
      <w:r>
        <w:rPr>
          <w:rFonts w:hint="eastAsia" w:ascii="黑体" w:hAnsi="黑体" w:eastAsia="黑体" w:cs="黑体"/>
          <w:kern w:val="2"/>
          <w:sz w:val="32"/>
          <w:szCs w:val="24"/>
          <w:highlight w:val="none"/>
          <w:lang w:val="en-US" w:eastAsia="zh-CN" w:bidi="ar-SA"/>
        </w:rPr>
        <w:t xml:space="preserve">第七条 </w:t>
      </w:r>
      <w:r>
        <w:rPr>
          <w:rFonts w:hint="eastAsia" w:ascii="仿宋_GB2312" w:hAnsi="仿宋_GB2312" w:eastAsia="仿宋_GB2312" w:cs="仿宋_GB2312"/>
          <w:highlight w:val="none"/>
          <w:lang w:val="en-US" w:eastAsia="zh-CN"/>
        </w:rPr>
        <w:t>珠海老字号标识只能用于与珠海老字号相一致的产品或服务上，以其老字号注册商标核定使用的商品或服务为限，并应明显标注获得认定的企业名称，不得扩大使用范围。同时，应符合《中华人民共和国商标法》《中华人民共和国广告法》等相关法律法规要求。</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40"/>
          <w:highlight w:val="none"/>
          <w:lang w:val="en-US" w:eastAsia="zh-CN"/>
        </w:rPr>
      </w:pPr>
      <w:r>
        <w:rPr>
          <w:rFonts w:hint="eastAsia" w:ascii="黑体" w:hAnsi="黑体" w:eastAsia="黑体" w:cs="黑体"/>
          <w:kern w:val="2"/>
          <w:sz w:val="32"/>
          <w:szCs w:val="24"/>
          <w:highlight w:val="none"/>
          <w:lang w:val="en-US" w:eastAsia="zh-CN" w:bidi="ar-SA"/>
        </w:rPr>
        <w:t xml:space="preserve">第八条 </w:t>
      </w:r>
      <w:r>
        <w:rPr>
          <w:rFonts w:hint="eastAsia" w:ascii="仿宋_GB2312" w:hAnsi="仿宋_GB2312" w:eastAsia="仿宋_GB2312" w:cs="仿宋_GB2312"/>
          <w:sz w:val="32"/>
          <w:szCs w:val="40"/>
          <w:highlight w:val="none"/>
          <w:lang w:val="en-US" w:eastAsia="zh-CN"/>
        </w:rPr>
        <w:t>珠海老字号标识在使用时，必须根据规定的式样使用，可按比例放大或者缩小，但不得更改标识的比例关系和色值。</w:t>
      </w:r>
    </w:p>
    <w:p>
      <w:pPr>
        <w:pStyle w:val="4"/>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highlight w:val="none"/>
          <w:lang w:val="en-US" w:eastAsia="zh-CN"/>
        </w:rPr>
      </w:pPr>
      <w:r>
        <w:rPr>
          <w:rFonts w:hint="eastAsia" w:ascii="黑体" w:hAnsi="黑体" w:eastAsia="黑体" w:cs="黑体"/>
          <w:kern w:val="2"/>
          <w:sz w:val="32"/>
          <w:szCs w:val="24"/>
          <w:highlight w:val="none"/>
          <w:lang w:val="en-US" w:eastAsia="zh-CN" w:bidi="ar-SA"/>
        </w:rPr>
        <w:t xml:space="preserve">第九条 </w:t>
      </w:r>
      <w:r>
        <w:rPr>
          <w:rFonts w:hint="eastAsia" w:ascii="仿宋_GB2312" w:hAnsi="仿宋_GB2312" w:eastAsia="仿宋_GB2312" w:cs="仿宋_GB2312"/>
          <w:highlight w:val="none"/>
          <w:lang w:val="en-US" w:eastAsia="zh-CN"/>
        </w:rPr>
        <w:t>珠海老字号标识在印刷时，附着媒介的底色不得影响标识的标准色值，不得投叠其他色彩和图案。</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40"/>
          <w:highlight w:val="none"/>
          <w:lang w:val="en-US" w:eastAsia="zh-CN"/>
        </w:rPr>
      </w:pPr>
      <w:r>
        <w:rPr>
          <w:rFonts w:hint="eastAsia" w:ascii="黑体" w:hAnsi="黑体" w:eastAsia="黑体" w:cs="黑体"/>
          <w:kern w:val="2"/>
          <w:sz w:val="32"/>
          <w:szCs w:val="24"/>
          <w:highlight w:val="none"/>
          <w:lang w:val="en-US" w:eastAsia="zh-CN" w:bidi="ar-SA"/>
        </w:rPr>
        <w:t xml:space="preserve">第十条 </w:t>
      </w:r>
      <w:r>
        <w:rPr>
          <w:rFonts w:hint="eastAsia" w:ascii="仿宋_GB2312" w:hAnsi="仿宋_GB2312" w:eastAsia="仿宋_GB2312" w:cs="仿宋_GB2312"/>
          <w:sz w:val="32"/>
          <w:szCs w:val="40"/>
          <w:highlight w:val="none"/>
          <w:lang w:val="en-US" w:eastAsia="zh-CN"/>
        </w:rPr>
        <w:t>市商务局统一制作和颁发珠海老字号牌匾，未经许可，任何组织或个人不得自行制作、伪造、变造、销售或者冒用。</w:t>
      </w:r>
    </w:p>
    <w:p>
      <w:pPr>
        <w:pStyle w:val="4"/>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40"/>
          <w:highlight w:val="none"/>
          <w:lang w:val="en-US" w:eastAsia="zh-CN"/>
        </w:rPr>
      </w:pPr>
      <w:r>
        <w:rPr>
          <w:rFonts w:hint="eastAsia" w:ascii="黑体" w:hAnsi="黑体" w:eastAsia="黑体" w:cs="黑体"/>
          <w:kern w:val="2"/>
          <w:sz w:val="32"/>
          <w:szCs w:val="24"/>
          <w:highlight w:val="none"/>
          <w:lang w:val="en-US" w:eastAsia="zh-CN" w:bidi="ar-SA"/>
        </w:rPr>
        <w:t xml:space="preserve">第十一条 </w:t>
      </w:r>
      <w:r>
        <w:rPr>
          <w:rFonts w:hint="eastAsia" w:ascii="仿宋_GB2312" w:hAnsi="仿宋_GB2312" w:eastAsia="仿宋_GB2312" w:cs="仿宋_GB2312"/>
          <w:sz w:val="32"/>
          <w:szCs w:val="40"/>
          <w:highlight w:val="none"/>
          <w:lang w:val="en-US" w:eastAsia="zh-CN"/>
        </w:rPr>
        <w:t>珠海老字号牌匾不得复制。</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40"/>
          <w:highlight w:val="none"/>
          <w:lang w:val="en-US" w:eastAsia="zh-CN"/>
        </w:rPr>
      </w:pPr>
      <w:r>
        <w:rPr>
          <w:rFonts w:hint="eastAsia" w:ascii="黑体" w:hAnsi="黑体" w:eastAsia="黑体" w:cs="黑体"/>
          <w:kern w:val="2"/>
          <w:sz w:val="32"/>
          <w:szCs w:val="24"/>
          <w:highlight w:val="none"/>
          <w:lang w:val="en-US" w:eastAsia="zh-CN" w:bidi="ar-SA"/>
        </w:rPr>
        <w:t xml:space="preserve">第十二条 </w:t>
      </w:r>
      <w:r>
        <w:rPr>
          <w:rFonts w:hint="eastAsia" w:ascii="仿宋_GB2312" w:hAnsi="仿宋_GB2312" w:eastAsia="仿宋_GB2312" w:cs="仿宋_GB2312"/>
          <w:sz w:val="32"/>
          <w:szCs w:val="40"/>
          <w:highlight w:val="none"/>
          <w:lang w:val="en-US" w:eastAsia="zh-CN"/>
        </w:rPr>
        <w:t>珠海老字号牌匾应悬挂或者放置于珠海老字号企业主要办公或者经营场所，牌匾需保持牢固安全、整洁、美观，任何组织或者个人不得随意侵占、污损、破坏牌匾，如涉及不可移动文物对的，在悬挂、放置牌匾时不得破坏文物。</w:t>
      </w:r>
    </w:p>
    <w:p>
      <w:pPr>
        <w:pStyle w:val="4"/>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highlight w:val="none"/>
          <w:lang w:val="en-US" w:eastAsia="zh-CN"/>
        </w:rPr>
      </w:pPr>
      <w:r>
        <w:rPr>
          <w:rFonts w:hint="eastAsia" w:ascii="黑体" w:hAnsi="黑体" w:eastAsia="黑体" w:cs="黑体"/>
          <w:kern w:val="2"/>
          <w:sz w:val="32"/>
          <w:szCs w:val="24"/>
          <w:highlight w:val="none"/>
          <w:lang w:val="en-US" w:eastAsia="zh-CN" w:bidi="ar-SA"/>
        </w:rPr>
        <w:t xml:space="preserve">第十三条 </w:t>
      </w:r>
      <w:r>
        <w:rPr>
          <w:rFonts w:hint="eastAsia" w:ascii="仿宋_GB2312" w:hAnsi="仿宋_GB2312" w:eastAsia="仿宋_GB2312" w:cs="仿宋_GB2312"/>
          <w:szCs w:val="40"/>
          <w:highlight w:val="none"/>
          <w:lang w:val="en-US" w:eastAsia="zh-CN"/>
        </w:rPr>
        <w:t>珠海老字号企业被暂停珠海老字号标识、牌匾使用权期间，应撤回其含有珠海老字号标识的相关产品、服务，移除并妥善保存珠海老字号牌匾，且不得以珠海老字号的名义开展宣传。</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kern w:val="2"/>
          <w:sz w:val="32"/>
          <w:szCs w:val="24"/>
          <w:highlight w:val="none"/>
          <w:lang w:val="en-US" w:eastAsia="zh-CN" w:bidi="ar-SA"/>
        </w:rPr>
        <w:t xml:space="preserve">第十四条 </w:t>
      </w:r>
      <w:r>
        <w:rPr>
          <w:rFonts w:hint="eastAsia" w:ascii="仿宋_GB2312" w:hAnsi="仿宋_GB2312" w:eastAsia="仿宋_GB2312" w:cs="仿宋_GB2312"/>
          <w:sz w:val="32"/>
          <w:szCs w:val="32"/>
          <w:highlight w:val="none"/>
          <w:lang w:val="en-US" w:eastAsia="zh-CN"/>
        </w:rPr>
        <w:t>被移出珠海老字号名录并收回珠海老字号标识使用权及牌匾的企业，自市商务局作出决定之日起，停止使用珠海老字号标识，并负责清理自身使用的有关珠海老字号标识的各类宣传、产品、服务等；珠海老字号牌匾由各区商务部门负责收回，交由市商务局统一注销销毁。</w:t>
      </w:r>
    </w:p>
    <w:p>
      <w:pPr>
        <w:pStyle w:val="4"/>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Cs w:val="32"/>
          <w:highlight w:val="none"/>
          <w:lang w:val="en-US" w:eastAsia="zh-CN"/>
        </w:rPr>
      </w:pPr>
      <w:r>
        <w:rPr>
          <w:rFonts w:hint="eastAsia" w:ascii="黑体" w:hAnsi="黑体" w:eastAsia="黑体" w:cs="黑体"/>
          <w:kern w:val="2"/>
          <w:sz w:val="32"/>
          <w:szCs w:val="24"/>
          <w:highlight w:val="none"/>
          <w:lang w:val="en-US" w:eastAsia="zh-CN" w:bidi="ar-SA"/>
        </w:rPr>
        <w:t xml:space="preserve">第十五条 </w:t>
      </w:r>
      <w:r>
        <w:rPr>
          <w:rFonts w:hint="eastAsia" w:ascii="仿宋_GB2312" w:hAnsi="仿宋_GB2312" w:eastAsia="仿宋_GB2312" w:cs="仿宋_GB2312"/>
          <w:szCs w:val="32"/>
          <w:highlight w:val="none"/>
          <w:lang w:val="en-US" w:eastAsia="zh-CN"/>
        </w:rPr>
        <w:t>珠海老字号标识和牌匾不得擅自转让，珠海老字号企业的企业名称及注册商标人名义发生变更后，珠海老字号标识和牌匾的使用权随之变更，但须按照《珠海老字号认定管理办法》规定报市商务局备案。</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CESI黑体-GB2312" w:hAnsi="CESI黑体-GB2312" w:eastAsia="CESI黑体-GB2312" w:cs="CESI黑体-GB2312"/>
          <w:i w:val="0"/>
          <w:iCs w:val="0"/>
          <w:caps w:val="0"/>
          <w:color w:val="auto"/>
          <w:spacing w:val="0"/>
          <w:kern w:val="0"/>
          <w:sz w:val="32"/>
          <w:szCs w:val="32"/>
          <w:highlight w:val="none"/>
          <w:lang w:val="en-US" w:eastAsia="zh-CN" w:bidi="ar"/>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CESI黑体-GB2312" w:hAnsi="CESI黑体-GB2312" w:eastAsia="CESI黑体-GB2312" w:cs="CESI黑体-GB2312"/>
          <w:i w:val="0"/>
          <w:iCs w:val="0"/>
          <w:caps w:val="0"/>
          <w:color w:val="auto"/>
          <w:spacing w:val="0"/>
          <w:kern w:val="0"/>
          <w:sz w:val="32"/>
          <w:szCs w:val="32"/>
          <w:highlight w:val="none"/>
          <w:lang w:val="en-US" w:eastAsia="zh-CN" w:bidi="ar"/>
        </w:rPr>
      </w:pPr>
      <w:r>
        <w:rPr>
          <w:rFonts w:hint="eastAsia" w:ascii="CESI黑体-GB2312" w:hAnsi="CESI黑体-GB2312" w:eastAsia="CESI黑体-GB2312" w:cs="CESI黑体-GB2312"/>
          <w:i w:val="0"/>
          <w:iCs w:val="0"/>
          <w:caps w:val="0"/>
          <w:color w:val="auto"/>
          <w:spacing w:val="0"/>
          <w:kern w:val="0"/>
          <w:sz w:val="32"/>
          <w:szCs w:val="32"/>
          <w:highlight w:val="none"/>
          <w:lang w:val="en-US" w:eastAsia="zh-CN" w:bidi="ar"/>
        </w:rPr>
        <w:br w:type="page"/>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highlight w:val="none"/>
          <w:lang w:val="en-US" w:eastAsia="zh-CN"/>
        </w:rPr>
      </w:pPr>
      <w:r>
        <w:rPr>
          <w:rFonts w:hint="eastAsia" w:ascii="CESI黑体-GB2312" w:hAnsi="CESI黑体-GB2312" w:eastAsia="CESI黑体-GB2312" w:cs="CESI黑体-GB2312"/>
          <w:i w:val="0"/>
          <w:iCs w:val="0"/>
          <w:caps w:val="0"/>
          <w:color w:val="auto"/>
          <w:spacing w:val="0"/>
          <w:kern w:val="0"/>
          <w:sz w:val="32"/>
          <w:szCs w:val="32"/>
          <w:highlight w:val="none"/>
          <w:lang w:val="en-US" w:eastAsia="zh-CN" w:bidi="ar"/>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“珠海老字号”评选及认定要求</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黑体" w:hAnsi="黑体" w:eastAsia="黑体" w:cs="黑体"/>
          <w:sz w:val="32"/>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40"/>
          <w:highlight w:val="none"/>
          <w:lang w:val="en-US" w:eastAsia="zh-CN"/>
        </w:rPr>
      </w:pPr>
      <w:r>
        <w:rPr>
          <w:rFonts w:hint="eastAsia" w:ascii="黑体" w:hAnsi="黑体" w:eastAsia="黑体" w:cs="黑体"/>
          <w:kern w:val="2"/>
          <w:sz w:val="32"/>
          <w:szCs w:val="40"/>
          <w:highlight w:val="none"/>
          <w:lang w:val="en-US" w:eastAsia="zh-CN" w:bidi="ar-SA"/>
        </w:rPr>
        <w:t>一、</w:t>
      </w:r>
      <w:r>
        <w:rPr>
          <w:rFonts w:hint="eastAsia" w:ascii="黑体" w:hAnsi="黑体" w:eastAsia="黑体" w:cs="黑体"/>
          <w:sz w:val="32"/>
          <w:szCs w:val="40"/>
          <w:highlight w:val="none"/>
          <w:lang w:val="en-US" w:eastAsia="zh-CN"/>
        </w:rPr>
        <w:t>评选对象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商号在珠海市内注册登记，主营业务不变，企业产品、技艺或服务品牌与居民生活息息相关，并具备老字号特征的企业（可申报企业目录详见附表1）。</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黑体" w:hAnsi="黑体" w:eastAsia="黑体" w:cs="黑体"/>
          <w:sz w:val="32"/>
          <w:szCs w:val="40"/>
          <w:highlight w:val="none"/>
          <w:lang w:val="en-US" w:eastAsia="zh-CN"/>
        </w:rPr>
      </w:pPr>
      <w:r>
        <w:rPr>
          <w:rFonts w:hint="eastAsia" w:ascii="黑体" w:hAnsi="黑体" w:eastAsia="黑体" w:cs="黑体"/>
          <w:kern w:val="2"/>
          <w:sz w:val="32"/>
          <w:szCs w:val="40"/>
          <w:highlight w:val="none"/>
          <w:lang w:val="en-US" w:eastAsia="zh-CN" w:bidi="ar-SA"/>
        </w:rPr>
        <w:t>二、</w:t>
      </w:r>
      <w:r>
        <w:rPr>
          <w:rFonts w:hint="eastAsia" w:ascii="黑体" w:hAnsi="黑体" w:eastAsia="黑体" w:cs="黑体"/>
          <w:sz w:val="32"/>
          <w:szCs w:val="40"/>
          <w:highlight w:val="none"/>
          <w:lang w:val="en-US" w:eastAsia="zh-CN"/>
        </w:rPr>
        <w:t>申报原则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“珠海老字号”评选遵循“自主培育、自愿申报、优中择优、有进有出”的原则。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黑体" w:hAnsi="黑体" w:eastAsia="黑体" w:cs="黑体"/>
          <w:kern w:val="2"/>
          <w:sz w:val="32"/>
          <w:szCs w:val="40"/>
          <w:highlight w:val="none"/>
          <w:lang w:val="en-US" w:eastAsia="zh-CN" w:bidi="ar-SA"/>
        </w:rPr>
      </w:pPr>
      <w:r>
        <w:rPr>
          <w:rFonts w:hint="eastAsia" w:ascii="黑体" w:hAnsi="黑体" w:eastAsia="黑体" w:cs="黑体"/>
          <w:kern w:val="2"/>
          <w:sz w:val="32"/>
          <w:szCs w:val="40"/>
          <w:highlight w:val="none"/>
          <w:lang w:val="en-US" w:eastAsia="zh-CN" w:bidi="ar-SA"/>
        </w:rPr>
        <w:t xml:space="preserve">三、评选指标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rPr>
          <w:rFonts w:hint="default"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珠海老字号”评选满分为100分，分别从历史底蕴、文化传承、地域特色、经营能力、创新发展、社会贡献（加分项）六个一级指标进行具体评选（评分表见附表2）。在对某一具体行业进行评价时，应在不改变一级指标的情况下，依据行业特点及具体情况在实际评价中对二级指标进行细化和增减。</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10" w:leftChars="0" w:firstLine="640" w:firstLineChars="0"/>
        <w:jc w:val="both"/>
        <w:textAlignment w:val="auto"/>
        <w:rPr>
          <w:rFonts w:hint="eastAsia" w:ascii="楷体" w:hAnsi="楷体" w:eastAsia="楷体" w:cs="楷体"/>
          <w:sz w:val="32"/>
          <w:szCs w:val="40"/>
          <w:highlight w:val="none"/>
          <w:lang w:val="en-US" w:eastAsia="zh-CN"/>
        </w:rPr>
      </w:pPr>
      <w:r>
        <w:rPr>
          <w:rFonts w:hint="eastAsia" w:ascii="楷体" w:hAnsi="楷体" w:eastAsia="楷体" w:cs="楷体"/>
          <w:sz w:val="32"/>
          <w:szCs w:val="40"/>
          <w:highlight w:val="none"/>
          <w:lang w:val="en-US" w:eastAsia="zh-CN"/>
        </w:rPr>
        <w:t>历史底蕴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共计25分，主要从创立时间、原址保护、历史信物等三个方面进行评价。</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10" w:leftChars="0" w:firstLine="640" w:firstLineChars="0"/>
        <w:jc w:val="both"/>
        <w:textAlignment w:val="auto"/>
        <w:rPr>
          <w:rFonts w:hint="eastAsia" w:ascii="楷体_GB2312" w:hAnsi="楷体_GB2312" w:eastAsia="楷体_GB2312" w:cs="楷体_GB2312"/>
          <w:sz w:val="32"/>
          <w:szCs w:val="40"/>
          <w:highlight w:val="none"/>
          <w:lang w:val="en-US" w:eastAsia="zh-CN"/>
        </w:rPr>
      </w:pPr>
      <w:r>
        <w:rPr>
          <w:rFonts w:hint="eastAsia" w:ascii="楷体_GB2312" w:hAnsi="楷体_GB2312" w:eastAsia="楷体_GB2312" w:cs="楷体_GB2312"/>
          <w:sz w:val="32"/>
          <w:szCs w:val="40"/>
          <w:highlight w:val="none"/>
          <w:lang w:val="en-US" w:eastAsia="zh-CN"/>
        </w:rPr>
        <w:t>文化传承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共计25分，主要从文化传承有力、文化传播载体丰富等两个方面进行评价。</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10" w:leftChars="0" w:firstLine="640" w:firstLineChars="0"/>
        <w:jc w:val="both"/>
        <w:textAlignment w:val="auto"/>
        <w:rPr>
          <w:rFonts w:hint="eastAsia" w:ascii="楷体" w:hAnsi="楷体" w:eastAsia="楷体" w:cs="楷体"/>
          <w:sz w:val="32"/>
          <w:szCs w:val="40"/>
          <w:highlight w:val="none"/>
          <w:lang w:val="en-US" w:eastAsia="zh-CN"/>
        </w:rPr>
      </w:pPr>
      <w:r>
        <w:rPr>
          <w:rFonts w:hint="eastAsia" w:ascii="楷体" w:hAnsi="楷体" w:eastAsia="楷体" w:cs="楷体"/>
          <w:sz w:val="32"/>
          <w:szCs w:val="40"/>
          <w:highlight w:val="none"/>
          <w:lang w:val="en-US" w:eastAsia="zh-CN"/>
        </w:rPr>
        <w:t>地域特色</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共计10分，主要从品牌是否具有珠海及岭南特色、其产品是否为岭南文化典型代表等方面进行评价。</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10" w:leftChars="0" w:firstLine="640" w:firstLineChars="0"/>
        <w:jc w:val="both"/>
        <w:textAlignment w:val="auto"/>
        <w:rPr>
          <w:rFonts w:hint="eastAsia" w:ascii="楷体" w:hAnsi="楷体" w:eastAsia="楷体" w:cs="楷体"/>
          <w:sz w:val="32"/>
          <w:szCs w:val="40"/>
          <w:highlight w:val="none"/>
          <w:lang w:val="en-US" w:eastAsia="zh-CN"/>
        </w:rPr>
      </w:pPr>
      <w:r>
        <w:rPr>
          <w:rFonts w:hint="eastAsia" w:ascii="楷体" w:hAnsi="楷体" w:eastAsia="楷体" w:cs="楷体"/>
          <w:sz w:val="32"/>
          <w:szCs w:val="40"/>
          <w:highlight w:val="none"/>
          <w:lang w:val="en-US" w:eastAsia="zh-CN"/>
        </w:rPr>
        <w:t>经营能力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共计25分，主要从品牌权属清晰、制度健全、经济效益良好等四个方面进行评价。</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10" w:leftChars="0" w:firstLine="640" w:firstLineChars="0"/>
        <w:jc w:val="both"/>
        <w:textAlignment w:val="auto"/>
        <w:rPr>
          <w:rFonts w:hint="eastAsia" w:ascii="楷体" w:hAnsi="楷体" w:eastAsia="楷体" w:cs="楷体"/>
          <w:sz w:val="32"/>
          <w:szCs w:val="40"/>
          <w:highlight w:val="none"/>
          <w:lang w:val="en-US" w:eastAsia="zh-CN"/>
        </w:rPr>
      </w:pPr>
      <w:r>
        <w:rPr>
          <w:rFonts w:hint="eastAsia" w:ascii="楷体" w:hAnsi="楷体" w:eastAsia="楷体" w:cs="楷体"/>
          <w:sz w:val="32"/>
          <w:szCs w:val="40"/>
          <w:highlight w:val="none"/>
          <w:lang w:val="en-US" w:eastAsia="zh-CN"/>
        </w:rPr>
        <w:t>创新发展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共计15分，主要从创新产品丰富、品牌影响深远、生产技术革新、技术专利获得情况等四个方面进行评价。</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10" w:leftChars="0" w:firstLine="640" w:firstLineChars="0"/>
        <w:jc w:val="both"/>
        <w:textAlignment w:val="auto"/>
        <w:rPr>
          <w:rFonts w:hint="eastAsia" w:ascii="楷体" w:hAnsi="楷体" w:eastAsia="楷体" w:cs="楷体"/>
          <w:b w:val="0"/>
          <w:bCs w:val="0"/>
          <w:sz w:val="32"/>
          <w:szCs w:val="40"/>
          <w:highlight w:val="none"/>
          <w:vertAlign w:val="baseline"/>
          <w:lang w:val="en-US" w:eastAsia="zh-CN"/>
        </w:rPr>
      </w:pPr>
      <w:r>
        <w:rPr>
          <w:rFonts w:hint="eastAsia" w:ascii="楷体" w:hAnsi="楷体" w:eastAsia="楷体" w:cs="楷体"/>
          <w:b w:val="0"/>
          <w:bCs w:val="0"/>
          <w:sz w:val="32"/>
          <w:szCs w:val="40"/>
          <w:highlight w:val="none"/>
          <w:vertAlign w:val="baseline"/>
          <w:lang w:val="en-US" w:eastAsia="zh-CN"/>
        </w:rPr>
        <w:t>社会贡献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jc w:val="both"/>
        <w:textAlignment w:val="auto"/>
        <w:rPr>
          <w:rFonts w:hint="default" w:ascii="仿宋" w:hAnsi="仿宋" w:eastAsia="仿宋" w:cs="仿宋"/>
          <w:sz w:val="32"/>
          <w:szCs w:val="40"/>
          <w:highlight w:val="none"/>
          <w:lang w:val="en-US" w:eastAsia="zh-CN"/>
        </w:rPr>
      </w:pPr>
      <w:r>
        <w:rPr>
          <w:rFonts w:hint="eastAsia" w:ascii="仿宋" w:hAnsi="仿宋" w:eastAsia="仿宋" w:cs="仿宋"/>
          <w:b w:val="0"/>
          <w:bCs w:val="0"/>
          <w:sz w:val="32"/>
          <w:szCs w:val="40"/>
          <w:highlight w:val="none"/>
          <w:vertAlign w:val="baseline"/>
          <w:lang w:val="en-US" w:eastAsia="zh-CN"/>
        </w:rPr>
        <w:t>共计5分，不纳入百分制，作为加分项额外计算。从参与重大任务、配合政府相关部门开展运行检测、积极组织促进行业发展公益性活动等几个方面进行评价。</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40"/>
          <w:highlight w:val="none"/>
          <w:lang w:val="en-US" w:eastAsia="zh-CN"/>
        </w:rPr>
      </w:pPr>
      <w:r>
        <w:rPr>
          <w:rFonts w:hint="eastAsia" w:ascii="黑体" w:hAnsi="黑体" w:eastAsia="黑体" w:cs="黑体"/>
          <w:sz w:val="32"/>
          <w:szCs w:val="40"/>
          <w:highlight w:val="none"/>
          <w:lang w:val="en-US" w:eastAsia="zh-CN"/>
        </w:rPr>
        <w:t>其他要求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（一）对于近3年发生过重大安全责任事故、重大侵犯知识产权或消费者权益事件、</w:t>
      </w:r>
      <w:r>
        <w:rPr>
          <w:rFonts w:hint="eastAsia" w:ascii="仿宋_GB2312" w:eastAsia="仿宋_GB2312" w:cs="仿宋_GB2312"/>
          <w:i w:val="0"/>
          <w:iCs w:val="0"/>
          <w:caps w:val="0"/>
          <w:color w:val="auto"/>
          <w:spacing w:val="0"/>
          <w:kern w:val="0"/>
          <w:sz w:val="32"/>
          <w:szCs w:val="32"/>
          <w:highlight w:val="none"/>
          <w:lang w:val="en-US" w:eastAsia="zh-CN" w:bidi="ar"/>
        </w:rPr>
        <w:t>严重扰乱市场秩序或其他严重违法行为</w:t>
      </w:r>
      <w:r>
        <w:rPr>
          <w:rFonts w:hint="eastAsia" w:ascii="仿宋" w:hAnsi="仿宋" w:eastAsia="仿宋" w:cs="仿宋"/>
          <w:sz w:val="32"/>
          <w:szCs w:val="40"/>
          <w:highlight w:val="none"/>
          <w:lang w:val="en-US" w:eastAsia="zh-CN"/>
        </w:rPr>
        <w:t>，或拖欠员工工资，或被相关部门列入严重违法失信名单的不予赋分。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sz w:val="32"/>
          <w:szCs w:val="40"/>
          <w:highlight w:val="none"/>
          <w:lang w:val="en-US" w:eastAsia="zh-CN"/>
        </w:rPr>
        <w:sectPr>
          <w:footerReference r:id="rId3" w:type="default"/>
          <w:pgSz w:w="11906" w:h="16838"/>
          <w:pgMar w:top="2098" w:right="1474" w:bottom="1984" w:left="1587" w:header="850" w:footer="1531" w:gutter="0"/>
          <w:pgNumType w:fmt="decimal"/>
          <w:cols w:space="0" w:num="1"/>
          <w:rtlGutter w:val="0"/>
          <w:docGrid w:type="lines" w:linePitch="579" w:charSpace="0"/>
        </w:sectPr>
      </w:pPr>
      <w:r>
        <w:rPr>
          <w:rFonts w:hint="eastAsia" w:ascii="仿宋" w:hAnsi="仿宋" w:eastAsia="仿宋" w:cs="仿宋"/>
          <w:sz w:val="32"/>
          <w:szCs w:val="40"/>
          <w:highlight w:val="none"/>
          <w:lang w:val="en-US" w:eastAsia="zh-CN"/>
        </w:rPr>
        <w:t>（二）认定评价指标根据发展需要适时修订。</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黑体" w:hAnsi="黑体" w:eastAsia="黑体" w:cs="黑体"/>
          <w:sz w:val="32"/>
          <w:szCs w:val="40"/>
          <w:highlight w:val="none"/>
          <w:lang w:val="en-US" w:eastAsia="zh-CN"/>
        </w:rPr>
      </w:pPr>
      <w:r>
        <w:rPr>
          <w:rFonts w:hint="eastAsia" w:ascii="黑体" w:hAnsi="黑体" w:eastAsia="黑体" w:cs="黑体"/>
          <w:sz w:val="32"/>
          <w:szCs w:val="40"/>
          <w:highlight w:val="none"/>
          <w:lang w:val="en-US" w:eastAsia="zh-CN"/>
        </w:rPr>
        <w:t>附表1</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44"/>
          <w:szCs w:val="52"/>
          <w:highlight w:val="none"/>
          <w:lang w:val="en-US" w:eastAsia="zh-CN"/>
        </w:rPr>
      </w:pPr>
      <w:r>
        <w:rPr>
          <w:rFonts w:hint="eastAsia" w:ascii="方正小标宋简体" w:hAnsi="方正小标宋简体" w:eastAsia="方正小标宋简体" w:cs="方正小标宋简体"/>
          <w:sz w:val="44"/>
          <w:szCs w:val="52"/>
          <w:highlight w:val="none"/>
          <w:lang w:val="en-US" w:eastAsia="zh-CN"/>
        </w:rPr>
        <w:t>“珠海老字号”可申报行业目录</w:t>
      </w:r>
    </w:p>
    <w:tbl>
      <w:tblPr>
        <w:tblStyle w:val="8"/>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1236"/>
        <w:gridCol w:w="1835"/>
        <w:gridCol w:w="5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71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门类</w:t>
            </w: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大类代码</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中类</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H住宿和餐饮业</w:t>
            </w: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61</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住宿业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旅馆饭店</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一般旅馆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民宿服务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露营地服务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其他住宿业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62</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餐饮业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正餐服务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快餐服务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饮料及冷饮服务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餐饮配送及外卖送餐服务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其他餐饮业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F批发和零售业</w:t>
            </w: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51</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批发业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食品、饮料及烟草制品批发</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纺织、服装及家庭用品批发</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文化、体育用品及器材批发</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医药及医疗器械批发</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矿产品、建材及化工产品批发</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机械设备、五金产品及电子产品批发</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贸易经纪与代理</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其他批发业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52</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零售业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综合零售</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食品、饮料及烟草制品专门零售</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纺织、服装及日用品专门零售</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文化、体育用品及器材专门零售</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医药及医疗器材专门零售</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汽车、摩托车、零配件和燃料及其他动力销售</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家用电器及电子产品专门零售</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五金、家具及室内装饰材料专门零售</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货摊、无店铺或其他零售业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L租赁和商务服务业</w:t>
            </w: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72</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商务服务业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组织管理服务</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综合管理服务</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法律服务</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咨询与调查</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广告业</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会展、展览及相关服务</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其他商务服务业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O居民服务、修理和其他服务业</w:t>
            </w: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80</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居民服务业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托儿所服务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洗染服务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理发及美容服务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摄影扩印服务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婚姻服务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其他居民服务业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82</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其他服务业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清洁服务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宠物服务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其他未列明服务业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88</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文化艺术业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文艺创作与表演</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艺术表演场馆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图书馆与档案馆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文物及非物质文化遗产保护</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群众文化活动</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其他文化艺术业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89</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体育业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体育组织</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体育场地设施管理</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健身休闲活动</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其他体育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90</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娱乐业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室内娱乐活动</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游乐园</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休闲观光活动</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文化体育娱乐活动及经纪代理服务</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其他娱乐业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C制造业</w:t>
            </w: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13</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农副产品加工业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谷物磨制</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植物油加工</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水产品加工</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蔬菜、菌类、水果和坚果加工</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其他农副产品加工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14</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食品制造业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焙烤食品制造</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糖果、巧克力及蜜饯制造</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方便食品制造</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乳制品制造</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罐头食品制造</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调味品、发酵制品制造</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其他食品制造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15</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酒、饮料和精制茶制造业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酒的制造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饮料制造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精制茶加工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18</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纺织服装、服饰业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机织服装制造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针织或钩针编织服装制造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服饰制造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21</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造纸和纸制品业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纸浆制造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造纸</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纸制品制造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24</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文教、工美、体育和娱乐用品制造业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文教办公用品制造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乐器制造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工艺美术及礼仪用品制造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体育用品制造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玩具制造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游艺器材及娱乐用品制造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26</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化学原料和化学制品制造业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涂料、油墨、颜料及类似产品制造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合成材料制造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专用化学产品制造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日用化学产品制造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27</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医学制造业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化学药品原料药制造</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化学药品制剂制造</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中药饮片加工</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中成药生产</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生物药品制品制造</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卫生材料及医药用品制造</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药用辅料及包装材料制造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1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29</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橡胶和塑料制品业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橡胶制品业</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塑料制品业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非金属矿物制品业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水泥、石灰和石膏制造</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砖瓦、石材等建筑材料制造</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玻璃制造</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陶瓷制品制造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34</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通用设备制造业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金属加工机械制造</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泵、阀门、压缩机及类似机械制造</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轴承、齿轮和传动部件制造</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烘炉、风机、包装等设备制造</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文化、办公用机械制造</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通用零部件制造</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其他通用设备制造业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35</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专用设备制造业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食品、饮料及饲料生产专用设备</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印刷、制药、日化及日用品生产专用设备制造</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纺织、服装和皮革加工专用设备制造</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电子和电工机械专用设备制造</w:t>
            </w:r>
          </w:p>
          <w:p>
            <w:pPr>
              <w:keepNext w:val="0"/>
              <w:keepLines w:val="0"/>
              <w:pageBreakBefore w:val="0"/>
              <w:widowControl w:val="0"/>
              <w:numPr>
                <w:ilvl w:val="0"/>
                <w:numId w:val="0"/>
              </w:numPr>
              <w:kinsoku/>
              <w:wordWrap/>
              <w:overflowPunct/>
              <w:topLinePunct w:val="0"/>
              <w:autoSpaceDE/>
              <w:autoSpaceDN/>
              <w:bidi w:val="0"/>
              <w:adjustRightInd/>
              <w:snapToGrid w:val="0"/>
              <w:spacing w:line="228"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医疗仪器设备和器械制造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36</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汽车制造业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汽车整车制造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37</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铁路、船舶、航空航天和其他运输设备制造</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铁路运输设备制造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船舶及相关装置制造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航空、航天器及设备制造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38</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电气机械和器材制造业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电机制造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电线、电缆、光缆及电工器材制造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家用电力器具制造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非电力家用电力器具制造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39</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计算机、通信和其他电子设备制造业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计算机制造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通信设备制造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非专业视听设备制造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智能消费设备制造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电子器件制造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电子元件及电子专用材料制造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其他电子设备制造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71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40</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仪器仪表制造业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通用仪器仪表制造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专用仪器仪表制造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钟表与计时仪器制造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光学仪器制造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衡器制造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其他仪器仪表制造业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E建筑业</w:t>
            </w: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47</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房屋建筑业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住宅房屋建筑</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体育场馆建筑</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其他房屋建筑业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50</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建筑装饰、装修和其他建筑业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建筑装饰和装修业</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建筑物拆除和场地准备活动</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提供施工设备服务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其他未列明建筑业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G交通运输、仓储和邮政业</w:t>
            </w: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54</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道路运输业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城市公共交通运输</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公路旅客运输</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道路货物运输</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道路运输辅助活动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J金融业</w:t>
            </w: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66</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货币金融服务</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中央银行服务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货币银行服务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非货币银行服务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银行理财服务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银行监管服务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67</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资本市场服务</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证券市场服务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公开募集证券投资基金</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非公开募集证券投资资金</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期货市场服务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证券期货监管服务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资本投资服务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其他资本市场服务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68</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保险业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人身保险</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财产保险</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再保险</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商业养老金</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保险中介服务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保险资产管理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保险监管服务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其他保险活动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pct"/>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c>
          <w:tcPr>
            <w:tcW w:w="629"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69</w:t>
            </w:r>
          </w:p>
        </w:tc>
        <w:tc>
          <w:tcPr>
            <w:tcW w:w="93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其他金融业</w:t>
            </w:r>
          </w:p>
        </w:tc>
        <w:tc>
          <w:tcPr>
            <w:tcW w:w="271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金融信托与管理服务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控股公司服务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非金融机构支付服务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金融信息服务</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金融资产管理公司</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其他未列明金融业</w:t>
            </w:r>
          </w:p>
        </w:tc>
      </w:tr>
    </w:tbl>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highlight w:val="none"/>
          <w:lang w:val="en-US" w:eastAsia="zh-CN"/>
        </w:rPr>
      </w:pPr>
      <w:r>
        <w:rPr>
          <w:rFonts w:hint="eastAsia" w:ascii="仿宋" w:hAnsi="仿宋" w:eastAsia="仿宋" w:cs="仿宋"/>
          <w:sz w:val="24"/>
          <w:szCs w:val="24"/>
          <w:highlight w:val="none"/>
          <w:vertAlign w:val="baseline"/>
          <w:lang w:val="en-US" w:eastAsia="zh-CN"/>
        </w:rPr>
        <w:t>行业代码分类来源GB/T 4754-2017国民经济行业分类</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highlight w:val="none"/>
          <w:lang w:val="en-US" w:eastAsia="zh-CN"/>
        </w:rPr>
        <w:sectPr>
          <w:pgSz w:w="11906" w:h="16838"/>
          <w:pgMar w:top="1134" w:right="1134" w:bottom="1134" w:left="1134" w:header="567" w:footer="567" w:gutter="0"/>
          <w:pgNumType w:fmt="decimal"/>
          <w:cols w:space="0" w:num="1"/>
          <w:rtlGutter w:val="0"/>
          <w:docGrid w:linePitch="312" w:charSpace="0"/>
        </w:sectPr>
      </w:pPr>
    </w:p>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附表2</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44"/>
          <w:szCs w:val="52"/>
          <w:highlight w:val="none"/>
          <w:lang w:val="en-US" w:eastAsia="zh-CN"/>
        </w:rPr>
      </w:pPr>
      <w:r>
        <w:rPr>
          <w:rFonts w:hint="eastAsia" w:ascii="方正小标宋简体" w:hAnsi="方正小标宋简体" w:eastAsia="方正小标宋简体" w:cs="方正小标宋简体"/>
          <w:sz w:val="44"/>
          <w:szCs w:val="52"/>
          <w:highlight w:val="none"/>
          <w:lang w:val="en-US" w:eastAsia="zh-CN"/>
        </w:rPr>
        <w:t>“珠海老字号”评分表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3618"/>
        <w:gridCol w:w="758"/>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方正小标宋简体" w:hAnsi="方正小标宋简体" w:eastAsia="方正小标宋简体" w:cs="方正小标宋简体"/>
                <w:sz w:val="44"/>
                <w:szCs w:val="52"/>
                <w:highlight w:val="none"/>
                <w:vertAlign w:val="baseline"/>
                <w:lang w:val="en-US" w:eastAsia="zh-CN"/>
              </w:rPr>
            </w:pPr>
            <w:r>
              <w:rPr>
                <w:rFonts w:hint="eastAsia" w:ascii="黑体" w:hAnsi="黑体" w:eastAsia="黑体" w:cs="黑体"/>
                <w:b w:val="0"/>
                <w:bCs w:val="0"/>
                <w:sz w:val="32"/>
                <w:szCs w:val="32"/>
                <w:highlight w:val="none"/>
                <w:vertAlign w:val="baseline"/>
                <w:lang w:val="en-US" w:eastAsia="zh-CN"/>
              </w:rPr>
              <w:t>1.历史底蕴（25分）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b/>
                <w:bCs/>
                <w:sz w:val="28"/>
                <w:szCs w:val="28"/>
                <w:highlight w:val="none"/>
                <w:vertAlign w:val="baseline"/>
                <w:lang w:val="en-US" w:eastAsia="zh-CN"/>
              </w:rPr>
              <w:t>1.1创立时间（10分）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评价基准：以申报企业出现类似企业的组织形式（如作坊、店铺等），并使用商号、商标或品牌对外开展经营、宣传等活动的时间为基准。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序号</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评分标准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分数</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创立年限在20年（含）以上。</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w:t>
            </w:r>
          </w:p>
        </w:tc>
        <w:tc>
          <w:tcPr>
            <w:tcW w:w="245" w:type="pct"/>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创立年限在30年（含）以上。</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8</w:t>
            </w:r>
          </w:p>
        </w:tc>
        <w:tc>
          <w:tcPr>
            <w:tcW w:w="24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创立年限在40年（含）以上。</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10</w:t>
            </w:r>
          </w:p>
        </w:tc>
        <w:tc>
          <w:tcPr>
            <w:tcW w:w="24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b/>
                <w:bCs/>
                <w:sz w:val="28"/>
                <w:szCs w:val="28"/>
                <w:highlight w:val="none"/>
                <w:vertAlign w:val="baseline"/>
                <w:lang w:val="en-US" w:eastAsia="zh-CN"/>
              </w:rPr>
              <w:t>1.2原址保护（5分）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序号</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评分标准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分数</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有城市记忆、民族特色和文化传承的建筑或设施。</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8"/>
                <w:szCs w:val="28"/>
                <w:highlight w:val="none"/>
                <w:vertAlign w:val="baseline"/>
                <w:lang w:val="en-US" w:eastAsia="zh-CN"/>
              </w:rPr>
              <w:t>1.3历史信物（10分）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评价基准：衡量信物的历史价值，同时保留不同价值的信物，按照保留最高价值信物计算分数，不重复得分。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序号</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评分标准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分数</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39" w:type="pct"/>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保留了20年（含）前:刊登的广告、一般用品、照片等一般历史价值物品3分；字号牌匾、名人或主要经营者题字、与老字号相关的经营场所内外的重要照片等重要信物5分。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w:t>
            </w:r>
          </w:p>
        </w:tc>
        <w:tc>
          <w:tcPr>
            <w:tcW w:w="245" w:type="pct"/>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保留了30年（含）前：刊登的广告、一般用品、照片等一般历史价值物品5分；字号牌匾、名人或主要经营者题字、与老字号相关的经营场所内外的重要照片等重要信物8分。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8</w:t>
            </w:r>
          </w:p>
        </w:tc>
        <w:tc>
          <w:tcPr>
            <w:tcW w:w="24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保留了40年（含）前：刊登的广告、一般用品、照片等一般历史价值物品8分，字号牌匾、名人或主要经营者题字、与老字号相关的经营场所内外的重要照片等重要信物10分。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10</w:t>
            </w:r>
          </w:p>
        </w:tc>
        <w:tc>
          <w:tcPr>
            <w:tcW w:w="24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黑体" w:hAnsi="黑体" w:eastAsia="黑体" w:cs="黑体"/>
                <w:b w:val="0"/>
                <w:bCs w:val="0"/>
                <w:sz w:val="32"/>
                <w:szCs w:val="32"/>
                <w:highlight w:val="none"/>
                <w:vertAlign w:val="baseline"/>
                <w:lang w:val="en-US" w:eastAsia="zh-CN"/>
              </w:rPr>
              <w:t>2.文化传承（25分）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8"/>
                <w:szCs w:val="28"/>
                <w:highlight w:val="none"/>
                <w:vertAlign w:val="baseline"/>
                <w:lang w:val="en-US" w:eastAsia="zh-CN"/>
              </w:rPr>
              <w:t>2.1文化传承有力（10分）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评价基准：同时被列入以上各级名录的，按列入的最高层级得分，不重复得分。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序号</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评分标准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分数</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相关文化、技艺、产品等有较好传承，有传承人和典型传承技艺与服务。</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w:t>
            </w:r>
          </w:p>
        </w:tc>
        <w:tc>
          <w:tcPr>
            <w:tcW w:w="245" w:type="pct"/>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相关文化或技艺等被列入市、区级非物质文化遗产代表性项目名录。</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w:t>
            </w:r>
          </w:p>
        </w:tc>
        <w:tc>
          <w:tcPr>
            <w:tcW w:w="24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相关文化或技艺等被列入省级非物质文化遗产代表性项目名录。</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7</w:t>
            </w:r>
          </w:p>
        </w:tc>
        <w:tc>
          <w:tcPr>
            <w:tcW w:w="24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39" w:type="pct"/>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相关文化或技艺等被列入国家级非物质文化遗产代表性项目名录、联合国教科文组织非物质文化遗产名录（名册）。</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10</w:t>
            </w:r>
          </w:p>
        </w:tc>
        <w:tc>
          <w:tcPr>
            <w:tcW w:w="24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8"/>
                <w:szCs w:val="28"/>
                <w:highlight w:val="none"/>
                <w:vertAlign w:val="baseline"/>
                <w:lang w:val="en-US" w:eastAsia="zh-CN"/>
              </w:rPr>
              <w:t>2.2文化传播载体丰富（15分）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评价基准：同时拥有多种文化传播载体和途径的，可累计得分，最多不超过15分。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序号</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评分标准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分数</w:t>
            </w:r>
          </w:p>
        </w:tc>
        <w:tc>
          <w:tcPr>
            <w:tcW w:w="245" w:type="pct"/>
            <w:tcBorders>
              <w:top w:val="nil"/>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建有体现品牌文化价值的展厅、博物馆、文化馆等。</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w:t>
            </w:r>
          </w:p>
        </w:tc>
        <w:tc>
          <w:tcPr>
            <w:tcW w:w="245" w:type="pct"/>
            <w:tcBorders>
              <w:top w:val="nil"/>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6</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具有历代传承的店训、堂训、师训、店规等文化资源得2分，有历代传承并在社会上有一定影响力的典礼仪式等活动得2分。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7</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参加由商务部门牵头组织的展会、消费节等活动，每场活动得1分，最多不超过4分。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8</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通过在新媒体平台（微博、微信、抖音、快手等），或以广告和视频（微视频、纪录片）、电影电视剧、宣传册等形式宣传和展示品牌文化或掌门人故事，1种宣传载体进行宣传相关内容得1分，最多不超过4分。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黑体" w:hAnsi="黑体" w:eastAsia="黑体" w:cs="黑体"/>
                <w:b w:val="0"/>
                <w:bCs w:val="0"/>
                <w:sz w:val="32"/>
                <w:szCs w:val="32"/>
                <w:highlight w:val="none"/>
                <w:vertAlign w:val="baseline"/>
                <w:lang w:val="en-US" w:eastAsia="zh-CN"/>
              </w:rPr>
              <w:t>3.地域特色（10分）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评价基准：衡量地域特色，按照符合的最高标准计算分数，不重复打分。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序号</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评分标准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分数</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9</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有一定的珠海和岭南特色，与岭南文化较为协调。</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w:t>
            </w:r>
          </w:p>
        </w:tc>
        <w:tc>
          <w:tcPr>
            <w:tcW w:w="245" w:type="pct"/>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具有地道的珠海特色，在岭南文化中得到认同。</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6</w:t>
            </w:r>
          </w:p>
        </w:tc>
        <w:tc>
          <w:tcPr>
            <w:tcW w:w="24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具有鲜明的珠海特色，与岭南文化融为一体，其产品或品牌成为岭南文化中的典型代表之一。</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10</w:t>
            </w:r>
          </w:p>
        </w:tc>
        <w:tc>
          <w:tcPr>
            <w:tcW w:w="245" w:type="pct"/>
            <w:vMerge w:val="continue"/>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黑体" w:hAnsi="黑体" w:eastAsia="黑体" w:cs="黑体"/>
                <w:b w:val="0"/>
                <w:bCs w:val="0"/>
                <w:sz w:val="32"/>
                <w:szCs w:val="32"/>
                <w:highlight w:val="none"/>
                <w:vertAlign w:val="baseline"/>
                <w:lang w:val="en-US" w:eastAsia="zh-CN"/>
              </w:rPr>
              <w:t>4.经营能力（25分）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b/>
                <w:bCs/>
                <w:sz w:val="28"/>
                <w:szCs w:val="28"/>
                <w:highlight w:val="none"/>
                <w:vertAlign w:val="baseline"/>
                <w:lang w:val="en-US" w:eastAsia="zh-CN"/>
              </w:rPr>
              <w:t>4.1</w:t>
            </w:r>
            <w:r>
              <w:rPr>
                <w:rFonts w:hint="eastAsia" w:ascii="仿宋" w:hAnsi="仿宋" w:eastAsia="仿宋" w:cs="仿宋"/>
                <w:b/>
                <w:bCs/>
                <w:sz w:val="28"/>
                <w:szCs w:val="28"/>
                <w:highlight w:val="none"/>
                <w:vertAlign w:val="baseline"/>
                <w:lang w:val="en-US" w:eastAsia="zh-Hans"/>
              </w:rPr>
              <w:t>品牌</w:t>
            </w:r>
            <w:r>
              <w:rPr>
                <w:rFonts w:hint="eastAsia" w:ascii="仿宋" w:hAnsi="仿宋" w:eastAsia="仿宋" w:cs="仿宋"/>
                <w:b/>
                <w:bCs/>
                <w:sz w:val="28"/>
                <w:szCs w:val="28"/>
                <w:highlight w:val="none"/>
                <w:vertAlign w:val="baseline"/>
                <w:lang w:val="en-US" w:eastAsia="zh-CN"/>
              </w:rPr>
              <w:t>权属清晰（3分）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评价基准：以合法拥有品牌、无产权纠纷、相关商标证书为基准。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序号</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评分标准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分数</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10</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依法拥有与品牌相一致的企业字号或注册商标的所有权或使用权。</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8"/>
                <w:szCs w:val="28"/>
                <w:highlight w:val="none"/>
                <w:vertAlign w:val="baseline"/>
                <w:lang w:val="en-US" w:eastAsia="zh-CN"/>
              </w:rPr>
              <w:t>4.2制度健全（3分）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评价基准：以管理制度完善程度为基准，按照制度完善程度累计计分，最多不超过3分。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序号</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评分标准</w:t>
            </w:r>
          </w:p>
        </w:tc>
        <w:tc>
          <w:tcPr>
            <w:tcW w:w="238" w:type="pct"/>
            <w:tcBorders>
              <w:top w:val="nil"/>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分数</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有完善的管理制度，包括安全生产管理制度、突发事件应急处置机制及食品安全、环境卫生、知识产权、消费者权益、市场公平竞争、人才培训等。</w:t>
            </w:r>
          </w:p>
        </w:tc>
        <w:tc>
          <w:tcPr>
            <w:tcW w:w="238" w:type="pct"/>
            <w:tcBorders>
              <w:top w:val="nil"/>
            </w:tcBorders>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8"/>
                <w:szCs w:val="28"/>
                <w:highlight w:val="none"/>
                <w:vertAlign w:val="baseline"/>
                <w:lang w:val="en-US" w:eastAsia="zh-CN"/>
              </w:rPr>
              <w:t>4.3经济效益良好（14分）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评价基准：主营业务以申请单位长期从事、具有明确传承脉络、不等同于但不得超出营业执照经营范围为基准。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序号</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评分标准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分数</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12</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主营业务连续经营15年（含）以上。</w:t>
            </w:r>
            <w:r>
              <w:rPr>
                <w:rFonts w:hint="eastAsia" w:ascii="仿宋" w:hAnsi="仿宋" w:eastAsia="仿宋" w:cs="仿宋"/>
                <w:sz w:val="24"/>
                <w:szCs w:val="24"/>
                <w:highlight w:val="none"/>
                <w:vertAlign w:val="baseline"/>
                <w:lang w:val="en-US" w:eastAsia="zh-CN"/>
              </w:rPr>
              <w:t>主营业务连续经营时间为15-25年（含）（1分）；主营业务连续经营时间为25-35年（含）（2分）；主营业务连续经营时间为35年以上（3分）。不重复得分。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13</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盈利能力</w:t>
            </w:r>
            <w:r>
              <w:rPr>
                <w:rFonts w:hint="eastAsia" w:ascii="仿宋" w:hAnsi="仿宋" w:eastAsia="仿宋" w:cs="仿宋"/>
                <w:b/>
                <w:bCs/>
                <w:sz w:val="24"/>
                <w:szCs w:val="24"/>
                <w:highlight w:val="none"/>
                <w:vertAlign w:val="baseline"/>
                <w:lang w:val="en-US" w:eastAsia="zh-Hans"/>
              </w:rPr>
              <w:t>良好</w:t>
            </w:r>
            <w:r>
              <w:rPr>
                <w:rFonts w:hint="eastAsia" w:ascii="仿宋" w:hAnsi="仿宋" w:eastAsia="仿宋" w:cs="仿宋"/>
                <w:b/>
                <w:bCs/>
                <w:sz w:val="24"/>
                <w:szCs w:val="24"/>
                <w:highlight w:val="none"/>
                <w:vertAlign w:val="baseline"/>
                <w:lang w:val="en-US" w:eastAsia="zh-CN"/>
              </w:rPr>
              <w:t>，可持续发展能力强。</w:t>
            </w:r>
            <w:r>
              <w:rPr>
                <w:rFonts w:hint="eastAsia" w:ascii="仿宋" w:hAnsi="仿宋" w:eastAsia="仿宋" w:cs="仿宋"/>
                <w:sz w:val="24"/>
                <w:szCs w:val="24"/>
                <w:highlight w:val="none"/>
                <w:vertAlign w:val="baseline"/>
                <w:lang w:val="en-US" w:eastAsia="zh-CN"/>
              </w:rPr>
              <w:t>企业处于盈利状态（1分）；持续盈利2年（含）以上（2分）；持续盈利3年（含）以上（3分）。不重复得分。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14</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国际化、跨区域、数字化、连锁化经营。</w:t>
            </w:r>
            <w:r>
              <w:rPr>
                <w:rFonts w:hint="eastAsia" w:ascii="仿宋" w:hAnsi="仿宋" w:eastAsia="仿宋" w:cs="仿宋"/>
                <w:sz w:val="24"/>
                <w:szCs w:val="24"/>
                <w:highlight w:val="none"/>
                <w:vertAlign w:val="baseline"/>
                <w:lang w:val="en-US" w:eastAsia="zh-CN"/>
              </w:rPr>
              <w:t>商品或服务进入国际市场（1分）；商品或服务进入省外市场（1分）；运用电子商务方式拓展销售渠道（1分）；拥有2家以上的直营店或加盟店（1分）。每符合一项得1分，最多得4分。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15</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企业达到规模（限额）以上。</w:t>
            </w:r>
            <w:r>
              <w:rPr>
                <w:rFonts w:hint="eastAsia" w:ascii="仿宋" w:hAnsi="仿宋" w:eastAsia="仿宋" w:cs="仿宋"/>
                <w:b w:val="0"/>
                <w:bCs w:val="0"/>
                <w:sz w:val="24"/>
                <w:szCs w:val="24"/>
                <w:highlight w:val="none"/>
                <w:vertAlign w:val="baseline"/>
                <w:lang w:val="en-US" w:eastAsia="zh-CN"/>
              </w:rPr>
              <w:t>达到规模以上工业、有资质的建筑业、限额以上批发和零售业、限额以上住宿和餐饮业、规模以上服务业以及有开发经营活动的全部房地产开发经营业的企业，得4分。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8"/>
                <w:szCs w:val="28"/>
                <w:highlight w:val="none"/>
                <w:vertAlign w:val="baseline"/>
                <w:lang w:val="en-US" w:eastAsia="zh-CN"/>
              </w:rPr>
              <w:t>4.4荣誉认证（5分）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评价基准：以荣誉称号层级为准，同时获得称号的，以最高层级荣誉称号得分；体系认证以各体系认证证书为基准。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序号</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评分标准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分数</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16</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老字号相关商标或产品、品牌获得市级荣誉（1分）；获得省级荣誉（2分）；获得国家级荣誉（3分）。不重复得分，最多得3分。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17</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通过ISO 9001体系认证、SC认证得2分。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黑体" w:hAnsi="黑体" w:eastAsia="黑体" w:cs="黑体"/>
                <w:b w:val="0"/>
                <w:bCs w:val="0"/>
                <w:sz w:val="32"/>
                <w:szCs w:val="32"/>
                <w:highlight w:val="none"/>
                <w:vertAlign w:val="baseline"/>
                <w:lang w:val="en-US" w:eastAsia="zh-CN"/>
              </w:rPr>
              <w:t>5.创新发展（15分）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b/>
                <w:bCs/>
                <w:sz w:val="28"/>
                <w:szCs w:val="28"/>
                <w:highlight w:val="none"/>
                <w:vertAlign w:val="baseline"/>
                <w:lang w:val="en-US" w:eastAsia="zh-CN"/>
              </w:rPr>
              <w:t>5.1创新产品丰富（2分）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评价基准：以能够投入生产、进入市场的创新产品为基准。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序号</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bCs/>
                <w:sz w:val="24"/>
                <w:szCs w:val="24"/>
                <w:highlight w:val="none"/>
                <w:vertAlign w:val="baseline"/>
                <w:lang w:val="en-US" w:eastAsia="zh-Hans"/>
              </w:rPr>
            </w:pPr>
            <w:r>
              <w:rPr>
                <w:rFonts w:hint="eastAsia" w:ascii="黑体" w:hAnsi="黑体" w:eastAsia="黑体" w:cs="黑体"/>
                <w:sz w:val="24"/>
                <w:szCs w:val="24"/>
                <w:highlight w:val="none"/>
                <w:vertAlign w:val="baseline"/>
                <w:lang w:val="en-US" w:eastAsia="zh-CN"/>
              </w:rPr>
              <w:t>评分标准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分数</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18</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在保证产品质量的前提下，根据消费者需求研发创新产品，提升品牌创新力，丰富品牌品类，每有一种创新产品得0.5分，最多得2分。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b/>
                <w:bCs/>
                <w:sz w:val="28"/>
                <w:szCs w:val="28"/>
                <w:highlight w:val="none"/>
                <w:vertAlign w:val="baseline"/>
                <w:lang w:val="en-US" w:eastAsia="zh-CN"/>
              </w:rPr>
              <w:t>5.2品牌影响深远（8分）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评价基准：以传播形式多样化程度、传播影响产生的实际效果为基准，累计得分，最高不超过8分。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序号</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bCs/>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评分标准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分数</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19</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传播</w:t>
            </w:r>
            <w:r>
              <w:rPr>
                <w:rFonts w:hint="eastAsia" w:ascii="仿宋" w:hAnsi="仿宋" w:eastAsia="仿宋" w:cs="仿宋"/>
                <w:b/>
                <w:bCs/>
                <w:sz w:val="24"/>
                <w:szCs w:val="24"/>
                <w:highlight w:val="none"/>
                <w:vertAlign w:val="baseline"/>
                <w:lang w:val="en-US" w:eastAsia="zh-Hans"/>
              </w:rPr>
              <w:t>活动多样</w:t>
            </w:r>
            <w:r>
              <w:rPr>
                <w:rFonts w:hint="eastAsia" w:ascii="仿宋" w:hAnsi="仿宋" w:eastAsia="仿宋" w:cs="仿宋"/>
                <w:b/>
                <w:bCs/>
                <w:sz w:val="24"/>
                <w:szCs w:val="24"/>
                <w:highlight w:val="none"/>
                <w:vertAlign w:val="baseline"/>
                <w:lang w:val="en-US" w:eastAsia="zh-CN"/>
              </w:rPr>
              <w:t>。</w:t>
            </w:r>
            <w:r>
              <w:rPr>
                <w:rFonts w:hint="eastAsia" w:ascii="仿宋" w:hAnsi="仿宋" w:eastAsia="仿宋" w:cs="仿宋"/>
                <w:sz w:val="24"/>
                <w:szCs w:val="24"/>
                <w:highlight w:val="none"/>
                <w:vertAlign w:val="baseline"/>
                <w:lang w:val="en-US" w:eastAsia="zh-CN"/>
              </w:rPr>
              <w:t>举办具有影响力的大型购物消费类活动、文化内涵丰富的文化活动，以及突出商旅文融合发展的互动活动，每举办一次上述活动得0.5分，最多得2分。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20</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营销渠道多元。</w:t>
            </w:r>
            <w:r>
              <w:rPr>
                <w:rFonts w:hint="eastAsia" w:ascii="仿宋" w:hAnsi="仿宋" w:eastAsia="仿宋" w:cs="仿宋"/>
                <w:sz w:val="24"/>
                <w:szCs w:val="24"/>
                <w:highlight w:val="none"/>
                <w:vertAlign w:val="baseline"/>
                <w:lang w:val="en-US" w:eastAsia="zh-CN"/>
              </w:rPr>
              <w:t>运用互联网技术，利用第三方平台、公众号、直播、快闪店等方式，全方位推动线上线下营销渠道融合，每采取一种线上营销方式可得0.5分，最多得2分。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21</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跨界联合互动。</w:t>
            </w:r>
            <w:r>
              <w:rPr>
                <w:rFonts w:hint="eastAsia" w:ascii="仿宋" w:hAnsi="仿宋" w:eastAsia="仿宋" w:cs="仿宋"/>
                <w:b w:val="0"/>
                <w:bCs w:val="0"/>
                <w:sz w:val="24"/>
                <w:szCs w:val="24"/>
                <w:highlight w:val="none"/>
                <w:vertAlign w:val="baseline"/>
                <w:lang w:val="en-US" w:eastAsia="zh-CN"/>
              </w:rPr>
              <w:t>与匹配度高的品牌、作品、文创产品跨界互动，联合打造IP。每采取一项措施可得0.5分，最多得2分。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22</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提升消费体验。</w:t>
            </w:r>
            <w:r>
              <w:rPr>
                <w:rFonts w:hint="eastAsia" w:ascii="仿宋" w:hAnsi="仿宋" w:eastAsia="仿宋" w:cs="仿宋"/>
                <w:b w:val="0"/>
                <w:bCs w:val="0"/>
                <w:sz w:val="24"/>
                <w:szCs w:val="24"/>
                <w:highlight w:val="none"/>
                <w:vertAlign w:val="baseline"/>
                <w:lang w:val="en-US" w:eastAsia="zh-CN"/>
              </w:rPr>
              <w:t>通过改进包装标识、升级店面、提供增值服务等措施，提升产品消费体验，从而吸引更多消费者，每采用一种措施得0.5分，最多得2分。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8"/>
                <w:szCs w:val="28"/>
                <w:highlight w:val="none"/>
                <w:vertAlign w:val="baseline"/>
                <w:lang w:val="en-US" w:eastAsia="zh-CN"/>
              </w:rPr>
              <w:t>5.3生产技术革新（2分）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评价基准：以通过技术手段革新产品、技艺、服务为基准。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序号</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评分标准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分数</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23</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通过引进或改良技术和设备，在掌握传统工艺核心技艺和关键技术的基础上改进技艺，降低生产成本，且成效明显。</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8"/>
                <w:szCs w:val="28"/>
                <w:highlight w:val="none"/>
                <w:vertAlign w:val="baseline"/>
                <w:lang w:val="en-US" w:eastAsia="zh-CN"/>
              </w:rPr>
              <w:t>5.4技术专利（3分）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评价基准：以官方文件、证书为基准，以获得专利的</w:t>
            </w:r>
            <w:r>
              <w:rPr>
                <w:rFonts w:hint="eastAsia" w:ascii="仿宋" w:hAnsi="仿宋" w:eastAsia="仿宋" w:cs="仿宋"/>
                <w:sz w:val="24"/>
                <w:szCs w:val="24"/>
                <w:highlight w:val="none"/>
                <w:vertAlign w:val="baseline"/>
                <w:lang w:val="en-US" w:eastAsia="zh-CN"/>
              </w:rPr>
              <w:t>最高层级得分，不重复得分。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序号</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评分标准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分数</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24</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老字号相关的核心产品、技艺或方法获得实用新型专利（1.5分），老字号相关的核心产品、技艺或方法获得国家发明专利（3分）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4"/>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黑体" w:hAnsi="黑体" w:eastAsia="黑体" w:cs="黑体"/>
                <w:b w:val="0"/>
                <w:bCs w:val="0"/>
                <w:sz w:val="32"/>
                <w:szCs w:val="32"/>
                <w:highlight w:val="none"/>
                <w:vertAlign w:val="baseline"/>
                <w:lang w:val="en-US" w:eastAsia="zh-CN"/>
              </w:rPr>
              <w:t>6.社会贡献（5分，加分项）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序号</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评分标准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分数</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kern w:val="2"/>
                <w:sz w:val="24"/>
                <w:szCs w:val="24"/>
                <w:highlight w:val="none"/>
                <w:vertAlign w:val="baseline"/>
                <w:lang w:val="en-US" w:eastAsia="zh-CN" w:bidi="ar-SA"/>
              </w:rPr>
            </w:pPr>
            <w:r>
              <w:rPr>
                <w:rFonts w:hint="eastAsia" w:ascii="黑体" w:hAnsi="黑体" w:eastAsia="黑体" w:cs="黑体"/>
                <w:sz w:val="24"/>
                <w:szCs w:val="24"/>
                <w:highlight w:val="none"/>
                <w:vertAlign w:val="baseline"/>
                <w:lang w:val="en-US" w:eastAsia="zh-CN"/>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25</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参与抢险救灾应急保供、“百千万工程”、拥军等重大任务，参与每项任务得0.5分；配合商务部门等政府相关部门开展运行检测等工作得1.5分，最多得3分。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9"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26</w:t>
            </w:r>
          </w:p>
        </w:tc>
        <w:tc>
          <w:tcPr>
            <w:tcW w:w="4277" w:type="pct"/>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积极组织促进行业发展的公益性活动，每组织一项活动得0.5分，最多得2分.</w:t>
            </w:r>
          </w:p>
        </w:tc>
        <w:tc>
          <w:tcPr>
            <w:tcW w:w="238"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highlight w:val="none"/>
                <w:vertAlign w:val="baseline"/>
                <w:lang w:val="en-US" w:eastAsia="zh-CN"/>
              </w:rPr>
            </w:pPr>
            <w:r>
              <w:rPr>
                <w:rFonts w:hint="default" w:ascii="仿宋" w:hAnsi="仿宋" w:eastAsia="仿宋" w:cs="仿宋"/>
                <w:sz w:val="24"/>
                <w:szCs w:val="24"/>
                <w:highlight w:val="none"/>
                <w:vertAlign w:val="baseline"/>
                <w:lang w:val="en-US" w:eastAsia="zh-CN"/>
              </w:rPr>
              <w:t>2</w:t>
            </w:r>
          </w:p>
        </w:tc>
        <w:tc>
          <w:tcPr>
            <w:tcW w:w="245" w:type="pc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4"/>
                <w:szCs w:val="24"/>
                <w:highlight w:val="none"/>
                <w:vertAlign w:val="baseline"/>
                <w:lang w:val="en-US" w:eastAsia="zh-CN"/>
              </w:rPr>
            </w:pPr>
          </w:p>
        </w:tc>
      </w:tr>
    </w:tbl>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highlight w:val="none"/>
          <w:lang w:val="en-US" w:eastAsia="zh-CN"/>
        </w:rPr>
      </w:pPr>
    </w:p>
    <w:sectPr>
      <w:pgSz w:w="16838" w:h="11906" w:orient="landscape"/>
      <w:pgMar w:top="1134" w:right="567" w:bottom="1134" w:left="567" w:header="567" w:footer="567"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E607F"/>
    <w:multiLevelType w:val="singleLevel"/>
    <w:tmpl w:val="B75E607F"/>
    <w:lvl w:ilvl="0" w:tentative="0">
      <w:start w:val="4"/>
      <w:numFmt w:val="chineseCounting"/>
      <w:suff w:val="nothing"/>
      <w:lvlText w:val="%1、"/>
      <w:lvlJc w:val="left"/>
      <w:rPr>
        <w:rFonts w:hint="eastAsia"/>
      </w:rPr>
    </w:lvl>
  </w:abstractNum>
  <w:abstractNum w:abstractNumId="1">
    <w:nsid w:val="6993AEF7"/>
    <w:multiLevelType w:val="singleLevel"/>
    <w:tmpl w:val="6993AEF7"/>
    <w:lvl w:ilvl="0" w:tentative="0">
      <w:start w:val="1"/>
      <w:numFmt w:val="chineseCounting"/>
      <w:suff w:val="nothing"/>
      <w:lvlText w:val="（%1）"/>
      <w:lvlJc w:val="left"/>
      <w:pPr>
        <w:ind w:left="-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210"/>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7F5CA6"/>
    <w:rsid w:val="0DA53BE8"/>
    <w:rsid w:val="1BFBDB37"/>
    <w:rsid w:val="29FFCF4A"/>
    <w:rsid w:val="2EF13D8E"/>
    <w:rsid w:val="367FC190"/>
    <w:rsid w:val="374D2F57"/>
    <w:rsid w:val="37FF7966"/>
    <w:rsid w:val="3B67095B"/>
    <w:rsid w:val="3BAF6B04"/>
    <w:rsid w:val="3BDF1DB7"/>
    <w:rsid w:val="3E3D8D36"/>
    <w:rsid w:val="3EE5C383"/>
    <w:rsid w:val="3FDB011E"/>
    <w:rsid w:val="46EF34FA"/>
    <w:rsid w:val="4C7D3F3C"/>
    <w:rsid w:val="523F82E1"/>
    <w:rsid w:val="557E2EA9"/>
    <w:rsid w:val="55FE2E59"/>
    <w:rsid w:val="57F319D3"/>
    <w:rsid w:val="57F76A20"/>
    <w:rsid w:val="5AE79537"/>
    <w:rsid w:val="5F3EBAD5"/>
    <w:rsid w:val="5F89C667"/>
    <w:rsid w:val="5FF708B2"/>
    <w:rsid w:val="62BF0089"/>
    <w:rsid w:val="63BD2743"/>
    <w:rsid w:val="69AFE2EC"/>
    <w:rsid w:val="6ABEA206"/>
    <w:rsid w:val="6BFF2690"/>
    <w:rsid w:val="6C62A64B"/>
    <w:rsid w:val="6D6FB1BF"/>
    <w:rsid w:val="6EDF311D"/>
    <w:rsid w:val="6F3D431C"/>
    <w:rsid w:val="6F8F6A54"/>
    <w:rsid w:val="6FAF75B6"/>
    <w:rsid w:val="6FFE052A"/>
    <w:rsid w:val="75DED50C"/>
    <w:rsid w:val="764F96C3"/>
    <w:rsid w:val="77B71BE6"/>
    <w:rsid w:val="77FE7D1B"/>
    <w:rsid w:val="7B6ECF31"/>
    <w:rsid w:val="7B92BCC4"/>
    <w:rsid w:val="7BD7F47C"/>
    <w:rsid w:val="7BFBC51E"/>
    <w:rsid w:val="7BFE6C5C"/>
    <w:rsid w:val="7CF660C6"/>
    <w:rsid w:val="7D2F821E"/>
    <w:rsid w:val="7E7F6BA0"/>
    <w:rsid w:val="7E8F7317"/>
    <w:rsid w:val="7F47B28E"/>
    <w:rsid w:val="7F55BCAA"/>
    <w:rsid w:val="7F5ADB37"/>
    <w:rsid w:val="7FBEBE9A"/>
    <w:rsid w:val="7FD73E88"/>
    <w:rsid w:val="7FFB82D7"/>
    <w:rsid w:val="7FFD46AC"/>
    <w:rsid w:val="7FFF3E84"/>
    <w:rsid w:val="8F5F7C2C"/>
    <w:rsid w:val="97FFA61D"/>
    <w:rsid w:val="99F78570"/>
    <w:rsid w:val="AF7FA3DF"/>
    <w:rsid w:val="AFF1641D"/>
    <w:rsid w:val="AFFFBF23"/>
    <w:rsid w:val="BDAD29F5"/>
    <w:rsid w:val="BFF7B43A"/>
    <w:rsid w:val="DF3FFA7B"/>
    <w:rsid w:val="DFADFA4A"/>
    <w:rsid w:val="DFDB43C8"/>
    <w:rsid w:val="EBDE9D11"/>
    <w:rsid w:val="EE5D1263"/>
    <w:rsid w:val="EE6714A0"/>
    <w:rsid w:val="EEAF4F46"/>
    <w:rsid w:val="EEBFC646"/>
    <w:rsid w:val="EEFE3B8F"/>
    <w:rsid w:val="EF66A62C"/>
    <w:rsid w:val="EFFF4206"/>
    <w:rsid w:val="F2576DE2"/>
    <w:rsid w:val="F59C65C9"/>
    <w:rsid w:val="F5FCEBD1"/>
    <w:rsid w:val="F77F5CA6"/>
    <w:rsid w:val="F79D52B3"/>
    <w:rsid w:val="F7CFC716"/>
    <w:rsid w:val="F7DE0268"/>
    <w:rsid w:val="F7FF65A3"/>
    <w:rsid w:val="F7FFB3F0"/>
    <w:rsid w:val="F9EF1BCA"/>
    <w:rsid w:val="FB795573"/>
    <w:rsid w:val="FBAF21E0"/>
    <w:rsid w:val="FBFB0FB9"/>
    <w:rsid w:val="FBFFD19A"/>
    <w:rsid w:val="FCFBB30C"/>
    <w:rsid w:val="FD3B9346"/>
    <w:rsid w:val="FD4F8BA0"/>
    <w:rsid w:val="FD7C5562"/>
    <w:rsid w:val="FDBEE4F7"/>
    <w:rsid w:val="FE793394"/>
    <w:rsid w:val="FEB3747D"/>
    <w:rsid w:val="FEEF24FC"/>
    <w:rsid w:val="FEFDB025"/>
    <w:rsid w:val="FFFBA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9" w:lineRule="exact"/>
      <w:jc w:val="center"/>
      <w:outlineLvl w:val="0"/>
    </w:pPr>
    <w:rPr>
      <w:rFonts w:eastAsia="方正小标宋_GBK" w:asciiTheme="minorAscii" w:hAnsiTheme="minorAscii"/>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99"/>
    <w:pPr>
      <w:spacing w:after="120"/>
    </w:pPr>
    <w:rPr>
      <w:rFonts w:eastAsia="CESI仿宋-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2024-02-12T23:59:00Z</dcterms:created>
  <dc:creator>xingjd</dc:creator>
  <cp:lastModifiedBy>YIFAN</cp:lastModifiedBy>
  <cp:lastPrinted>2024-08-07T16:24:00Z</cp:lastPrinted>
  <dcterms:modified xsi:type="dcterms:W3CDTF">2024-09-18T15:54:10Z</dcterms:modified>
  <dc:title>珠海老字号认定管理办法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4C67775898240744D6069166DD223546</vt:lpwstr>
  </property>
</Properties>
</file>