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79" w:lineRule="exact"/>
        <w:jc w:val="center"/>
        <w:textAlignment w:val="center"/>
        <w:rPr>
          <w:rFonts w:hint="eastAsia" w:ascii="方正小标宋简体" w:hAnsi="方正小标宋简体" w:eastAsia="方正小标宋简体" w:cs="方正小标宋简体"/>
          <w:b w:val="0"/>
          <w:bCs w:val="0"/>
          <w:i w:val="0"/>
          <w:iCs w:val="0"/>
          <w:color w:val="auto"/>
          <w:kern w:val="0"/>
          <w:sz w:val="44"/>
          <w:szCs w:val="44"/>
          <w:u w:val="none"/>
          <w:lang w:val="en-US" w:eastAsia="zh-CN" w:bidi="ar"/>
        </w:rPr>
      </w:pPr>
      <w:bookmarkStart w:id="0" w:name="_GoBack"/>
      <w:bookmarkEnd w:id="0"/>
      <w:r>
        <w:rPr>
          <w:rFonts w:hint="eastAsia" w:ascii="方正小标宋简体" w:hAnsi="方正小标宋简体" w:eastAsia="方正小标宋简体" w:cs="方正小标宋简体"/>
          <w:b w:val="0"/>
          <w:bCs w:val="0"/>
          <w:i w:val="0"/>
          <w:iCs w:val="0"/>
          <w:color w:val="auto"/>
          <w:kern w:val="0"/>
          <w:sz w:val="44"/>
          <w:szCs w:val="44"/>
          <w:u w:val="none"/>
          <w:lang w:val="en-US" w:eastAsia="zh-CN" w:bidi="ar"/>
        </w:rPr>
        <w:t>珠海经济特区门前责任区管理办法</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（征求意见稿）</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p>
    <w:p>
      <w:pPr>
        <w:adjustRightInd w:val="0"/>
        <w:snapToGrid w:val="0"/>
        <w:spacing w:line="560" w:lineRule="exact"/>
        <w:ind w:firstLine="3520" w:firstLineChars="1100"/>
        <w:rPr>
          <w:rFonts w:hint="eastAsia" w:ascii="方正楷体_GBK" w:hAnsi="方正楷体_GBK" w:eastAsia="方正楷体_GBK" w:cs="方正楷体_GBK"/>
          <w:color w:val="000000"/>
          <w:kern w:val="2"/>
          <w:sz w:val="32"/>
          <w:szCs w:val="32"/>
        </w:rPr>
      </w:pPr>
      <w:r>
        <w:rPr>
          <w:rFonts w:hint="eastAsia" w:ascii="方正楷体_GBK" w:hAnsi="方正楷体_GBK" w:eastAsia="方正楷体_GBK" w:cs="方正楷体_GBK"/>
          <w:color w:val="000000"/>
          <w:kern w:val="2"/>
          <w:sz w:val="32"/>
          <w:szCs w:val="32"/>
        </w:rPr>
        <w:t>目  录</w:t>
      </w:r>
    </w:p>
    <w:p>
      <w:pPr>
        <w:pStyle w:val="19"/>
        <w:adjustRightInd w:val="0"/>
        <w:snapToGrid w:val="0"/>
        <w:spacing w:line="560" w:lineRule="exact"/>
        <w:ind w:firstLine="1280" w:firstLineChars="400"/>
        <w:rPr>
          <w:rFonts w:hint="eastAsia"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第一章 总  则</w:t>
      </w:r>
    </w:p>
    <w:p>
      <w:pPr>
        <w:pStyle w:val="19"/>
        <w:adjustRightInd w:val="0"/>
        <w:snapToGrid w:val="0"/>
        <w:spacing w:line="560" w:lineRule="exact"/>
        <w:ind w:firstLine="1280" w:firstLineChars="400"/>
        <w:rPr>
          <w:rFonts w:hint="eastAsia"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 xml:space="preserve">第二章 </w:t>
      </w:r>
      <w:r>
        <w:rPr>
          <w:rFonts w:hint="eastAsia" w:ascii="方正楷体_GBK" w:hAnsi="方正楷体_GBK" w:eastAsia="方正楷体_GBK" w:cs="方正楷体_GBK"/>
          <w:color w:val="000000"/>
          <w:sz w:val="32"/>
          <w:szCs w:val="32"/>
          <w:lang w:val="en-US" w:eastAsia="zh-CN"/>
        </w:rPr>
        <w:t>门前责任区制度</w:t>
      </w:r>
    </w:p>
    <w:p>
      <w:pPr>
        <w:pStyle w:val="19"/>
        <w:adjustRightInd w:val="0"/>
        <w:snapToGrid w:val="0"/>
        <w:spacing w:line="560" w:lineRule="exact"/>
        <w:ind w:firstLine="1280" w:firstLineChars="400"/>
        <w:rPr>
          <w:rFonts w:hint="eastAsia"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 xml:space="preserve">第三章 </w:t>
      </w:r>
      <w:r>
        <w:rPr>
          <w:rFonts w:hint="eastAsia" w:ascii="方正楷体_GBK" w:hAnsi="方正楷体_GBK" w:eastAsia="方正楷体_GBK" w:cs="方正楷体_GBK"/>
          <w:color w:val="000000"/>
          <w:sz w:val="32"/>
          <w:szCs w:val="32"/>
          <w:lang w:val="en-US" w:eastAsia="zh-CN"/>
        </w:rPr>
        <w:t>履责信用评价</w:t>
      </w:r>
    </w:p>
    <w:p>
      <w:pPr>
        <w:pStyle w:val="19"/>
        <w:adjustRightInd w:val="0"/>
        <w:snapToGrid w:val="0"/>
        <w:spacing w:line="560" w:lineRule="exact"/>
        <w:ind w:firstLine="1280" w:firstLineChars="400"/>
        <w:rPr>
          <w:rFonts w:hint="eastAsia" w:ascii="方正楷体_GBK" w:hAnsi="方正楷体_GBK" w:eastAsia="方正楷体_GBK" w:cs="方正楷体_GBK"/>
          <w:color w:val="000000"/>
          <w:sz w:val="32"/>
          <w:szCs w:val="32"/>
          <w:lang w:eastAsia="zh-CN"/>
        </w:rPr>
      </w:pPr>
      <w:r>
        <w:rPr>
          <w:rFonts w:hint="eastAsia" w:ascii="方正楷体_GBK" w:hAnsi="方正楷体_GBK" w:eastAsia="方正楷体_GBK" w:cs="方正楷体_GBK"/>
          <w:color w:val="000000"/>
          <w:sz w:val="32"/>
          <w:szCs w:val="32"/>
        </w:rPr>
        <w:t xml:space="preserve">第四章 </w:t>
      </w:r>
      <w:r>
        <w:rPr>
          <w:rFonts w:hint="eastAsia" w:ascii="方正楷体_GBK" w:hAnsi="方正楷体_GBK" w:eastAsia="方正楷体_GBK" w:cs="方正楷体_GBK"/>
          <w:color w:val="000000"/>
          <w:sz w:val="32"/>
          <w:szCs w:val="32"/>
          <w:lang w:eastAsia="zh-CN"/>
        </w:rPr>
        <w:t>社会共治</w:t>
      </w:r>
    </w:p>
    <w:p>
      <w:pPr>
        <w:pStyle w:val="19"/>
        <w:adjustRightInd w:val="0"/>
        <w:snapToGrid w:val="0"/>
        <w:spacing w:line="560" w:lineRule="exact"/>
        <w:ind w:firstLine="1280" w:firstLineChars="400"/>
        <w:rPr>
          <w:rFonts w:hint="eastAsia" w:ascii="方正楷体_GBK" w:hAnsi="方正楷体_GBK" w:eastAsia="方正楷体_GBK" w:cs="方正楷体_GBK"/>
          <w:color w:val="000000"/>
          <w:sz w:val="32"/>
          <w:szCs w:val="32"/>
          <w:lang w:eastAsia="zh-CN"/>
        </w:rPr>
      </w:pPr>
      <w:r>
        <w:rPr>
          <w:rFonts w:hint="eastAsia" w:ascii="方正楷体_GBK" w:hAnsi="方正楷体_GBK" w:eastAsia="方正楷体_GBK" w:cs="方正楷体_GBK"/>
          <w:color w:val="000000"/>
          <w:sz w:val="32"/>
          <w:szCs w:val="32"/>
        </w:rPr>
        <w:t xml:space="preserve">第五章 </w:t>
      </w:r>
      <w:r>
        <w:rPr>
          <w:rFonts w:hint="eastAsia" w:ascii="方正楷体_GBK" w:hAnsi="方正楷体_GBK" w:eastAsia="方正楷体_GBK" w:cs="方正楷体_GBK"/>
          <w:color w:val="000000"/>
          <w:sz w:val="32"/>
          <w:szCs w:val="32"/>
          <w:lang w:eastAsia="zh-CN"/>
        </w:rPr>
        <w:t>法律责任</w:t>
      </w:r>
    </w:p>
    <w:p>
      <w:pPr>
        <w:pStyle w:val="19"/>
        <w:adjustRightInd w:val="0"/>
        <w:snapToGrid w:val="0"/>
        <w:spacing w:line="560" w:lineRule="exact"/>
        <w:ind w:firstLine="1280" w:firstLineChars="400"/>
        <w:rPr>
          <w:rFonts w:hint="eastAsia" w:ascii="方正楷体_GBK" w:hAnsi="方正楷体_GBK" w:eastAsia="方正楷体_GBK" w:cs="方正楷体_GBK"/>
          <w:color w:val="000000"/>
          <w:sz w:val="32"/>
          <w:szCs w:val="32"/>
          <w:lang w:eastAsia="zh-CN"/>
        </w:rPr>
      </w:pPr>
      <w:r>
        <w:rPr>
          <w:rFonts w:hint="eastAsia" w:ascii="方正楷体_GBK" w:hAnsi="方正楷体_GBK" w:eastAsia="方正楷体_GBK" w:cs="方正楷体_GBK"/>
          <w:color w:val="000000"/>
          <w:sz w:val="32"/>
          <w:szCs w:val="32"/>
        </w:rPr>
        <w:t xml:space="preserve">第六章 </w:t>
      </w:r>
      <w:r>
        <w:rPr>
          <w:rFonts w:hint="eastAsia" w:ascii="方正楷体_GBK" w:hAnsi="方正楷体_GBK" w:eastAsia="方正楷体_GBK" w:cs="方正楷体_GBK"/>
          <w:color w:val="000000"/>
          <w:sz w:val="32"/>
          <w:szCs w:val="32"/>
          <w:lang w:eastAsia="zh-CN"/>
        </w:rPr>
        <w:t>附则</w:t>
      </w:r>
    </w:p>
    <w:p>
      <w:pPr>
        <w:keepNext w:val="0"/>
        <w:keepLines w:val="0"/>
        <w:pageBreakBefore w:val="0"/>
        <w:widowControl/>
        <w:suppressLineNumbers w:val="0"/>
        <w:kinsoku/>
        <w:wordWrap/>
        <w:overflowPunct/>
        <w:topLinePunct w:val="0"/>
        <w:autoSpaceDE/>
        <w:autoSpaceDN/>
        <w:bidi w:val="0"/>
        <w:adjustRightInd/>
        <w:snapToGrid/>
        <w:spacing w:line="579"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9" w:lineRule="exact"/>
        <w:jc w:val="center"/>
        <w:textAlignment w:val="center"/>
        <w:rPr>
          <w:rFonts w:hint="eastAsia" w:ascii="黑体" w:hAnsi="黑体" w:eastAsia="黑体" w:cs="黑体"/>
          <w:b w:val="0"/>
          <w:bCs w:val="0"/>
          <w:i w:val="0"/>
          <w:iCs w:val="0"/>
          <w:color w:val="auto"/>
          <w:sz w:val="32"/>
          <w:szCs w:val="32"/>
          <w:u w:val="none"/>
        </w:rPr>
      </w:pPr>
      <w:r>
        <w:rPr>
          <w:rFonts w:hint="eastAsia" w:ascii="黑体" w:hAnsi="黑体" w:eastAsia="黑体" w:cs="黑体"/>
          <w:b w:val="0"/>
          <w:bCs w:val="0"/>
          <w:i w:val="0"/>
          <w:iCs w:val="0"/>
          <w:color w:val="auto"/>
          <w:kern w:val="0"/>
          <w:sz w:val="32"/>
          <w:szCs w:val="32"/>
          <w:u w:val="none"/>
          <w:lang w:val="en-US" w:eastAsia="zh-CN" w:bidi="ar"/>
        </w:rPr>
        <w:t>第一章  总则</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黑体" w:hAnsi="黑体" w:eastAsia="黑体" w:cs="黑体"/>
          <w:b w:val="0"/>
          <w:bCs w:val="0"/>
          <w:i w:val="0"/>
          <w:iCs w:val="0"/>
          <w:color w:val="auto"/>
          <w:kern w:val="0"/>
          <w:sz w:val="32"/>
          <w:szCs w:val="32"/>
          <w:u w:val="none"/>
          <w:lang w:val="en-US" w:eastAsia="zh-CN" w:bidi="ar"/>
        </w:rPr>
        <w:t>第一条【目的和依据】</w:t>
      </w:r>
      <w:r>
        <w:rPr>
          <w:rFonts w:hint="eastAsia" w:ascii="仿宋_GB2312" w:hAnsi="仿宋_GB2312" w:eastAsia="仿宋_GB2312" w:cs="仿宋_GB2312"/>
          <w:i w:val="0"/>
          <w:iCs w:val="0"/>
          <w:color w:val="auto"/>
          <w:kern w:val="0"/>
          <w:sz w:val="32"/>
          <w:szCs w:val="32"/>
          <w:u w:val="none"/>
          <w:lang w:val="en-US" w:eastAsia="zh-CN" w:bidi="ar"/>
        </w:rPr>
        <w:t>为了践行“人民城市人民建，人民城市为人民”重要理念，保障城市市容市貌干净、整洁、有序、安全，提升城市宜居、宜业、宜游品质，完善城市治理体系，规范和引导责任人自觉履行门前责任，根据国家有关法律、法规，结合珠海经济特区实际，制定本办法。</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黑体" w:hAnsi="黑体" w:eastAsia="黑体" w:cs="黑体"/>
          <w:b w:val="0"/>
          <w:bCs w:val="0"/>
          <w:i w:val="0"/>
          <w:iCs w:val="0"/>
          <w:color w:val="auto"/>
          <w:kern w:val="0"/>
          <w:sz w:val="32"/>
          <w:szCs w:val="32"/>
          <w:u w:val="none"/>
          <w:lang w:val="en-US" w:eastAsia="zh-CN" w:bidi="ar"/>
        </w:rPr>
        <w:t>第二条【实施范围】</w:t>
      </w:r>
      <w:r>
        <w:rPr>
          <w:rFonts w:hint="eastAsia" w:ascii="仿宋_GB2312" w:hAnsi="仿宋_GB2312" w:eastAsia="仿宋_GB2312" w:cs="仿宋_GB2312"/>
          <w:i w:val="0"/>
          <w:iCs w:val="0"/>
          <w:color w:val="auto"/>
          <w:kern w:val="0"/>
          <w:sz w:val="32"/>
          <w:szCs w:val="32"/>
          <w:u w:val="none"/>
          <w:lang w:val="en-US" w:eastAsia="zh-CN" w:bidi="ar"/>
        </w:rPr>
        <w:t>本办法适用于本市城市建成区范围的</w:t>
      </w: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市容和环境卫生</w:t>
      </w:r>
      <w:r>
        <w:rPr>
          <w:rFonts w:hint="eastAsia" w:ascii="仿宋_GB2312" w:hAnsi="仿宋_GB2312" w:eastAsia="仿宋_GB2312" w:cs="仿宋_GB2312"/>
          <w:i w:val="0"/>
          <w:iCs w:val="0"/>
          <w:color w:val="auto"/>
          <w:kern w:val="0"/>
          <w:sz w:val="32"/>
          <w:szCs w:val="32"/>
          <w:u w:val="none"/>
          <w:lang w:val="en-US" w:eastAsia="zh-CN" w:bidi="ar"/>
        </w:rPr>
        <w:t>门前责任区工作。</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黑体" w:hAnsi="黑体" w:eastAsia="黑体" w:cs="黑体"/>
          <w:b w:val="0"/>
          <w:bCs w:val="0"/>
          <w:i w:val="0"/>
          <w:iCs w:val="0"/>
          <w:color w:val="auto"/>
          <w:kern w:val="0"/>
          <w:sz w:val="32"/>
          <w:szCs w:val="32"/>
          <w:u w:val="none"/>
          <w:lang w:val="en-US" w:eastAsia="zh-CN" w:bidi="ar"/>
        </w:rPr>
        <w:t>第三条【工作原则】</w:t>
      </w:r>
      <w:r>
        <w:rPr>
          <w:rFonts w:hint="eastAsia" w:ascii="仿宋_GB2312" w:hAnsi="仿宋_GB2312" w:eastAsia="仿宋_GB2312" w:cs="仿宋_GB2312"/>
          <w:i w:val="0"/>
          <w:iCs w:val="0"/>
          <w:color w:val="auto"/>
          <w:kern w:val="0"/>
          <w:sz w:val="32"/>
          <w:szCs w:val="32"/>
          <w:u w:val="none"/>
          <w:lang w:val="en-US" w:eastAsia="zh-CN" w:bidi="ar"/>
        </w:rPr>
        <w:t>门前责任区管理工作实行统一领导、分区负责、分级管理，行业自律与社会共治共享、教育惩戒与正面激励相结合的原则。</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黑体" w:hAnsi="黑体" w:eastAsia="黑体" w:cs="黑体"/>
          <w:b w:val="0"/>
          <w:bCs w:val="0"/>
          <w:i w:val="0"/>
          <w:iCs w:val="0"/>
          <w:color w:val="auto"/>
          <w:kern w:val="0"/>
          <w:sz w:val="32"/>
          <w:szCs w:val="32"/>
          <w:u w:val="none"/>
          <w:lang w:val="en-US" w:eastAsia="zh-CN" w:bidi="ar"/>
        </w:rPr>
        <w:t>第四条【统筹部门】</w:t>
      </w:r>
      <w:r>
        <w:rPr>
          <w:rFonts w:hint="eastAsia" w:ascii="仿宋_GB2312" w:hAnsi="仿宋_GB2312" w:eastAsia="仿宋_GB2312" w:cs="仿宋_GB2312"/>
          <w:i w:val="0"/>
          <w:iCs w:val="0"/>
          <w:color w:val="auto"/>
          <w:kern w:val="0"/>
          <w:sz w:val="32"/>
          <w:szCs w:val="32"/>
          <w:u w:val="none"/>
          <w:lang w:val="en-US" w:eastAsia="zh-CN" w:bidi="ar"/>
        </w:rPr>
        <w:t>市</w:t>
      </w:r>
      <w:r>
        <w:rPr>
          <w:rFonts w:hint="default" w:ascii="仿宋_GB2312" w:hAnsi="仿宋_GB2312" w:eastAsia="仿宋_GB2312" w:cs="仿宋_GB2312"/>
          <w:i w:val="0"/>
          <w:iCs w:val="0"/>
          <w:color w:val="auto"/>
          <w:kern w:val="0"/>
          <w:sz w:val="32"/>
          <w:szCs w:val="32"/>
          <w:u w:val="none"/>
          <w:lang w:val="en-US" w:eastAsia="zh-CN" w:bidi="ar"/>
        </w:rPr>
        <w:t>城市管理和综合执法部门</w:t>
      </w:r>
      <w:r>
        <w:rPr>
          <w:rFonts w:hint="eastAsia" w:ascii="仿宋_GB2312" w:hAnsi="仿宋_GB2312" w:eastAsia="仿宋_GB2312" w:cs="仿宋_GB2312"/>
          <w:i w:val="0"/>
          <w:iCs w:val="0"/>
          <w:color w:val="auto"/>
          <w:kern w:val="0"/>
          <w:sz w:val="32"/>
          <w:szCs w:val="32"/>
          <w:u w:val="none"/>
          <w:lang w:val="en-US" w:eastAsia="zh-CN" w:bidi="ar"/>
        </w:rPr>
        <w:t>负责统筹本市门前责任区管理服务工作，主要履行以下职责：</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（一）组织制定本市门前责任区管理及服务的相关政策、标准与指导意见。</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（二）组织检查、监督、考评各区责任区管理工作实施状况及实施效果。</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（三）协调有关行政管理部门，将责任要求纳入行业管理的责任范围。</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黑体" w:hAnsi="黑体" w:eastAsia="黑体" w:cs="黑体"/>
          <w:b w:val="0"/>
          <w:bCs w:val="0"/>
          <w:i w:val="0"/>
          <w:iCs w:val="0"/>
          <w:color w:val="auto"/>
          <w:kern w:val="0"/>
          <w:sz w:val="32"/>
          <w:szCs w:val="32"/>
          <w:u w:val="none"/>
          <w:lang w:val="en-US" w:eastAsia="zh-CN" w:bidi="ar"/>
        </w:rPr>
        <w:t>第五条【行业监管】</w:t>
      </w:r>
      <w:r>
        <w:rPr>
          <w:rFonts w:hint="eastAsia" w:ascii="仿宋_GB2312" w:hAnsi="仿宋_GB2312" w:eastAsia="仿宋_GB2312" w:cs="仿宋_GB2312"/>
          <w:i w:val="0"/>
          <w:iCs w:val="0"/>
          <w:color w:val="auto"/>
          <w:kern w:val="0"/>
          <w:sz w:val="32"/>
          <w:szCs w:val="32"/>
          <w:u w:val="none"/>
          <w:lang w:val="en-US" w:eastAsia="zh-CN" w:bidi="ar"/>
        </w:rPr>
        <w:t>本市自然资源、住房城乡建设、生态环境、司法行政、发展改革、教育、科技创新、工业和信息化、公安、财政、交通运输、商务、农业农村、文化广电旅游体育、卫生健康、市场监督管理等有关行政管理部门按照各自职责，协同实施本办法。</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住房城乡建设部门作为物业管理的行政主管部门，负责督促物业服务企业认真履行门前责任，物业管理服务区域的门前责任区管理内容应当纳入前期物业合同、物业服务合同示范文本。</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各行政管理部门应当将门前责任区工作纳入本行业管理职责内容，并应当加强与城市管理和综合执法部门的执法协作，建立健全协作和联动机制，开展对违反门前责任区管理行为的重点监督、联合检查、联合执法等工作，定期向社会公开检查和执法情况。</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其他国家机关参照行政管理部门执行责任区管理工作。</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黑体" w:hAnsi="黑体" w:eastAsia="黑体" w:cs="黑体"/>
          <w:b w:val="0"/>
          <w:bCs w:val="0"/>
          <w:i w:val="0"/>
          <w:iCs w:val="0"/>
          <w:color w:val="auto"/>
          <w:kern w:val="0"/>
          <w:sz w:val="32"/>
          <w:szCs w:val="32"/>
          <w:u w:val="none"/>
          <w:lang w:val="en-US" w:eastAsia="zh-CN" w:bidi="ar"/>
        </w:rPr>
        <w:t>第六条【区政府和区城管】</w:t>
      </w:r>
      <w:r>
        <w:rPr>
          <w:rFonts w:hint="eastAsia" w:ascii="仿宋_GB2312" w:hAnsi="仿宋_GB2312" w:eastAsia="仿宋_GB2312" w:cs="仿宋_GB2312"/>
          <w:i w:val="0"/>
          <w:iCs w:val="0"/>
          <w:color w:val="auto"/>
          <w:kern w:val="0"/>
          <w:sz w:val="32"/>
          <w:szCs w:val="32"/>
          <w:u w:val="none"/>
          <w:lang w:val="en-US" w:eastAsia="zh-CN" w:bidi="ar"/>
        </w:rPr>
        <w:t>区人民政府应当加强对门前责任区管理工作的领导，建立综合统筹协调工作机制，经济功能区管理机构履行区人民政府的相关职责。</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区城市管理和综合执法部门负责本辖区内责任区的监督管理，主要履行以下职责：</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（一）布置、落实本辖区内的责任区工作。</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（二）开展责任区相关宣传、动员、培训、监督、检查工作。</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（三）指导镇人民政府、街道办事处推进责任区范围实现“自我管理、自我服务、自我监督”工作。</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黑体" w:hAnsi="黑体" w:eastAsia="黑体" w:cs="黑体"/>
          <w:b w:val="0"/>
          <w:bCs w:val="0"/>
          <w:i w:val="0"/>
          <w:iCs w:val="0"/>
          <w:color w:val="auto"/>
          <w:kern w:val="0"/>
          <w:sz w:val="32"/>
          <w:szCs w:val="32"/>
          <w:u w:val="none"/>
          <w:lang w:val="en-US" w:eastAsia="zh-CN" w:bidi="ar"/>
        </w:rPr>
        <w:t>第七条【镇、街】</w:t>
      </w:r>
      <w:r>
        <w:rPr>
          <w:rFonts w:hint="eastAsia" w:ascii="仿宋_GB2312" w:hAnsi="仿宋_GB2312" w:eastAsia="仿宋_GB2312" w:cs="仿宋_GB2312"/>
          <w:i w:val="0"/>
          <w:iCs w:val="0"/>
          <w:color w:val="auto"/>
          <w:kern w:val="0"/>
          <w:sz w:val="32"/>
          <w:szCs w:val="32"/>
          <w:u w:val="none"/>
          <w:lang w:val="en-US" w:eastAsia="zh-CN" w:bidi="ar"/>
        </w:rPr>
        <w:t>镇人民政府、街道办事处（以下简称“镇、街”）负责组织本辖区内的相关单位、个人落实责任区制度，主要履行以下职责：</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落实具体责任人、责任区范围。</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推进责任区建立自律管理机制。</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（三）引入社会第三方参与责任区相关工作。</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sz w:val="32"/>
          <w:szCs w:val="32"/>
          <w:u w:val="none"/>
        </w:rPr>
      </w:pPr>
      <w:r>
        <w:rPr>
          <w:rFonts w:hint="eastAsia" w:ascii="黑体" w:hAnsi="黑体" w:eastAsia="黑体" w:cs="黑体"/>
          <w:b w:val="0"/>
          <w:bCs w:val="0"/>
          <w:i w:val="0"/>
          <w:iCs w:val="0"/>
          <w:color w:val="auto"/>
          <w:kern w:val="0"/>
          <w:sz w:val="32"/>
          <w:szCs w:val="32"/>
          <w:u w:val="none"/>
          <w:lang w:val="en-US" w:eastAsia="zh-CN" w:bidi="ar"/>
        </w:rPr>
        <w:t>第八条【居民委员会】</w:t>
      </w:r>
      <w:r>
        <w:rPr>
          <w:rFonts w:hint="eastAsia" w:ascii="仿宋_GB2312" w:hAnsi="仿宋_GB2312" w:eastAsia="仿宋_GB2312" w:cs="仿宋_GB2312"/>
          <w:i w:val="0"/>
          <w:iCs w:val="0"/>
          <w:color w:val="auto"/>
          <w:kern w:val="0"/>
          <w:sz w:val="32"/>
          <w:szCs w:val="32"/>
          <w:u w:val="none"/>
          <w:lang w:val="en-US" w:eastAsia="zh-CN" w:bidi="ar"/>
        </w:rPr>
        <w:t>居民委员会在镇、街的指导下，配合做好门前责任区管理的组织、宣传、动员、引导和日常巡查等工作，以及负责组织责任人制定维护门前责任区的社区公约，动员责任人积极参加门前责任区的市容环境卫生维护等工作。</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sz w:val="32"/>
          <w:szCs w:val="32"/>
        </w:rPr>
      </w:pPr>
      <w:r>
        <w:rPr>
          <w:rFonts w:hint="eastAsia" w:ascii="黑体" w:hAnsi="黑体" w:eastAsia="黑体" w:cs="黑体"/>
          <w:b w:val="0"/>
          <w:bCs w:val="0"/>
          <w:i w:val="0"/>
          <w:iCs w:val="0"/>
          <w:color w:val="auto"/>
          <w:kern w:val="0"/>
          <w:sz w:val="32"/>
          <w:szCs w:val="32"/>
          <w:u w:val="none"/>
          <w:lang w:val="en-US" w:eastAsia="zh-CN" w:bidi="ar"/>
        </w:rPr>
        <w:t>第九条【处罚机制】</w:t>
      </w:r>
      <w:r>
        <w:rPr>
          <w:rFonts w:hint="eastAsia" w:ascii="仿宋_GB2312" w:hAnsi="仿宋_GB2312" w:eastAsia="仿宋_GB2312" w:cs="仿宋_GB2312"/>
          <w:i w:val="0"/>
          <w:iCs w:val="0"/>
          <w:color w:val="auto"/>
          <w:kern w:val="0"/>
          <w:sz w:val="32"/>
          <w:szCs w:val="32"/>
          <w:u w:val="none"/>
          <w:lang w:val="en-US" w:eastAsia="zh-CN" w:bidi="ar"/>
        </w:rPr>
        <w:t>本办法规定的违反门前责任制的违法行为，由城市管理和综合执法部门实施行政处罚及相关的行政检查。各行政管理部门在行政管理过程中发现责任人存在违反门前责任区管理要求的行为，应当要求责任人改正，对其进行教育；依法应当给予处罚的，及时向城市管理和综合执法部门通报，城市管理和综合执法部门应当及时查处。</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城市管理和综合执法部门实施行政处罚，纠正违法行为，应当坚持处罚与教育相结合，教育公民、法人或者其他组织自觉守法。</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黑体" w:hAnsi="黑体" w:eastAsia="黑体" w:cs="黑体"/>
          <w:b w:val="0"/>
          <w:bCs w:val="0"/>
          <w:i w:val="0"/>
          <w:iCs w:val="0"/>
          <w:color w:val="auto"/>
          <w:kern w:val="0"/>
          <w:sz w:val="32"/>
          <w:szCs w:val="32"/>
          <w:u w:val="none"/>
          <w:lang w:val="en-US" w:eastAsia="zh-CN" w:bidi="ar"/>
        </w:rPr>
        <w:t>第十条【经费保障】</w:t>
      </w:r>
      <w:r>
        <w:rPr>
          <w:rFonts w:hint="eastAsia" w:ascii="仿宋_GB2312" w:hAnsi="仿宋_GB2312" w:eastAsia="仿宋_GB2312" w:cs="仿宋_GB2312"/>
          <w:i w:val="0"/>
          <w:iCs w:val="0"/>
          <w:color w:val="auto"/>
          <w:kern w:val="0"/>
          <w:sz w:val="32"/>
          <w:szCs w:val="32"/>
          <w:u w:val="none"/>
          <w:lang w:val="en-US" w:eastAsia="zh-CN" w:bidi="ar"/>
        </w:rPr>
        <w:t>市、区人民政府按照各自职责对门前责任区管理工作给予经费保障，列入同级财政预算统筹安排。</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黑体" w:hAnsi="黑体" w:eastAsia="黑体" w:cs="黑体"/>
          <w:b w:val="0"/>
          <w:bCs w:val="0"/>
          <w:i w:val="0"/>
          <w:iCs w:val="0"/>
          <w:color w:val="auto"/>
          <w:kern w:val="0"/>
          <w:sz w:val="32"/>
          <w:szCs w:val="32"/>
          <w:u w:val="none"/>
          <w:lang w:val="en-US" w:eastAsia="zh-CN" w:bidi="ar"/>
        </w:rPr>
        <w:t>第十一条【加强标准体系建设】</w:t>
      </w:r>
      <w:r>
        <w:rPr>
          <w:rFonts w:hint="eastAsia" w:ascii="仿宋_GB2312" w:hAnsi="仿宋_GB2312" w:eastAsia="仿宋_GB2312" w:cs="仿宋_GB2312"/>
          <w:i w:val="0"/>
          <w:iCs w:val="0"/>
          <w:color w:val="auto"/>
          <w:kern w:val="0"/>
          <w:sz w:val="32"/>
          <w:szCs w:val="32"/>
          <w:u w:val="none"/>
          <w:lang w:val="en-US" w:eastAsia="zh-CN" w:bidi="ar"/>
        </w:rPr>
        <w:t>本市加强城市市容和环境卫生标准体系建设，城市市容和环境卫生标准包括城市容貌标准、城市环境卫生标准等。</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Style w:val="17"/>
          <w:rFonts w:hint="eastAsia" w:ascii="仿宋_GB2312" w:hAnsi="仿宋_GB2312" w:eastAsia="仿宋_GB2312" w:cs="仿宋_GB2312"/>
          <w:color w:val="auto"/>
          <w:sz w:val="32"/>
          <w:szCs w:val="32"/>
          <w:lang w:val="en-US" w:eastAsia="zh-CN" w:bidi="ar"/>
        </w:rPr>
      </w:pPr>
      <w:r>
        <w:rPr>
          <w:rFonts w:hint="eastAsia" w:ascii="黑体" w:hAnsi="黑体" w:eastAsia="黑体" w:cs="黑体"/>
          <w:b w:val="0"/>
          <w:bCs w:val="0"/>
          <w:i w:val="0"/>
          <w:iCs w:val="0"/>
          <w:color w:val="auto"/>
          <w:kern w:val="0"/>
          <w:sz w:val="32"/>
          <w:szCs w:val="32"/>
          <w:u w:val="none"/>
          <w:lang w:val="en-US" w:eastAsia="zh-CN" w:bidi="ar"/>
        </w:rPr>
        <w:t>第十二条【推动管理数字化】</w:t>
      </w:r>
      <w:r>
        <w:rPr>
          <w:rFonts w:hint="eastAsia" w:ascii="仿宋_GB2312" w:hAnsi="仿宋_GB2312" w:eastAsia="仿宋_GB2312" w:cs="仿宋_GB2312"/>
          <w:i w:val="0"/>
          <w:iCs w:val="0"/>
          <w:color w:val="auto"/>
          <w:kern w:val="0"/>
          <w:sz w:val="32"/>
          <w:szCs w:val="32"/>
          <w:u w:val="none"/>
          <w:lang w:val="en-US" w:eastAsia="zh-CN" w:bidi="ar"/>
        </w:rPr>
        <w:t>探索构建门前责任区数字信息化管理模式，</w:t>
      </w:r>
      <w:r>
        <w:rPr>
          <w:rStyle w:val="17"/>
          <w:rFonts w:hint="eastAsia" w:ascii="仿宋_GB2312" w:hAnsi="仿宋_GB2312" w:eastAsia="仿宋_GB2312" w:cs="仿宋_GB2312"/>
          <w:color w:val="auto"/>
          <w:sz w:val="32"/>
          <w:szCs w:val="32"/>
          <w:lang w:val="en-US" w:eastAsia="zh-CN" w:bidi="ar"/>
        </w:rPr>
        <w:t>完善网格化管理体系，构建门前责任区管理快速反应和处理机制，提高城市管理智能化、精细化水平。</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黑体" w:hAnsi="黑体" w:eastAsia="黑体" w:cs="黑体"/>
          <w:b w:val="0"/>
          <w:bCs w:val="0"/>
          <w:i w:val="0"/>
          <w:iCs w:val="0"/>
          <w:color w:val="auto"/>
          <w:kern w:val="0"/>
          <w:sz w:val="32"/>
          <w:szCs w:val="32"/>
          <w:u w:val="none"/>
          <w:lang w:val="en-US" w:eastAsia="zh-CN" w:bidi="ar"/>
        </w:rPr>
        <w:t>第十三条【检查考评】</w:t>
      </w:r>
      <w:r>
        <w:rPr>
          <w:rFonts w:hint="eastAsia" w:ascii="仿宋_GB2312" w:hAnsi="仿宋_GB2312" w:eastAsia="仿宋_GB2312" w:cs="仿宋_GB2312"/>
          <w:i w:val="0"/>
          <w:iCs w:val="0"/>
          <w:color w:val="auto"/>
          <w:kern w:val="0"/>
          <w:sz w:val="32"/>
          <w:szCs w:val="32"/>
          <w:u w:val="none"/>
          <w:lang w:val="en-US" w:eastAsia="zh-CN" w:bidi="ar"/>
        </w:rPr>
        <w:t>建立健全门前责任制检查考评制度，实行分级考评制。市城市管理和综合执法部门负责组织对全市的考评；区城市管理和综合执法部门负责组织对镇、街的考评；镇、街负责组织对居委会的考评并建立每日检查制。</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考评办法和检查评比标准由市、区城市管理和综合执法部门另行制定。考评单位可以通过购买服务的方式，委托第三方社会组织开展相关考评工作。</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kern w:val="0"/>
          <w:sz w:val="32"/>
          <w:szCs w:val="3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center"/>
        <w:textAlignment w:val="center"/>
        <w:rPr>
          <w:rFonts w:hint="eastAsia" w:ascii="黑体" w:hAnsi="黑体" w:eastAsia="黑体" w:cs="黑体"/>
          <w:b w:val="0"/>
          <w:bCs w:val="0"/>
          <w:i w:val="0"/>
          <w:iCs w:val="0"/>
          <w:color w:val="auto"/>
          <w:kern w:val="0"/>
          <w:sz w:val="32"/>
          <w:szCs w:val="32"/>
          <w:u w:val="none"/>
          <w:lang w:val="en-US" w:eastAsia="zh-CN" w:bidi="ar"/>
        </w:rPr>
      </w:pPr>
      <w:r>
        <w:rPr>
          <w:rFonts w:hint="eastAsia" w:ascii="黑体" w:hAnsi="黑体" w:eastAsia="黑体" w:cs="黑体"/>
          <w:b w:val="0"/>
          <w:bCs w:val="0"/>
          <w:i w:val="0"/>
          <w:iCs w:val="0"/>
          <w:color w:val="auto"/>
          <w:kern w:val="0"/>
          <w:sz w:val="32"/>
          <w:szCs w:val="32"/>
          <w:u w:val="none"/>
          <w:lang w:val="en-US" w:eastAsia="zh-CN" w:bidi="ar"/>
        </w:rPr>
        <w:t>第二章  门前责任区制度</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黑体" w:hAnsi="黑体" w:eastAsia="黑体" w:cs="黑体"/>
          <w:b w:val="0"/>
          <w:bCs w:val="0"/>
          <w:i w:val="0"/>
          <w:iCs w:val="0"/>
          <w:color w:val="auto"/>
          <w:kern w:val="0"/>
          <w:sz w:val="32"/>
          <w:szCs w:val="32"/>
          <w:u w:val="none"/>
          <w:lang w:val="en-US" w:eastAsia="zh-CN" w:bidi="ar"/>
        </w:rPr>
        <w:t>第十四条【门前责任区制度】</w:t>
      </w:r>
      <w:r>
        <w:rPr>
          <w:rFonts w:hint="eastAsia" w:ascii="仿宋_GB2312" w:hAnsi="仿宋_GB2312" w:eastAsia="仿宋_GB2312" w:cs="仿宋_GB2312"/>
          <w:i w:val="0"/>
          <w:iCs w:val="0"/>
          <w:color w:val="auto"/>
          <w:kern w:val="0"/>
          <w:sz w:val="32"/>
          <w:szCs w:val="32"/>
          <w:u w:val="none"/>
          <w:lang w:val="en-US" w:eastAsia="zh-CN" w:bidi="ar"/>
        </w:rPr>
        <w:t>本市实行门前责任区主体责任制度。门前责任区的责任人应当按照本办法的要求，做好责任区范围内的市容整洁、市容秩序、环境卫生、绿化美化等工作。</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黑体" w:hAnsi="黑体" w:eastAsia="黑体" w:cs="黑体"/>
          <w:b w:val="0"/>
          <w:bCs w:val="0"/>
          <w:i w:val="0"/>
          <w:iCs w:val="0"/>
          <w:color w:val="auto"/>
          <w:kern w:val="0"/>
          <w:sz w:val="32"/>
          <w:szCs w:val="32"/>
          <w:u w:val="none"/>
          <w:lang w:val="en-US" w:eastAsia="zh-CN" w:bidi="ar"/>
        </w:rPr>
        <w:t>第十五条【责任区概念】</w:t>
      </w:r>
      <w:r>
        <w:rPr>
          <w:rFonts w:hint="eastAsia" w:ascii="仿宋_GB2312" w:hAnsi="仿宋_GB2312" w:eastAsia="仿宋_GB2312" w:cs="仿宋_GB2312"/>
          <w:i w:val="0"/>
          <w:iCs w:val="0"/>
          <w:color w:val="auto"/>
          <w:kern w:val="0"/>
          <w:sz w:val="32"/>
          <w:szCs w:val="32"/>
          <w:u w:val="none"/>
          <w:lang w:val="en-US" w:eastAsia="zh-CN" w:bidi="ar"/>
        </w:rPr>
        <w:t>本办法所称门前责任区，是指有关单位和个人所有、使用、管理的建（构）筑物或者其他设施、场所的土地使用权范围、管理范围以及相关空间区域。</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责任区的界限以用地红线为界（不包括红线内的主次干道）。</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b w:val="0"/>
          <w:bCs w:val="0"/>
          <w:i w:val="0"/>
          <w:iCs w:val="0"/>
          <w:color w:val="auto"/>
          <w:kern w:val="0"/>
          <w:sz w:val="32"/>
          <w:szCs w:val="32"/>
          <w:u w:val="none"/>
          <w:lang w:val="en-US" w:eastAsia="zh-CN" w:bidi="ar"/>
        </w:rPr>
      </w:pPr>
      <w:r>
        <w:rPr>
          <w:rFonts w:hint="eastAsia" w:ascii="黑体" w:hAnsi="黑体" w:eastAsia="黑体" w:cs="黑体"/>
          <w:b w:val="0"/>
          <w:bCs w:val="0"/>
          <w:i w:val="0"/>
          <w:iCs w:val="0"/>
          <w:color w:val="auto"/>
          <w:kern w:val="0"/>
          <w:sz w:val="32"/>
          <w:szCs w:val="32"/>
          <w:u w:val="none"/>
          <w:lang w:val="en-US" w:eastAsia="zh-CN" w:bidi="ar"/>
        </w:rPr>
        <w:t>第十六条【责任人】</w:t>
      </w:r>
      <w:r>
        <w:rPr>
          <w:rFonts w:hint="eastAsia" w:ascii="仿宋_GB2312" w:hAnsi="仿宋_GB2312" w:eastAsia="仿宋_GB2312" w:cs="仿宋_GB2312"/>
          <w:b w:val="0"/>
          <w:bCs w:val="0"/>
          <w:i w:val="0"/>
          <w:iCs w:val="0"/>
          <w:color w:val="auto"/>
          <w:kern w:val="0"/>
          <w:sz w:val="32"/>
          <w:szCs w:val="32"/>
          <w:u w:val="none"/>
          <w:lang w:val="en-US" w:eastAsia="zh-CN" w:bidi="ar"/>
        </w:rPr>
        <w:t>门前责任区的责任人按照下列规定确定：</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一）实行物业管理的居住区域，由物业服务企业或其他管理人负责；没有实行物业管理的居住区域，由所有权人或者实际管理人负责，所有权人、实际管理人、使用人之间有约定的，从其约定，居委会负责协调。</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Style w:val="17"/>
          <w:rFonts w:hint="eastAsia" w:ascii="仿宋_GB2312" w:hAnsi="仿宋_GB2312" w:eastAsia="仿宋_GB2312" w:cs="仿宋_GB2312"/>
          <w:color w:val="auto"/>
          <w:sz w:val="32"/>
          <w:szCs w:val="32"/>
          <w:lang w:val="en-US" w:eastAsia="zh-CN" w:bidi="ar"/>
        </w:rPr>
      </w:pPr>
      <w:r>
        <w:rPr>
          <w:rStyle w:val="17"/>
          <w:rFonts w:hint="eastAsia" w:ascii="仿宋_GB2312" w:hAnsi="仿宋_GB2312" w:eastAsia="仿宋_GB2312" w:cs="仿宋_GB2312"/>
          <w:color w:val="auto"/>
          <w:sz w:val="32"/>
          <w:szCs w:val="32"/>
          <w:lang w:val="en-US" w:eastAsia="zh-CN" w:bidi="ar"/>
        </w:rPr>
        <w:t>（二）机关、团体、学校、部队、企业、事业单位范围内由本单位负责。</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kern w:val="0"/>
          <w:sz w:val="32"/>
          <w:szCs w:val="32"/>
          <w:u w:val="none"/>
          <w:lang w:val="en-US" w:eastAsia="zh-CN" w:bidi="ar"/>
        </w:rPr>
      </w:pPr>
      <w:r>
        <w:rPr>
          <w:rStyle w:val="17"/>
          <w:rFonts w:hint="eastAsia" w:ascii="仿宋_GB2312" w:hAnsi="仿宋_GB2312" w:eastAsia="仿宋_GB2312" w:cs="仿宋_GB2312"/>
          <w:color w:val="auto"/>
          <w:sz w:val="32"/>
          <w:szCs w:val="32"/>
          <w:lang w:val="en-US" w:eastAsia="zh-CN" w:bidi="ar"/>
        </w:rPr>
        <w:t>（三）临街商铺、摊档等由经营者负责</w:t>
      </w:r>
      <w:r>
        <w:rPr>
          <w:rFonts w:hint="eastAsia" w:ascii="仿宋_GB2312" w:hAnsi="仿宋_GB2312" w:eastAsia="仿宋_GB2312" w:cs="仿宋_GB2312"/>
          <w:i w:val="0"/>
          <w:iCs w:val="0"/>
          <w:color w:val="auto"/>
          <w:kern w:val="0"/>
          <w:sz w:val="32"/>
          <w:szCs w:val="32"/>
          <w:u w:val="none"/>
          <w:lang w:val="en-US" w:eastAsia="zh-CN" w:bidi="ar"/>
        </w:rPr>
        <w:t>；没有经营者的，由所有权人负责。</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Style w:val="17"/>
          <w:rFonts w:hint="eastAsia" w:ascii="仿宋_GB2312" w:hAnsi="仿宋_GB2312" w:eastAsia="仿宋_GB2312" w:cs="仿宋_GB2312"/>
          <w:color w:val="auto"/>
          <w:sz w:val="32"/>
          <w:szCs w:val="32"/>
          <w:lang w:val="en-US" w:eastAsia="zh-CN" w:bidi="ar"/>
        </w:rPr>
      </w:pPr>
      <w:r>
        <w:rPr>
          <w:rStyle w:val="17"/>
          <w:rFonts w:hint="eastAsia" w:ascii="仿宋_GB2312" w:hAnsi="仿宋_GB2312" w:eastAsia="仿宋_GB2312" w:cs="仿宋_GB2312"/>
          <w:color w:val="auto"/>
          <w:sz w:val="32"/>
          <w:szCs w:val="32"/>
          <w:lang w:val="en-US" w:eastAsia="zh-CN" w:bidi="ar"/>
        </w:rPr>
        <w:t xml:space="preserve">（四）旅游景区、旅游景点、商业网点、商品市场（含集贸市场）、仓储区、保税区、科技工业园区、口岸、机场、车站、港口、码头、加油（气）站、汽车充电站、停车场、文化体育场（馆）和公园等场所，由经营、管理单位负责。 </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Style w:val="17"/>
          <w:rFonts w:hint="eastAsia" w:ascii="仿宋_GB2312" w:hAnsi="仿宋_GB2312" w:eastAsia="仿宋_GB2312" w:cs="仿宋_GB2312"/>
          <w:color w:val="auto"/>
          <w:sz w:val="32"/>
          <w:szCs w:val="32"/>
          <w:lang w:val="en-US" w:eastAsia="zh-CN" w:bidi="ar"/>
        </w:rPr>
      </w:pPr>
      <w:r>
        <w:rPr>
          <w:rStyle w:val="17"/>
          <w:rFonts w:hint="eastAsia" w:ascii="仿宋_GB2312" w:hAnsi="仿宋_GB2312" w:eastAsia="仿宋_GB2312" w:cs="仿宋_GB2312"/>
          <w:color w:val="auto"/>
          <w:sz w:val="32"/>
          <w:szCs w:val="32"/>
          <w:lang w:val="en-US" w:eastAsia="zh-CN" w:bidi="ar"/>
        </w:rPr>
        <w:t>（五）建筑工地以及未竣工验收的住宅小区、道路、市政公共设施由施工单位负责。</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Style w:val="17"/>
          <w:rFonts w:hint="eastAsia" w:ascii="仿宋_GB2312" w:hAnsi="仿宋_GB2312" w:eastAsia="仿宋_GB2312" w:cs="仿宋_GB2312"/>
          <w:color w:val="auto"/>
          <w:sz w:val="32"/>
          <w:szCs w:val="32"/>
          <w:lang w:val="en-US" w:eastAsia="zh-CN" w:bidi="ar"/>
        </w:rPr>
      </w:pPr>
      <w:r>
        <w:rPr>
          <w:rStyle w:val="17"/>
          <w:rFonts w:hint="eastAsia" w:ascii="仿宋_GB2312" w:hAnsi="仿宋_GB2312" w:eastAsia="仿宋_GB2312" w:cs="仿宋_GB2312"/>
          <w:color w:val="auto"/>
          <w:sz w:val="32"/>
          <w:szCs w:val="32"/>
          <w:lang w:val="en-US" w:eastAsia="zh-CN" w:bidi="ar"/>
        </w:rPr>
        <w:t>（六）已出让未开始建设的用地由土地使用权人负责。</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Style w:val="17"/>
          <w:rFonts w:hint="eastAsia" w:ascii="仿宋_GB2312" w:hAnsi="仿宋_GB2312" w:eastAsia="仿宋_GB2312" w:cs="仿宋_GB2312"/>
          <w:color w:val="auto"/>
          <w:sz w:val="32"/>
          <w:szCs w:val="32"/>
          <w:lang w:val="en-US" w:eastAsia="zh-CN" w:bidi="ar"/>
        </w:rPr>
      </w:pPr>
      <w:r>
        <w:rPr>
          <w:rStyle w:val="17"/>
          <w:rFonts w:hint="eastAsia" w:ascii="仿宋_GB2312" w:hAnsi="仿宋_GB2312" w:eastAsia="仿宋_GB2312" w:cs="仿宋_GB2312"/>
          <w:color w:val="auto"/>
          <w:sz w:val="32"/>
          <w:szCs w:val="32"/>
          <w:lang w:val="en-US" w:eastAsia="zh-CN" w:bidi="ar"/>
        </w:rPr>
        <w:t>（七）国有空闲地由管理单位负责。</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Style w:val="17"/>
          <w:rFonts w:hint="eastAsia" w:ascii="仿宋_GB2312" w:hAnsi="仿宋_GB2312" w:eastAsia="仿宋_GB2312" w:cs="仿宋_GB2312"/>
          <w:color w:val="auto"/>
          <w:sz w:val="32"/>
          <w:szCs w:val="32"/>
          <w:lang w:val="en-US" w:eastAsia="zh-CN" w:bidi="ar"/>
        </w:rPr>
      </w:pPr>
      <w:r>
        <w:rPr>
          <w:rStyle w:val="17"/>
          <w:rFonts w:hint="eastAsia" w:ascii="仿宋_GB2312" w:hAnsi="仿宋_GB2312" w:eastAsia="仿宋_GB2312" w:cs="仿宋_GB2312"/>
          <w:color w:val="auto"/>
          <w:sz w:val="32"/>
          <w:szCs w:val="32"/>
          <w:lang w:val="en-US" w:eastAsia="zh-CN" w:bidi="ar"/>
        </w:rPr>
        <w:t>（八）城市道路、立交桥、地下通道、隧道、人行天桥、铁路、城市轨道交通线路及其沿线附属区域由管理单位负责。</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Style w:val="17"/>
          <w:rFonts w:hint="eastAsia" w:ascii="仿宋_GB2312" w:hAnsi="仿宋_GB2312" w:eastAsia="仿宋_GB2312" w:cs="仿宋_GB2312"/>
          <w:color w:val="auto"/>
          <w:sz w:val="32"/>
          <w:szCs w:val="32"/>
          <w:lang w:val="en-US" w:eastAsia="zh-CN" w:bidi="ar"/>
        </w:rPr>
      </w:pPr>
      <w:r>
        <w:rPr>
          <w:rStyle w:val="17"/>
          <w:rFonts w:hint="eastAsia" w:ascii="仿宋_GB2312" w:hAnsi="仿宋_GB2312" w:eastAsia="仿宋_GB2312" w:cs="仿宋_GB2312"/>
          <w:color w:val="auto"/>
          <w:sz w:val="32"/>
          <w:szCs w:val="32"/>
          <w:lang w:val="en-US" w:eastAsia="zh-CN" w:bidi="ar"/>
        </w:rPr>
        <w:t>（九）水库、河道及沿线附属区域、附属设施由管理单位负责。</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Style w:val="17"/>
          <w:rFonts w:hint="eastAsia" w:ascii="仿宋_GB2312" w:hAnsi="仿宋_GB2312" w:eastAsia="仿宋_GB2312" w:cs="仿宋_GB2312"/>
          <w:color w:val="auto"/>
          <w:sz w:val="32"/>
          <w:szCs w:val="32"/>
          <w:lang w:val="en-US" w:eastAsia="zh-CN" w:bidi="ar"/>
        </w:rPr>
      </w:pPr>
      <w:r>
        <w:rPr>
          <w:rStyle w:val="17"/>
          <w:rFonts w:hint="eastAsia" w:ascii="仿宋_GB2312" w:hAnsi="仿宋_GB2312" w:eastAsia="仿宋_GB2312" w:cs="仿宋_GB2312"/>
          <w:color w:val="auto"/>
          <w:sz w:val="32"/>
          <w:szCs w:val="32"/>
          <w:lang w:val="en-US" w:eastAsia="zh-CN" w:bidi="ar"/>
        </w:rPr>
        <w:t>（十）公共广场、城市公共绿地、排洪渠、市政公共厕所、垃圾中转站、垃圾焚烧场、垃圾填埋场及其他市政公共设施由管理单位负责。</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kern w:val="0"/>
          <w:sz w:val="32"/>
          <w:szCs w:val="32"/>
          <w:u w:val="none"/>
          <w:lang w:val="en-US" w:eastAsia="zh-CN" w:bidi="ar"/>
        </w:rPr>
      </w:pPr>
      <w:r>
        <w:rPr>
          <w:rStyle w:val="17"/>
          <w:rFonts w:hint="eastAsia" w:ascii="仿宋_GB2312" w:hAnsi="仿宋_GB2312" w:eastAsia="仿宋_GB2312" w:cs="仿宋_GB2312"/>
          <w:color w:val="auto"/>
          <w:sz w:val="32"/>
          <w:szCs w:val="32"/>
          <w:lang w:val="en-US" w:eastAsia="zh-CN" w:bidi="ar"/>
        </w:rPr>
        <w:t>（十一）</w:t>
      </w:r>
      <w:r>
        <w:rPr>
          <w:rFonts w:hint="eastAsia" w:ascii="仿宋_GB2312" w:hAnsi="仿宋_GB2312" w:eastAsia="仿宋_GB2312" w:cs="仿宋_GB2312"/>
          <w:i w:val="0"/>
          <w:iCs w:val="0"/>
          <w:color w:val="auto"/>
          <w:kern w:val="0"/>
          <w:sz w:val="32"/>
          <w:szCs w:val="32"/>
          <w:u w:val="none"/>
          <w:lang w:val="en-US" w:eastAsia="zh-CN" w:bidi="ar"/>
        </w:rPr>
        <w:t>上述规定以外的应当纳入门前责任区范围以内的建（构）筑物或者其他设施、场所，原则上由其所有权人负责；所有权人、实际管理人、使用人之间有约定的，从其约定。</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kern w:val="0"/>
          <w:sz w:val="32"/>
          <w:szCs w:val="32"/>
          <w:u w:val="none"/>
          <w:lang w:val="en-US" w:eastAsia="zh-CN" w:bidi="ar"/>
        </w:rPr>
      </w:pPr>
      <w:r>
        <w:rPr>
          <w:rStyle w:val="17"/>
          <w:rFonts w:hint="eastAsia" w:ascii="仿宋_GB2312" w:hAnsi="仿宋_GB2312" w:eastAsia="仿宋_GB2312" w:cs="仿宋_GB2312"/>
          <w:color w:val="auto"/>
          <w:sz w:val="32"/>
          <w:szCs w:val="32"/>
          <w:lang w:val="en-US" w:eastAsia="zh-CN" w:bidi="ar"/>
        </w:rPr>
        <w:t>按照前款规定责任不清的地区，以及对责任人的确定存在争议的，由所在镇、街研究划分方案，报区城市管理和综合执法部门确定；跨区的由市城市管理和综合执法部门确定。</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黑体" w:hAnsi="黑体" w:eastAsia="黑体" w:cs="黑体"/>
          <w:i w:val="0"/>
          <w:iCs w:val="0"/>
          <w:color w:val="auto"/>
          <w:kern w:val="0"/>
          <w:sz w:val="32"/>
          <w:szCs w:val="32"/>
          <w:u w:val="none"/>
          <w:lang w:val="en-US" w:eastAsia="zh-CN" w:bidi="ar"/>
        </w:rPr>
        <w:t>第十七条【责任告知书】</w:t>
      </w:r>
      <w:r>
        <w:rPr>
          <w:rFonts w:hint="eastAsia" w:ascii="仿宋_GB2312" w:hAnsi="仿宋_GB2312" w:eastAsia="仿宋_GB2312" w:cs="仿宋_GB2312"/>
          <w:i w:val="0"/>
          <w:iCs w:val="0"/>
          <w:color w:val="auto"/>
          <w:kern w:val="0"/>
          <w:sz w:val="32"/>
          <w:szCs w:val="32"/>
          <w:u w:val="none"/>
          <w:lang w:val="en-US" w:eastAsia="zh-CN" w:bidi="ar"/>
        </w:rPr>
        <w:t>市城市管理和综合执法部门负责制作责任告知书的示范文本，区城市管理和综合执法部门负责指导镇、街根据实际情况完善告知书内容，镇、街负责完善告知书内容并向本辖区内的责任人发放，告知门前责任区的具体范围和具体责任。责任告知书应当载明责任人、具体责任区范围、责任要求以及相应的法律责任等内容。</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黑体" w:hAnsi="黑体" w:eastAsia="黑体" w:cs="黑体"/>
          <w:b w:val="0"/>
          <w:bCs w:val="0"/>
          <w:i w:val="0"/>
          <w:iCs w:val="0"/>
          <w:color w:val="auto"/>
          <w:kern w:val="0"/>
          <w:sz w:val="32"/>
          <w:szCs w:val="32"/>
          <w:u w:val="none"/>
          <w:lang w:val="en-US" w:eastAsia="zh-CN" w:bidi="ar"/>
        </w:rPr>
        <w:t>第十八条【管理档案信息化】</w:t>
      </w:r>
      <w:r>
        <w:rPr>
          <w:rFonts w:hint="eastAsia" w:ascii="仿宋_GB2312" w:hAnsi="仿宋_GB2312" w:eastAsia="仿宋_GB2312" w:cs="仿宋_GB2312"/>
          <w:i w:val="0"/>
          <w:iCs w:val="0"/>
          <w:color w:val="auto"/>
          <w:kern w:val="0"/>
          <w:sz w:val="32"/>
          <w:szCs w:val="32"/>
          <w:u w:val="none"/>
          <w:lang w:val="en-US" w:eastAsia="zh-CN" w:bidi="ar"/>
        </w:rPr>
        <w:t>镇、街负责建立本辖区内责任人信息档案，及时记录和更新责任人名称、具体责任区范围、责任人经营范围、责任事项履行情况等基本信息，并将记录信息纳入相关信息平台。</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黑体" w:hAnsi="黑体" w:eastAsia="黑体" w:cs="黑体"/>
          <w:b w:val="0"/>
          <w:bCs w:val="0"/>
          <w:i w:val="0"/>
          <w:iCs w:val="0"/>
          <w:color w:val="auto"/>
          <w:kern w:val="0"/>
          <w:sz w:val="32"/>
          <w:szCs w:val="32"/>
          <w:u w:val="none"/>
          <w:lang w:val="en-US" w:eastAsia="zh-CN" w:bidi="ar"/>
        </w:rPr>
        <w:t>第十九条【责任区市容整洁】</w:t>
      </w:r>
      <w:r>
        <w:rPr>
          <w:rFonts w:hint="eastAsia" w:ascii="仿宋_GB2312" w:hAnsi="仿宋_GB2312" w:eastAsia="仿宋_GB2312" w:cs="仿宋_GB2312"/>
          <w:i w:val="0"/>
          <w:iCs w:val="0"/>
          <w:color w:val="auto"/>
          <w:kern w:val="0"/>
          <w:sz w:val="32"/>
          <w:szCs w:val="32"/>
          <w:u w:val="none"/>
          <w:lang w:val="en-US" w:eastAsia="zh-CN" w:bidi="ar"/>
        </w:rPr>
        <w:t>门前责任区责任人应当保持责任区内市容整洁，符合市容环境卫生标准，履行下列责任要求：</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（一）不得在城市建筑物、设施上乱涂写、乱刻画或者未经批准张挂、张贴宣传品等。</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（二）不得违反规定在城市道路、公共场所和临街建筑的阳台或窗外，吊挂、晾晒有碍市容的物品。</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三）户外广告设施和招牌应当按规定设置；责任人应当负责户外广告设施和招牌的日常维护保养，对图案、文字、灯光显示不全或者污浊、腐蚀、陈旧、破损的户外广告设施和招牌，应当及时修复、清洗或者拆除。</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（四）建筑物外墙上安装空调外机、遮阳棚的，应当保持其安全、整洁、完好，空调外机不得向外滴水影响他人。</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黑体" w:hAnsi="黑体" w:eastAsia="黑体" w:cs="黑体"/>
          <w:b w:val="0"/>
          <w:bCs w:val="0"/>
          <w:i w:val="0"/>
          <w:iCs w:val="0"/>
          <w:color w:val="auto"/>
          <w:kern w:val="0"/>
          <w:sz w:val="32"/>
          <w:szCs w:val="32"/>
          <w:u w:val="none"/>
          <w:lang w:val="en-US" w:eastAsia="zh-CN" w:bidi="ar"/>
        </w:rPr>
        <w:t>第二十条【责任区市容秩序】</w:t>
      </w:r>
      <w:r>
        <w:rPr>
          <w:rFonts w:hint="eastAsia" w:ascii="仿宋_GB2312" w:hAnsi="仿宋_GB2312" w:eastAsia="仿宋_GB2312" w:cs="仿宋_GB2312"/>
          <w:i w:val="0"/>
          <w:iCs w:val="0"/>
          <w:color w:val="auto"/>
          <w:kern w:val="0"/>
          <w:sz w:val="32"/>
          <w:szCs w:val="32"/>
          <w:u w:val="none"/>
          <w:lang w:val="en-US" w:eastAsia="zh-CN" w:bidi="ar"/>
        </w:rPr>
        <w:t>本市门前责任区责任人应当保持责任区内市容秩序、经营秩序，履行下列责任要求：</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（一）不得乱设摊。</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（二）经营者不得违反规定超出门窗或外墙经营。</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（三）不得违反规定乱搭建、乱堆放。</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（四）维护机动车和非机动车的停放秩序，配合做好车辆停放管理工作，引导车辆使用人文明、规范停放，不得影响行人，不得以地锁或摆放物品等方式违法占用责任区内公共停车位。</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黑体" w:hAnsi="黑体" w:eastAsia="黑体" w:cs="黑体"/>
          <w:b w:val="0"/>
          <w:bCs w:val="0"/>
          <w:i w:val="0"/>
          <w:iCs w:val="0"/>
          <w:color w:val="auto"/>
          <w:kern w:val="0"/>
          <w:sz w:val="32"/>
          <w:szCs w:val="32"/>
          <w:u w:val="none"/>
          <w:lang w:val="en-US" w:eastAsia="zh-CN" w:bidi="ar"/>
        </w:rPr>
        <w:t>第二十一条【责任区环境卫生】</w:t>
      </w:r>
      <w:r>
        <w:rPr>
          <w:rFonts w:hint="eastAsia" w:ascii="仿宋_GB2312" w:hAnsi="仿宋_GB2312" w:eastAsia="仿宋_GB2312" w:cs="仿宋_GB2312"/>
          <w:i w:val="0"/>
          <w:iCs w:val="0"/>
          <w:color w:val="auto"/>
          <w:kern w:val="0"/>
          <w:sz w:val="32"/>
          <w:szCs w:val="32"/>
          <w:u w:val="none"/>
          <w:lang w:val="en-US" w:eastAsia="zh-CN" w:bidi="ar"/>
        </w:rPr>
        <w:t>本市门前责任区责任人应当保持责任区内环境卫生整洁，符合市容环境卫生标准，履行下列责任要求：</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（一）及时做好责任区范围内环境卫生的清扫保洁。</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（二）建（构）筑物外墙立面要保持干净、无破损、无污迹。</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（三）禁止在公共场所、公共垃圾设施内焚烧树叶、垃圾或者其他废弃物。</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（四）禁止向城市道路、公共场所倾倒、排放废水和污水。（五）采取措施组织灭杀老鼠、蚊子、苍蝇、蟑螂。</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（六）城区内禁止饲养鸡、鸭、鹅、食用鸽、兔、羊、猪等家畜家禽；因教学、科研以及其他特殊需要饲养的除外。</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（七）饲养信鸽应当符合有关规定，不得影响周围市容环境卫生。</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（八）按照规定履行生活垃圾分类投放管理责任。</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黑体" w:hAnsi="黑体" w:eastAsia="黑体" w:cs="黑体"/>
          <w:b w:val="0"/>
          <w:bCs w:val="0"/>
          <w:i w:val="0"/>
          <w:iCs w:val="0"/>
          <w:color w:val="auto"/>
          <w:kern w:val="0"/>
          <w:sz w:val="32"/>
          <w:szCs w:val="32"/>
          <w:u w:val="none"/>
          <w:lang w:val="en-US" w:eastAsia="zh-CN" w:bidi="ar"/>
        </w:rPr>
        <w:t>第二十二条【责任区绿化美化】</w:t>
      </w:r>
      <w:r>
        <w:rPr>
          <w:rFonts w:hint="eastAsia" w:ascii="仿宋_GB2312" w:hAnsi="仿宋_GB2312" w:eastAsia="仿宋_GB2312" w:cs="仿宋_GB2312"/>
          <w:i w:val="0"/>
          <w:iCs w:val="0"/>
          <w:color w:val="auto"/>
          <w:kern w:val="0"/>
          <w:sz w:val="32"/>
          <w:szCs w:val="32"/>
          <w:u w:val="none"/>
          <w:lang w:val="en-US" w:eastAsia="zh-CN" w:bidi="ar"/>
        </w:rPr>
        <w:t>本市门前责任区责任人应当保持责任区内绿化美化，履行下列责任要求：</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保护和管理门前绿化，本市实行园林绿化保护制度和城市树木保护责任人制度，责任人应当按照相关标准和技术规范履行相应责任。</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不得违反规定占用绿地、攀折或损毁苗木、采摘花果。</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（三）不得借助树木架线、拴系物品。</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（四）不得将垃圾倾倒进公共绿地、公共绿化带。</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（五）不得在绿化带上晾晒、放置物品。</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（六）不得在行道树、绿化带增加灯带、彩带等装饰。</w:t>
      </w:r>
    </w:p>
    <w:p>
      <w:pPr>
        <w:widowControl/>
        <w:spacing w:line="579" w:lineRule="exact"/>
        <w:ind w:firstLine="640" w:firstLineChars="200"/>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黑体" w:hAnsi="黑体" w:eastAsia="黑体" w:cs="黑体"/>
          <w:b w:val="0"/>
          <w:bCs w:val="0"/>
          <w:i w:val="0"/>
          <w:iCs w:val="0"/>
          <w:color w:val="auto"/>
          <w:kern w:val="0"/>
          <w:sz w:val="32"/>
          <w:szCs w:val="32"/>
          <w:u w:val="none"/>
          <w:lang w:val="en-US" w:eastAsia="zh-CN" w:bidi="ar"/>
        </w:rPr>
        <w:t>第二十三条【责任区设施设置及保护】</w:t>
      </w:r>
      <w:r>
        <w:rPr>
          <w:rFonts w:hint="eastAsia" w:ascii="仿宋_GB2312" w:hAnsi="仿宋_GB2312" w:eastAsia="仿宋_GB2312" w:cs="仿宋_GB2312"/>
          <w:i w:val="0"/>
          <w:iCs w:val="0"/>
          <w:color w:val="auto"/>
          <w:kern w:val="0"/>
          <w:sz w:val="32"/>
          <w:szCs w:val="32"/>
          <w:u w:val="none"/>
          <w:lang w:val="en-US" w:eastAsia="zh-CN" w:bidi="ar"/>
        </w:rPr>
        <w:t>门前责任区责任人按照规定设置环境卫生设施，并保持责任区内各类环卫设施、市政设施的完好，发现责任区内公共绿化植物、市政公用设施以及其他单位或者个人所有的设备、设施存在倒塌、损坏、污浊、腐蚀、陈旧等不符合市容环境卫生标准的情形，应当及时通</w:t>
      </w:r>
      <w:r>
        <w:rPr>
          <w:rFonts w:hint="eastAsia" w:ascii="仿宋_GB2312" w:hAnsi="仿宋_GB2312" w:eastAsia="仿宋_GB2312" w:cs="仿宋_GB2312"/>
          <w:i w:val="0"/>
          <w:iCs w:val="0"/>
          <w:color w:val="000000"/>
          <w:kern w:val="0"/>
          <w:sz w:val="32"/>
          <w:szCs w:val="32"/>
          <w:u w:val="none"/>
          <w:lang w:val="en-US" w:eastAsia="zh-CN" w:bidi="ar"/>
        </w:rPr>
        <w:t>过12345、“珠海城管服务”微信公众号等渠道向相</w:t>
      </w:r>
      <w:r>
        <w:rPr>
          <w:rFonts w:hint="eastAsia" w:ascii="仿宋_GB2312" w:hAnsi="仿宋_GB2312" w:eastAsia="仿宋_GB2312" w:cs="仿宋_GB2312"/>
          <w:i w:val="0"/>
          <w:iCs w:val="0"/>
          <w:color w:val="auto"/>
          <w:kern w:val="0"/>
          <w:sz w:val="32"/>
          <w:szCs w:val="32"/>
          <w:u w:val="none"/>
          <w:lang w:val="en-US" w:eastAsia="zh-CN" w:bidi="ar"/>
        </w:rPr>
        <w:t>关主管部门报告，主管部门应当及时要求对应的管养单位及时处理。</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黑体" w:hAnsi="黑体" w:eastAsia="黑体" w:cs="黑体"/>
          <w:b w:val="0"/>
          <w:bCs w:val="0"/>
          <w:i w:val="0"/>
          <w:iCs w:val="0"/>
          <w:color w:val="auto"/>
          <w:kern w:val="0"/>
          <w:sz w:val="32"/>
          <w:szCs w:val="32"/>
          <w:u w:val="none"/>
          <w:lang w:val="en-US" w:eastAsia="zh-CN" w:bidi="ar"/>
        </w:rPr>
        <w:t>第二十四条【企业市政设施】</w:t>
      </w:r>
      <w:r>
        <w:rPr>
          <w:rFonts w:hint="eastAsia" w:ascii="仿宋_GB2312" w:hAnsi="仿宋_GB2312" w:eastAsia="仿宋_GB2312" w:cs="仿宋_GB2312"/>
          <w:i w:val="0"/>
          <w:iCs w:val="0"/>
          <w:color w:val="auto"/>
          <w:kern w:val="0"/>
          <w:sz w:val="32"/>
          <w:szCs w:val="32"/>
          <w:u w:val="none"/>
          <w:lang w:val="en-US" w:eastAsia="zh-CN" w:bidi="ar"/>
        </w:rPr>
        <w:t>供水、供电、燃气、通讯、有线电视、交通、邮政等公共设施（包括管线）的市容和环境卫生，由其产权单位和实际管理人负责。</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前述单位敷设、运营、维护管线</w:t>
      </w:r>
      <w:r>
        <w:rPr>
          <w:rFonts w:hint="eastAsia" w:ascii="仿宋_GB2312" w:hAnsi="仿宋_GB2312" w:eastAsia="仿宋_GB2312" w:cs="仿宋_GB2312"/>
          <w:color w:val="auto"/>
          <w:kern w:val="0"/>
          <w:sz w:val="32"/>
          <w:szCs w:val="32"/>
          <w:u w:val="none"/>
          <w:lang w:eastAsia="zh-CN" w:bidi="ar"/>
        </w:rPr>
        <w:t>时</w:t>
      </w:r>
      <w:r>
        <w:rPr>
          <w:rFonts w:hint="eastAsia" w:ascii="仿宋_GB2312" w:hAnsi="仿宋_GB2312" w:eastAsia="仿宋_GB2312" w:cs="仿宋_GB2312"/>
          <w:i w:val="0"/>
          <w:iCs w:val="0"/>
          <w:color w:val="auto"/>
          <w:kern w:val="0"/>
          <w:sz w:val="32"/>
          <w:szCs w:val="32"/>
          <w:u w:val="none"/>
          <w:lang w:val="en-US" w:eastAsia="zh-CN" w:bidi="ar"/>
        </w:rPr>
        <w:t>必须符合有关安装规定和市容环境卫生标准，做到安全、整洁、美观。</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黑体" w:hAnsi="黑体" w:eastAsia="黑体" w:cs="黑体"/>
          <w:b w:val="0"/>
          <w:bCs w:val="0"/>
          <w:i w:val="0"/>
          <w:iCs w:val="0"/>
          <w:color w:val="auto"/>
          <w:kern w:val="0"/>
          <w:sz w:val="32"/>
          <w:szCs w:val="32"/>
          <w:u w:val="none"/>
          <w:lang w:val="en-US" w:eastAsia="zh-CN" w:bidi="ar"/>
        </w:rPr>
        <w:t>第二十五条【废品收购、储存】</w:t>
      </w:r>
      <w:r>
        <w:rPr>
          <w:rFonts w:hint="eastAsia" w:ascii="仿宋_GB2312" w:hAnsi="仿宋_GB2312" w:eastAsia="仿宋_GB2312" w:cs="仿宋_GB2312"/>
          <w:i w:val="0"/>
          <w:iCs w:val="0"/>
          <w:color w:val="auto"/>
          <w:kern w:val="0"/>
          <w:sz w:val="32"/>
          <w:szCs w:val="32"/>
          <w:u w:val="none"/>
          <w:lang w:val="en-US" w:eastAsia="zh-CN" w:bidi="ar"/>
        </w:rPr>
        <w:t>收购废旧物品的经营者应当加强场地管理，保持场地周边干净整洁、无异味，废品存放整齐，不得影响市容、污染周围环境。废旧物品存储场所的经营者应当对收购的废旧物品采取围挡、遮盖等措施，不得影响周围环境。</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黑体" w:hAnsi="黑体" w:eastAsia="黑体" w:cs="黑体"/>
          <w:b w:val="0"/>
          <w:bCs w:val="0"/>
          <w:i w:val="0"/>
          <w:iCs w:val="0"/>
          <w:color w:val="auto"/>
          <w:kern w:val="0"/>
          <w:sz w:val="32"/>
          <w:szCs w:val="32"/>
          <w:u w:val="none"/>
          <w:lang w:val="en-US" w:eastAsia="zh-CN" w:bidi="ar"/>
        </w:rPr>
        <w:t>第二十六条【洗车修车】</w:t>
      </w:r>
      <w:r>
        <w:rPr>
          <w:rFonts w:hint="eastAsia" w:ascii="仿宋_GB2312" w:hAnsi="仿宋_GB2312" w:eastAsia="仿宋_GB2312" w:cs="仿宋_GB2312"/>
          <w:i w:val="0"/>
          <w:iCs w:val="0"/>
          <w:color w:val="auto"/>
          <w:kern w:val="0"/>
          <w:sz w:val="32"/>
          <w:szCs w:val="32"/>
          <w:u w:val="none"/>
          <w:lang w:val="en-US" w:eastAsia="zh-CN" w:bidi="ar"/>
        </w:rPr>
        <w:t>从事车辆清洗、维修活动的，责任人应当按照有关规定采取措施防止污水外流和垃圾向外散落，保持经营场所以及周围环境卫生整洁，不得占用道路和公共场地清洗车辆或者开展其他作业。</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黑体" w:hAnsi="黑体" w:eastAsia="黑体" w:cs="黑体"/>
          <w:b w:val="0"/>
          <w:bCs w:val="0"/>
          <w:i w:val="0"/>
          <w:iCs w:val="0"/>
          <w:color w:val="auto"/>
          <w:kern w:val="0"/>
          <w:sz w:val="32"/>
          <w:szCs w:val="32"/>
          <w:u w:val="none"/>
          <w:lang w:val="en-US" w:eastAsia="zh-CN" w:bidi="ar"/>
        </w:rPr>
        <w:t>第二十七条【活动举办】</w:t>
      </w:r>
      <w:r>
        <w:rPr>
          <w:rFonts w:hint="eastAsia" w:ascii="仿宋_GB2312" w:hAnsi="仿宋_GB2312" w:eastAsia="仿宋_GB2312" w:cs="仿宋_GB2312"/>
          <w:i w:val="0"/>
          <w:iCs w:val="0"/>
          <w:color w:val="auto"/>
          <w:kern w:val="0"/>
          <w:sz w:val="32"/>
          <w:szCs w:val="32"/>
          <w:u w:val="none"/>
          <w:lang w:val="en-US" w:eastAsia="zh-CN" w:bidi="ar"/>
        </w:rPr>
        <w:t>庆典、文化、体育、大型展览展销、公益等活动的举办单位、承办单位应当将门前责任区管理内容纳入活动方案，负责活动期间的门前责任区管理工作及完善相应保障措施，保持周围环境卫生整洁，依规范设置临时性垃圾收集容器，及时清除临时设置的设施和产生的废弃物。</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黑体" w:hAnsi="黑体" w:eastAsia="黑体" w:cs="黑体"/>
          <w:b w:val="0"/>
          <w:bCs w:val="0"/>
          <w:i w:val="0"/>
          <w:iCs w:val="0"/>
          <w:color w:val="auto"/>
          <w:kern w:val="0"/>
          <w:sz w:val="32"/>
          <w:szCs w:val="32"/>
          <w:u w:val="none"/>
          <w:lang w:val="en-US" w:eastAsia="zh-CN" w:bidi="ar"/>
        </w:rPr>
        <w:t>第二十八条【建筑工地】</w:t>
      </w:r>
      <w:r>
        <w:rPr>
          <w:rFonts w:hint="eastAsia" w:ascii="仿宋_GB2312" w:hAnsi="仿宋_GB2312" w:eastAsia="仿宋_GB2312" w:cs="仿宋_GB2312"/>
          <w:i w:val="0"/>
          <w:iCs w:val="0"/>
          <w:color w:val="auto"/>
          <w:kern w:val="0"/>
          <w:sz w:val="32"/>
          <w:szCs w:val="32"/>
          <w:u w:val="none"/>
          <w:lang w:val="en-US" w:eastAsia="zh-CN" w:bidi="ar"/>
        </w:rPr>
        <w:t>建筑工地责任人应当按照以下规定履行责任区责任：</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一）建筑工地现场及其周边必须保持整洁，设置必要的环境卫生配套设施，施工产生的垃圾应当及时处理；围墙外侧不得堆放物料、机具、垃圾等，墙面不得有污迹；靠近围墙处的临时工棚屋顶及堆放物品高度不得超过围墙顶部。</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（二）泥头车落实出场冲洗、车厢覆盖措施，防止泥渣污染路面。</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（三）禁止将未经处理的泥浆、杂物直接排入城市雨水或者污水管道。</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（四）建筑工地现场的余泥渣土等固体废弃物，应当运到指定地点投放。</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（五）停工场地及时整理并作必要的覆盖。</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（六）竣工后应当及时清理和平整场地，无破损路面，无堆积杂物。</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黑体" w:hAnsi="黑体" w:eastAsia="黑体" w:cs="黑体"/>
          <w:b w:val="0"/>
          <w:bCs w:val="0"/>
          <w:i w:val="0"/>
          <w:iCs w:val="0"/>
          <w:color w:val="auto"/>
          <w:kern w:val="0"/>
          <w:sz w:val="32"/>
          <w:szCs w:val="32"/>
          <w:u w:val="none"/>
          <w:lang w:val="en-US" w:eastAsia="zh-CN" w:bidi="ar"/>
        </w:rPr>
        <w:t>第二十九条【环卫作业】</w:t>
      </w:r>
      <w:r>
        <w:rPr>
          <w:rFonts w:hint="eastAsia" w:ascii="仿宋_GB2312" w:hAnsi="仿宋_GB2312" w:eastAsia="仿宋_GB2312" w:cs="仿宋_GB2312"/>
          <w:i w:val="0"/>
          <w:iCs w:val="0"/>
          <w:color w:val="auto"/>
          <w:kern w:val="0"/>
          <w:sz w:val="32"/>
          <w:szCs w:val="32"/>
          <w:u w:val="none"/>
          <w:lang w:val="en-US" w:eastAsia="zh-CN" w:bidi="ar"/>
        </w:rPr>
        <w:t>环卫作业单位应当按照有关规定和市容和环境卫生作业服务规范，做好公共场所、街区道路以及公共厕所、公共储（化）粪池，公共垃圾设施等公共卫生设施的清扫保洁工作。</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黑体" w:hAnsi="黑体" w:eastAsia="黑体" w:cs="黑体"/>
          <w:b w:val="0"/>
          <w:bCs w:val="0"/>
          <w:i w:val="0"/>
          <w:iCs w:val="0"/>
          <w:color w:val="auto"/>
          <w:kern w:val="0"/>
          <w:sz w:val="32"/>
          <w:szCs w:val="32"/>
          <w:u w:val="none"/>
          <w:lang w:val="en-US" w:eastAsia="zh-CN" w:bidi="ar"/>
        </w:rPr>
        <w:t>第三十条【临时摆放物品】</w:t>
      </w:r>
      <w:r>
        <w:rPr>
          <w:rFonts w:hint="eastAsia" w:ascii="仿宋_GB2312" w:hAnsi="仿宋_GB2312" w:eastAsia="仿宋_GB2312" w:cs="仿宋_GB2312"/>
          <w:i w:val="0"/>
          <w:iCs w:val="0"/>
          <w:color w:val="auto"/>
          <w:kern w:val="0"/>
          <w:sz w:val="32"/>
          <w:szCs w:val="32"/>
          <w:u w:val="none"/>
          <w:lang w:val="en-US" w:eastAsia="zh-CN" w:bidi="ar"/>
        </w:rPr>
        <w:t>沿街商铺因开业、庆典需要在经营门店前临时摆放设置开业花篮、花盆等各种物品或设施的，应当提前将摆放方案报镇、街备案并组织实施，做到保持整洁、不影响行人通行并且及时清理。</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left"/>
        <w:textAlignment w:val="center"/>
        <w:rPr>
          <w:rStyle w:val="17"/>
          <w:rFonts w:hint="eastAsia" w:ascii="仿宋_GB2312" w:hAnsi="仿宋_GB2312" w:eastAsia="仿宋_GB2312" w:cs="仿宋_GB2312"/>
          <w:color w:val="auto"/>
          <w:sz w:val="32"/>
          <w:szCs w:val="32"/>
          <w:lang w:val="en-US" w:eastAsia="zh-CN" w:bidi="ar"/>
        </w:rPr>
      </w:pPr>
      <w:r>
        <w:rPr>
          <w:rFonts w:hint="eastAsia" w:ascii="黑体" w:hAnsi="黑体" w:eastAsia="黑体" w:cs="黑体"/>
          <w:b w:val="0"/>
          <w:bCs w:val="0"/>
          <w:i w:val="0"/>
          <w:iCs w:val="0"/>
          <w:color w:val="auto"/>
          <w:kern w:val="0"/>
          <w:sz w:val="32"/>
          <w:szCs w:val="32"/>
          <w:u w:val="none"/>
          <w:lang w:val="en-US" w:eastAsia="zh-CN" w:bidi="ar"/>
        </w:rPr>
        <w:t>第三十一条【劝阻义务】</w:t>
      </w:r>
      <w:r>
        <w:rPr>
          <w:rFonts w:hint="eastAsia" w:ascii="仿宋_GB2312" w:hAnsi="仿宋_GB2312" w:eastAsia="仿宋_GB2312" w:cs="仿宋_GB2312"/>
          <w:i w:val="0"/>
          <w:iCs w:val="0"/>
          <w:color w:val="auto"/>
          <w:kern w:val="0"/>
          <w:sz w:val="32"/>
          <w:szCs w:val="32"/>
          <w:u w:val="none"/>
          <w:lang w:val="en-US" w:eastAsia="zh-CN" w:bidi="ar"/>
        </w:rPr>
        <w:t>责任人对他人违反责任区管理规定的行为负有劝阻和制止的责任。经劝阻和制止无效的，责任人应当及时通过</w:t>
      </w:r>
      <w:r>
        <w:rPr>
          <w:rFonts w:hint="eastAsia" w:ascii="仿宋_GB2312" w:hAnsi="仿宋_GB2312" w:eastAsia="仿宋_GB2312" w:cs="仿宋_GB2312"/>
          <w:i w:val="0"/>
          <w:iCs w:val="0"/>
          <w:color w:val="000000"/>
          <w:kern w:val="0"/>
          <w:sz w:val="32"/>
          <w:szCs w:val="32"/>
          <w:u w:val="none"/>
          <w:lang w:val="en-US" w:eastAsia="zh-CN" w:bidi="ar"/>
        </w:rPr>
        <w:t>12345、“珠海城管服务”微信公众号等渠道</w:t>
      </w:r>
      <w:r>
        <w:rPr>
          <w:rFonts w:hint="eastAsia" w:ascii="仿宋_GB2312" w:hAnsi="仿宋_GB2312" w:eastAsia="仿宋_GB2312" w:cs="仿宋_GB2312"/>
          <w:i w:val="0"/>
          <w:iCs w:val="0"/>
          <w:color w:val="auto"/>
          <w:kern w:val="0"/>
          <w:sz w:val="32"/>
          <w:szCs w:val="32"/>
          <w:u w:val="none"/>
          <w:lang w:val="en-US" w:eastAsia="zh-CN" w:bidi="ar"/>
        </w:rPr>
        <w:t>报告城市管理和综合执法部门</w:t>
      </w:r>
      <w:r>
        <w:rPr>
          <w:rStyle w:val="17"/>
          <w:rFonts w:hint="eastAsia" w:ascii="仿宋_GB2312" w:hAnsi="仿宋_GB2312" w:eastAsia="仿宋_GB2312" w:cs="仿宋_GB2312"/>
          <w:color w:val="auto"/>
          <w:sz w:val="32"/>
          <w:szCs w:val="32"/>
          <w:lang w:val="en-US" w:eastAsia="zh-CN" w:bidi="ar"/>
        </w:rPr>
        <w:t>依法处理。</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left"/>
        <w:textAlignment w:val="center"/>
        <w:rPr>
          <w:rStyle w:val="17"/>
          <w:rFonts w:hint="eastAsia" w:ascii="仿宋_GB2312" w:hAnsi="仿宋_GB2312" w:eastAsia="仿宋_GB2312" w:cs="仿宋_GB2312"/>
          <w:color w:val="auto"/>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center"/>
        <w:textAlignment w:val="center"/>
        <w:rPr>
          <w:rFonts w:hint="eastAsia" w:ascii="黑体" w:hAnsi="黑体" w:eastAsia="黑体" w:cs="黑体"/>
          <w:b w:val="0"/>
          <w:bCs w:val="0"/>
          <w:i w:val="0"/>
          <w:iCs w:val="0"/>
          <w:color w:val="auto"/>
          <w:kern w:val="0"/>
          <w:sz w:val="32"/>
          <w:szCs w:val="32"/>
          <w:u w:val="none"/>
          <w:lang w:val="en-US" w:eastAsia="zh-CN" w:bidi="ar"/>
        </w:rPr>
      </w:pPr>
      <w:r>
        <w:rPr>
          <w:rFonts w:hint="eastAsia" w:ascii="黑体" w:hAnsi="黑体" w:eastAsia="黑体" w:cs="黑体"/>
          <w:b w:val="0"/>
          <w:bCs w:val="0"/>
          <w:i w:val="0"/>
          <w:iCs w:val="0"/>
          <w:color w:val="auto"/>
          <w:kern w:val="0"/>
          <w:sz w:val="32"/>
          <w:szCs w:val="32"/>
          <w:u w:val="none"/>
          <w:lang w:val="en-US" w:eastAsia="zh-CN" w:bidi="ar"/>
        </w:rPr>
        <w:t>第三章  履责信用评价</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pPr>
      <w:r>
        <w:rPr>
          <w:rFonts w:hint="eastAsia" w:ascii="黑体" w:hAnsi="黑体" w:eastAsia="黑体" w:cs="黑体"/>
          <w:i w:val="0"/>
          <w:iCs w:val="0"/>
          <w:color w:val="auto"/>
          <w:kern w:val="0"/>
          <w:sz w:val="32"/>
          <w:szCs w:val="32"/>
          <w:u w:val="none"/>
          <w:lang w:val="en-US" w:eastAsia="zh-CN" w:bidi="ar"/>
        </w:rPr>
        <w:t>第三十二条【建立制度】</w:t>
      </w:r>
      <w:r>
        <w:rPr>
          <w:rFonts w:hint="eastAsia" w:ascii="仿宋_GB2312" w:hAnsi="仿宋_GB2312" w:eastAsia="仿宋_GB2312" w:cs="仿宋_GB2312"/>
          <w:i w:val="0"/>
          <w:iCs w:val="0"/>
          <w:color w:val="auto"/>
          <w:kern w:val="0"/>
          <w:sz w:val="32"/>
          <w:szCs w:val="32"/>
          <w:u w:val="none"/>
          <w:lang w:val="en-US" w:eastAsia="zh-CN" w:bidi="ar"/>
        </w:rPr>
        <w:t>本市建立门前责任区管理领域信用评价制度，加强城市管理诚信体系建设，督促责任人履行门前责任区管理的主体责任。门前责任区管理领域信用评价制度由市管理综合执法部门统筹制定。</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lang w:val="en-US" w:eastAsia="zh-CN"/>
        </w:rPr>
      </w:pPr>
      <w:r>
        <w:rPr>
          <w:rFonts w:hint="eastAsia" w:ascii="仿宋_GB2312" w:hAnsi="仿宋_GB2312" w:eastAsia="仿宋_GB2312" w:cs="仿宋_GB2312"/>
          <w:i w:val="0"/>
          <w:iCs w:val="0"/>
          <w:color w:val="auto"/>
          <w:kern w:val="0"/>
          <w:sz w:val="32"/>
          <w:szCs w:val="32"/>
          <w:u w:val="none"/>
          <w:lang w:val="en" w:eastAsia="zh-CN" w:bidi="ar"/>
        </w:rPr>
        <w:t>门前责任</w:t>
      </w:r>
      <w:r>
        <w:rPr>
          <w:rFonts w:hint="eastAsia" w:ascii="仿宋_GB2312" w:hAnsi="仿宋_GB2312" w:eastAsia="仿宋_GB2312" w:cs="仿宋_GB2312"/>
          <w:i w:val="0"/>
          <w:iCs w:val="0"/>
          <w:color w:val="auto"/>
          <w:kern w:val="0"/>
          <w:sz w:val="32"/>
          <w:szCs w:val="32"/>
          <w:u w:val="none"/>
          <w:lang w:val="en-US" w:eastAsia="zh-CN" w:bidi="ar"/>
        </w:rPr>
        <w:t>区管理</w:t>
      </w:r>
      <w:r>
        <w:rPr>
          <w:rFonts w:hint="eastAsia" w:ascii="仿宋_GB2312" w:hAnsi="仿宋_GB2312" w:eastAsia="仿宋_GB2312" w:cs="仿宋_GB2312"/>
          <w:i w:val="0"/>
          <w:iCs w:val="0"/>
          <w:color w:val="auto"/>
          <w:kern w:val="0"/>
          <w:sz w:val="32"/>
          <w:szCs w:val="32"/>
          <w:u w:val="none"/>
          <w:lang w:val="en" w:eastAsia="zh-CN" w:bidi="ar"/>
        </w:rPr>
        <w:t>领域</w:t>
      </w:r>
      <w:r>
        <w:rPr>
          <w:rFonts w:hint="eastAsia" w:ascii="仿宋_GB2312" w:hAnsi="仿宋_GB2312" w:eastAsia="仿宋_GB2312" w:cs="仿宋_GB2312"/>
          <w:i w:val="0"/>
          <w:iCs w:val="0"/>
          <w:color w:val="auto"/>
          <w:kern w:val="0"/>
          <w:sz w:val="32"/>
          <w:szCs w:val="32"/>
          <w:u w:val="none"/>
          <w:lang w:val="en-US" w:eastAsia="zh-CN" w:bidi="ar"/>
        </w:rPr>
        <w:t>信用评价制度主要内容包括</w:t>
      </w:r>
      <w:r>
        <w:rPr>
          <w:rFonts w:hint="eastAsia" w:ascii="仿宋_GB2312" w:hAnsi="仿宋_GB2312" w:eastAsia="仿宋_GB2312" w:cs="仿宋_GB2312"/>
          <w:i w:val="0"/>
          <w:iCs w:val="0"/>
          <w:color w:val="auto"/>
          <w:kern w:val="0"/>
          <w:sz w:val="32"/>
          <w:szCs w:val="32"/>
          <w:u w:val="none"/>
          <w:lang w:val="en" w:eastAsia="zh-CN" w:bidi="ar"/>
        </w:rPr>
        <w:t>衔接事前、事中、事后全监管环节的信用监管机制，明确探索建立门前责任</w:t>
      </w:r>
      <w:r>
        <w:rPr>
          <w:rFonts w:hint="eastAsia" w:ascii="仿宋_GB2312" w:hAnsi="仿宋_GB2312" w:eastAsia="仿宋_GB2312" w:cs="仿宋_GB2312"/>
          <w:i w:val="0"/>
          <w:iCs w:val="0"/>
          <w:color w:val="auto"/>
          <w:kern w:val="0"/>
          <w:sz w:val="32"/>
          <w:szCs w:val="32"/>
          <w:u w:val="none"/>
          <w:lang w:val="en-US" w:eastAsia="zh-CN" w:bidi="ar"/>
        </w:rPr>
        <w:t>区管理</w:t>
      </w:r>
      <w:r>
        <w:rPr>
          <w:rFonts w:hint="eastAsia" w:ascii="仿宋_GB2312" w:hAnsi="仿宋_GB2312" w:eastAsia="仿宋_GB2312" w:cs="仿宋_GB2312"/>
          <w:i w:val="0"/>
          <w:iCs w:val="0"/>
          <w:color w:val="auto"/>
          <w:kern w:val="0"/>
          <w:sz w:val="32"/>
          <w:szCs w:val="32"/>
          <w:u w:val="none"/>
          <w:lang w:val="en" w:eastAsia="zh-CN" w:bidi="ar"/>
        </w:rPr>
        <w:t>领域信用承诺机制，鼓励责任人积极主动做出信用承诺，并对守信践诺情况进行监管。</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黑体" w:hAnsi="黑体" w:eastAsia="黑体" w:cs="黑体"/>
          <w:i w:val="0"/>
          <w:iCs w:val="0"/>
          <w:color w:val="auto"/>
          <w:kern w:val="0"/>
          <w:sz w:val="32"/>
          <w:szCs w:val="32"/>
          <w:u w:val="none"/>
          <w:lang w:val="en-US" w:eastAsia="zh-CN" w:bidi="ar"/>
        </w:rPr>
        <w:t>第三十三条【评价及监督原则】</w:t>
      </w:r>
      <w:r>
        <w:rPr>
          <w:rFonts w:hint="eastAsia" w:ascii="仿宋_GB2312" w:hAnsi="仿宋_GB2312" w:eastAsia="仿宋_GB2312" w:cs="仿宋_GB2312"/>
          <w:i w:val="0"/>
          <w:iCs w:val="0"/>
          <w:color w:val="auto"/>
          <w:kern w:val="0"/>
          <w:sz w:val="32"/>
          <w:szCs w:val="32"/>
          <w:u w:val="none"/>
          <w:lang w:val="en-US" w:eastAsia="zh-CN" w:bidi="ar"/>
        </w:rPr>
        <w:t>开展门前责任区责任人履责信用评价，应当实事求是，遵循依法、公正、公开、透明原则。</w:t>
      </w:r>
      <w:r>
        <w:rPr>
          <w:rFonts w:hint="eastAsia" w:ascii="仿宋_GB2312" w:hAnsi="仿宋_GB2312" w:eastAsia="仿宋_GB2312" w:cs="仿宋_GB2312"/>
          <w:i w:val="0"/>
          <w:iCs w:val="0"/>
          <w:color w:val="auto"/>
          <w:kern w:val="0"/>
          <w:sz w:val="32"/>
          <w:szCs w:val="32"/>
          <w:u w:val="none"/>
          <w:lang w:val="en-US" w:eastAsia="zh-CN" w:bidi="ar"/>
        </w:rPr>
        <w:br w:type="textWrapping"/>
      </w:r>
      <w:r>
        <w:rPr>
          <w:rFonts w:hint="eastAsia" w:ascii="仿宋_GB2312" w:hAnsi="仿宋_GB2312" w:eastAsia="仿宋_GB2312" w:cs="仿宋_GB2312"/>
          <w:i w:val="0"/>
          <w:iCs w:val="0"/>
          <w:color w:val="auto"/>
          <w:kern w:val="0"/>
          <w:sz w:val="32"/>
          <w:szCs w:val="32"/>
          <w:u w:val="none"/>
          <w:lang w:val="en-US" w:eastAsia="zh-CN" w:bidi="ar"/>
        </w:rPr>
        <w:t xml:space="preserve">    披露、使用和管理信用信息，应当遵循依法、客观、公正、审慎和安全的原则，依法保护国家秘密、商业秘密和个人隐私。</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黑体" w:hAnsi="黑体" w:eastAsia="黑体" w:cs="黑体"/>
          <w:i w:val="0"/>
          <w:iCs w:val="0"/>
          <w:color w:val="auto"/>
          <w:kern w:val="0"/>
          <w:sz w:val="32"/>
          <w:szCs w:val="32"/>
          <w:u w:val="none"/>
          <w:lang w:val="en-US" w:eastAsia="zh-CN" w:bidi="ar"/>
        </w:rPr>
        <w:t>第三十四条【信用信息采集及评价】</w:t>
      </w:r>
      <w:r>
        <w:rPr>
          <w:rFonts w:hint="eastAsia" w:ascii="仿宋_GB2312" w:hAnsi="仿宋_GB2312" w:eastAsia="仿宋_GB2312" w:cs="仿宋_GB2312"/>
          <w:i w:val="0"/>
          <w:iCs w:val="0"/>
          <w:color w:val="auto"/>
          <w:kern w:val="0"/>
          <w:sz w:val="32"/>
          <w:szCs w:val="32"/>
          <w:u w:val="none"/>
          <w:lang w:val="en-US" w:eastAsia="zh-CN" w:bidi="ar"/>
        </w:rPr>
        <w:t>镇、街是责任人履责信用评价制度的评价主体，负责统筹开展责任人信用等级认定和信用监管工作。根据本办法的规定，结合责任人履责情况和违法情况等指标，对责任人开展履责信用等级评价，组织开展分级分类管理。</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 w:eastAsia="zh-CN" w:bidi="ar"/>
        </w:rPr>
        <w:t>全面归集门前责任</w:t>
      </w:r>
      <w:r>
        <w:rPr>
          <w:rFonts w:hint="eastAsia" w:ascii="仿宋_GB2312" w:hAnsi="仿宋_GB2312" w:eastAsia="仿宋_GB2312" w:cs="仿宋_GB2312"/>
          <w:i w:val="0"/>
          <w:iCs w:val="0"/>
          <w:color w:val="auto"/>
          <w:kern w:val="0"/>
          <w:sz w:val="32"/>
          <w:szCs w:val="32"/>
          <w:u w:val="none"/>
          <w:lang w:val="en-US" w:eastAsia="zh-CN" w:bidi="ar"/>
        </w:rPr>
        <w:t>区管理</w:t>
      </w:r>
      <w:r>
        <w:rPr>
          <w:rFonts w:hint="eastAsia" w:ascii="仿宋_GB2312" w:hAnsi="仿宋_GB2312" w:eastAsia="仿宋_GB2312" w:cs="仿宋_GB2312"/>
          <w:i w:val="0"/>
          <w:iCs w:val="0"/>
          <w:color w:val="auto"/>
          <w:kern w:val="0"/>
          <w:sz w:val="32"/>
          <w:szCs w:val="32"/>
          <w:u w:val="none"/>
          <w:lang w:val="en" w:eastAsia="zh-CN" w:bidi="ar"/>
        </w:rPr>
        <w:t>领域责任主体的信用记录，开展信用评价，根据信用评价结果实施门前责任</w:t>
      </w:r>
      <w:r>
        <w:rPr>
          <w:rFonts w:hint="eastAsia" w:ascii="仿宋_GB2312" w:hAnsi="仿宋_GB2312" w:eastAsia="仿宋_GB2312" w:cs="仿宋_GB2312"/>
          <w:i w:val="0"/>
          <w:iCs w:val="0"/>
          <w:color w:val="auto"/>
          <w:kern w:val="0"/>
          <w:sz w:val="32"/>
          <w:szCs w:val="32"/>
          <w:u w:val="none"/>
          <w:lang w:val="en-US" w:eastAsia="zh-CN" w:bidi="ar"/>
        </w:rPr>
        <w:t>区管理</w:t>
      </w:r>
      <w:r>
        <w:rPr>
          <w:rFonts w:hint="eastAsia" w:ascii="仿宋_GB2312" w:hAnsi="仿宋_GB2312" w:eastAsia="仿宋_GB2312" w:cs="仿宋_GB2312"/>
          <w:i w:val="0"/>
          <w:iCs w:val="0"/>
          <w:color w:val="auto"/>
          <w:kern w:val="0"/>
          <w:sz w:val="32"/>
          <w:szCs w:val="32"/>
          <w:u w:val="none"/>
          <w:lang w:val="en" w:eastAsia="zh-CN" w:bidi="ar"/>
        </w:rPr>
        <w:t>领域信用分级分类监管。根据评价等级高低采取差异化监管措施。</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镇、街可以通过购买服务的方式，委托社会组织开展相关工作。</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黑体" w:hAnsi="黑体" w:eastAsia="黑体" w:cs="黑体"/>
          <w:i w:val="0"/>
          <w:iCs w:val="0"/>
          <w:strike w:val="0"/>
          <w:dstrike w:val="0"/>
          <w:color w:val="auto"/>
          <w:kern w:val="0"/>
          <w:sz w:val="32"/>
          <w:szCs w:val="32"/>
          <w:u w:val="none"/>
          <w:lang w:val="en" w:eastAsia="zh-CN" w:bidi="ar"/>
        </w:rPr>
        <w:t>第三十五条</w:t>
      </w:r>
      <w:r>
        <w:rPr>
          <w:rFonts w:hint="eastAsia" w:ascii="黑体" w:hAnsi="黑体" w:eastAsia="黑体" w:cs="黑体"/>
          <w:i w:val="0"/>
          <w:iCs w:val="0"/>
          <w:color w:val="auto"/>
          <w:kern w:val="0"/>
          <w:sz w:val="32"/>
          <w:szCs w:val="32"/>
          <w:u w:val="none"/>
          <w:lang w:val="en-US" w:eastAsia="zh-CN" w:bidi="ar"/>
        </w:rPr>
        <w:t>【指导和监督】</w:t>
      </w:r>
      <w:r>
        <w:rPr>
          <w:rFonts w:hint="eastAsia" w:ascii="仿宋_GB2312" w:hAnsi="仿宋_GB2312" w:eastAsia="仿宋_GB2312" w:cs="仿宋_GB2312"/>
          <w:i w:val="0"/>
          <w:iCs w:val="0"/>
          <w:color w:val="auto"/>
          <w:kern w:val="0"/>
          <w:sz w:val="32"/>
          <w:szCs w:val="32"/>
          <w:u w:val="none"/>
          <w:lang w:val="en-US" w:eastAsia="zh-CN" w:bidi="ar"/>
        </w:rPr>
        <w:t>市、区城市管理和综合执法部门应当加强对镇、街的指导和监督，定期收集、汇总镇、街的信用评价数据，并将违反本办法受到行政处罚的单位和个人的信息反馈给各行业主管部门，由各行业主管部门纳入行业监督体系进行管理。</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default" w:ascii="仿宋_GB2312" w:hAnsi="仿宋_GB2312" w:eastAsia="仿宋_GB2312" w:cs="仿宋_GB2312"/>
          <w:i w:val="0"/>
          <w:iCs w:val="0"/>
          <w:color w:val="auto"/>
          <w:kern w:val="0"/>
          <w:sz w:val="32"/>
          <w:szCs w:val="32"/>
          <w:u w:val="none"/>
          <w:lang w:val="en-US" w:eastAsia="zh-CN" w:bidi="ar"/>
        </w:rPr>
      </w:pPr>
      <w:r>
        <w:rPr>
          <w:rFonts w:hint="eastAsia" w:ascii="黑体" w:hAnsi="黑体" w:eastAsia="黑体" w:cs="黑体"/>
          <w:i w:val="0"/>
          <w:iCs w:val="0"/>
          <w:color w:val="auto"/>
          <w:kern w:val="0"/>
          <w:sz w:val="32"/>
          <w:szCs w:val="32"/>
          <w:u w:val="none"/>
          <w:lang w:val="en" w:eastAsia="zh-CN" w:bidi="ar"/>
        </w:rPr>
        <w:t>第三十六条</w:t>
      </w:r>
      <w:r>
        <w:rPr>
          <w:rFonts w:hint="eastAsia" w:ascii="黑体" w:hAnsi="黑体" w:eastAsia="黑体" w:cs="黑体"/>
          <w:i w:val="0"/>
          <w:iCs w:val="0"/>
          <w:color w:val="auto"/>
          <w:kern w:val="0"/>
          <w:sz w:val="32"/>
          <w:szCs w:val="32"/>
          <w:u w:val="none"/>
          <w:lang w:val="en-US" w:eastAsia="zh-CN" w:bidi="ar"/>
        </w:rPr>
        <w:t>【</w:t>
      </w:r>
      <w:r>
        <w:rPr>
          <w:rFonts w:hint="eastAsia" w:ascii="黑体" w:hAnsi="黑体" w:eastAsia="黑体" w:cs="黑体"/>
          <w:i w:val="0"/>
          <w:iCs w:val="0"/>
          <w:color w:val="auto"/>
          <w:kern w:val="0"/>
          <w:sz w:val="32"/>
          <w:szCs w:val="32"/>
          <w:u w:val="none"/>
          <w:lang w:val="en" w:eastAsia="zh-CN" w:bidi="ar"/>
        </w:rPr>
        <w:t>信用信息运用】</w:t>
      </w:r>
      <w:r>
        <w:rPr>
          <w:rFonts w:hint="eastAsia" w:ascii="仿宋_GB2312" w:hAnsi="仿宋_GB2312" w:eastAsia="仿宋_GB2312" w:cs="仿宋_GB2312"/>
          <w:i w:val="0"/>
          <w:iCs w:val="0"/>
          <w:color w:val="auto"/>
          <w:kern w:val="0"/>
          <w:sz w:val="32"/>
          <w:szCs w:val="32"/>
          <w:u w:val="none"/>
          <w:lang w:val="en" w:eastAsia="zh-CN" w:bidi="ar"/>
        </w:rPr>
        <w:t>建立本领域守信激励机制，结合门前责任</w:t>
      </w:r>
      <w:r>
        <w:rPr>
          <w:rFonts w:hint="eastAsia" w:ascii="仿宋_GB2312" w:hAnsi="仿宋_GB2312" w:eastAsia="仿宋_GB2312" w:cs="仿宋_GB2312"/>
          <w:i w:val="0"/>
          <w:iCs w:val="0"/>
          <w:color w:val="auto"/>
          <w:kern w:val="0"/>
          <w:sz w:val="32"/>
          <w:szCs w:val="32"/>
          <w:u w:val="none"/>
          <w:lang w:val="en-US" w:eastAsia="zh-CN" w:bidi="ar"/>
        </w:rPr>
        <w:t>区管理</w:t>
      </w:r>
      <w:r>
        <w:rPr>
          <w:rFonts w:hint="eastAsia" w:ascii="仿宋_GB2312" w:hAnsi="仿宋_GB2312" w:eastAsia="仿宋_GB2312" w:cs="仿宋_GB2312"/>
          <w:i w:val="0"/>
          <w:iCs w:val="0"/>
          <w:color w:val="auto"/>
          <w:kern w:val="0"/>
          <w:sz w:val="32"/>
          <w:szCs w:val="32"/>
          <w:u w:val="none"/>
          <w:lang w:val="en" w:eastAsia="zh-CN" w:bidi="ar"/>
        </w:rPr>
        <w:t>领域信用评价结果，对守信行为进行倡导和褒扬，</w:t>
      </w:r>
      <w:r>
        <w:rPr>
          <w:rFonts w:hint="eastAsia" w:ascii="仿宋_GB2312" w:hAnsi="仿宋_GB2312" w:eastAsia="仿宋_GB2312" w:cs="仿宋_GB2312"/>
          <w:i w:val="0"/>
          <w:iCs w:val="0"/>
          <w:color w:val="auto"/>
          <w:kern w:val="0"/>
          <w:sz w:val="32"/>
          <w:szCs w:val="32"/>
          <w:u w:val="none"/>
          <w:lang w:val="en-US" w:eastAsia="zh-CN" w:bidi="ar"/>
        </w:rPr>
        <w:t>给予相关行业激励措施及守信激励措施。</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 w:eastAsia="zh-CN" w:bidi="ar"/>
        </w:rPr>
        <w:t>镇街将责任人履责情况的日常检查和考评结果纳入门前责任</w:t>
      </w:r>
      <w:r>
        <w:rPr>
          <w:rFonts w:hint="eastAsia" w:ascii="仿宋_GB2312" w:hAnsi="仿宋_GB2312" w:eastAsia="仿宋_GB2312" w:cs="仿宋_GB2312"/>
          <w:i w:val="0"/>
          <w:iCs w:val="0"/>
          <w:color w:val="auto"/>
          <w:kern w:val="0"/>
          <w:sz w:val="32"/>
          <w:szCs w:val="32"/>
          <w:u w:val="none"/>
          <w:lang w:val="en-US" w:eastAsia="zh-CN" w:bidi="ar"/>
        </w:rPr>
        <w:t>区</w:t>
      </w:r>
      <w:r>
        <w:rPr>
          <w:rFonts w:hint="eastAsia" w:ascii="仿宋_GB2312" w:hAnsi="仿宋_GB2312" w:eastAsia="仿宋_GB2312" w:cs="仿宋_GB2312"/>
          <w:i w:val="0"/>
          <w:iCs w:val="0"/>
          <w:color w:val="auto"/>
          <w:kern w:val="0"/>
          <w:sz w:val="32"/>
          <w:szCs w:val="32"/>
          <w:u w:val="none"/>
          <w:lang w:val="en" w:eastAsia="zh-CN" w:bidi="ar"/>
        </w:rPr>
        <w:t>管理领域信用评价中，依据评价结果选定优质诚信主体，</w:t>
      </w:r>
      <w:r>
        <w:rPr>
          <w:rFonts w:hint="eastAsia" w:ascii="仿宋_GB2312" w:hAnsi="仿宋_GB2312" w:eastAsia="仿宋_GB2312" w:cs="仿宋_GB2312"/>
          <w:i w:val="0"/>
          <w:iCs w:val="0"/>
          <w:color w:val="auto"/>
          <w:kern w:val="0"/>
          <w:sz w:val="32"/>
          <w:szCs w:val="32"/>
          <w:u w:val="none"/>
          <w:lang w:val="en-US" w:eastAsia="zh-CN" w:bidi="ar"/>
        </w:rPr>
        <w:t>并及时上报区城市管理和综合执法部门，区城市管理和综合执法部门经初步审核后再逐级上报。相关名单经</w:t>
      </w:r>
      <w:r>
        <w:rPr>
          <w:rFonts w:hint="eastAsia" w:ascii="仿宋_GB2312" w:hAnsi="仿宋_GB2312" w:eastAsia="仿宋_GB2312" w:cs="仿宋_GB2312"/>
          <w:i w:val="0"/>
          <w:iCs w:val="0"/>
          <w:color w:val="000000"/>
          <w:kern w:val="0"/>
          <w:sz w:val="32"/>
          <w:szCs w:val="32"/>
          <w:u w:val="none"/>
          <w:lang w:val="en-US" w:eastAsia="zh-CN" w:bidi="ar"/>
        </w:rPr>
        <w:t>市城市管理和综合执法部门复核后，推荐给市发展改革部门依法予以认定。</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市发展改革部门会同有关部门为优质诚信主体制定、更新守信激励措施。</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000000"/>
          <w:kern w:val="0"/>
          <w:sz w:val="32"/>
          <w:szCs w:val="32"/>
          <w:u w:val="none"/>
          <w:lang w:val="en" w:eastAsia="zh-CN" w:bidi="ar"/>
        </w:rPr>
      </w:pPr>
      <w:r>
        <w:rPr>
          <w:rFonts w:hint="eastAsia" w:ascii="黑体" w:hAnsi="黑体" w:eastAsia="黑体" w:cs="黑体"/>
          <w:i w:val="0"/>
          <w:iCs w:val="0"/>
          <w:color w:val="000000"/>
          <w:kern w:val="0"/>
          <w:sz w:val="32"/>
          <w:szCs w:val="32"/>
          <w:u w:val="none"/>
          <w:lang w:val="en" w:eastAsia="zh-CN" w:bidi="ar"/>
        </w:rPr>
        <w:t>第三十七条</w:t>
      </w:r>
      <w:r>
        <w:rPr>
          <w:rFonts w:hint="eastAsia" w:ascii="黑体" w:hAnsi="黑体" w:eastAsia="黑体" w:cs="黑体"/>
          <w:i w:val="0"/>
          <w:iCs w:val="0"/>
          <w:color w:val="000000"/>
          <w:kern w:val="0"/>
          <w:sz w:val="32"/>
          <w:szCs w:val="32"/>
          <w:u w:val="none"/>
          <w:lang w:val="en-US" w:eastAsia="zh-CN" w:bidi="ar"/>
        </w:rPr>
        <w:t>【信用状况监测】</w:t>
      </w:r>
      <w:r>
        <w:rPr>
          <w:rFonts w:hint="eastAsia" w:ascii="仿宋_GB2312" w:hAnsi="仿宋_GB2312" w:eastAsia="仿宋_GB2312" w:cs="仿宋_GB2312"/>
          <w:i w:val="0"/>
          <w:iCs w:val="0"/>
          <w:color w:val="000000"/>
          <w:kern w:val="0"/>
          <w:sz w:val="32"/>
          <w:szCs w:val="32"/>
          <w:u w:val="none"/>
          <w:lang w:val="en-US" w:eastAsia="zh-CN" w:bidi="ar"/>
        </w:rPr>
        <w:t xml:space="preserve"> </w:t>
      </w:r>
      <w:r>
        <w:rPr>
          <w:rFonts w:hint="eastAsia" w:ascii="仿宋_GB2312" w:hAnsi="仿宋_GB2312" w:eastAsia="仿宋_GB2312" w:cs="仿宋_GB2312"/>
          <w:i w:val="0"/>
          <w:iCs w:val="0"/>
          <w:color w:val="000000"/>
          <w:kern w:val="0"/>
          <w:sz w:val="32"/>
          <w:szCs w:val="32"/>
          <w:u w:val="none"/>
          <w:lang w:val="en" w:eastAsia="zh-CN" w:bidi="ar"/>
        </w:rPr>
        <w:t>建立“信用</w:t>
      </w:r>
      <w:r>
        <w:rPr>
          <w:rFonts w:hint="eastAsia" w:ascii="仿宋_GB2312" w:hAnsi="仿宋_GB2312" w:eastAsia="仿宋_GB2312" w:cs="仿宋_GB2312"/>
          <w:i w:val="0"/>
          <w:iCs w:val="0"/>
          <w:color w:val="000000"/>
          <w:kern w:val="0"/>
          <w:sz w:val="32"/>
          <w:szCs w:val="32"/>
          <w:u w:val="none"/>
          <w:lang w:val="en-US" w:eastAsia="zh-CN" w:bidi="ar"/>
        </w:rPr>
        <w:t>+门前责任落实</w:t>
      </w:r>
      <w:r>
        <w:rPr>
          <w:rFonts w:hint="eastAsia" w:ascii="仿宋_GB2312" w:hAnsi="仿宋_GB2312" w:eastAsia="仿宋_GB2312" w:cs="仿宋_GB2312"/>
          <w:i w:val="0"/>
          <w:iCs w:val="0"/>
          <w:color w:val="000000"/>
          <w:kern w:val="0"/>
          <w:sz w:val="32"/>
          <w:szCs w:val="32"/>
          <w:u w:val="none"/>
          <w:lang w:val="en" w:eastAsia="zh-CN" w:bidi="ar"/>
        </w:rPr>
        <w:t>”信用状况监测机制，纳入政务诚信监测范围。</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各行政管理部门履行门前责任的情况以及在</w:t>
      </w:r>
      <w:r>
        <w:rPr>
          <w:rFonts w:hint="eastAsia" w:ascii="仿宋_GB2312" w:hAnsi="仿宋_GB2312" w:eastAsia="仿宋_GB2312" w:cs="仿宋_GB2312"/>
          <w:i w:val="0"/>
          <w:iCs w:val="0"/>
          <w:color w:val="000000"/>
          <w:kern w:val="0"/>
          <w:sz w:val="32"/>
          <w:szCs w:val="32"/>
          <w:u w:val="none"/>
          <w:lang w:val="en-US" w:eastAsia="zh-CN" w:bidi="ar"/>
        </w:rPr>
        <w:t>数字化城市管理平台的工单</w:t>
      </w:r>
      <w:r>
        <w:rPr>
          <w:rFonts w:hint="eastAsia" w:ascii="仿宋_GB2312" w:hAnsi="仿宋_GB2312" w:eastAsia="仿宋_GB2312" w:cs="仿宋_GB2312"/>
          <w:sz w:val="32"/>
          <w:szCs w:val="32"/>
          <w:u w:val="none"/>
          <w:lang w:val="en-US" w:eastAsia="zh-CN"/>
        </w:rPr>
        <w:t>接收、受理、处置情</w:t>
      </w:r>
      <w:r>
        <w:rPr>
          <w:rFonts w:hint="eastAsia" w:ascii="仿宋_GB2312" w:hAnsi="仿宋_GB2312" w:eastAsia="仿宋_GB2312" w:cs="仿宋_GB2312"/>
          <w:i w:val="0"/>
          <w:iCs w:val="0"/>
          <w:color w:val="000000"/>
          <w:kern w:val="0"/>
          <w:sz w:val="32"/>
          <w:szCs w:val="32"/>
          <w:u w:val="none"/>
          <w:lang w:val="en-US" w:eastAsia="zh-CN" w:bidi="ar"/>
        </w:rPr>
        <w:t>况，统一归集为落实门前责任工作的政务诚信监测数据。数据归集工作由市城市管理和综合执法部门组织</w:t>
      </w:r>
      <w:r>
        <w:rPr>
          <w:rFonts w:hint="eastAsia" w:ascii="仿宋_GB2312" w:hAnsi="仿宋_GB2312" w:eastAsia="仿宋_GB2312" w:cs="仿宋_GB2312"/>
          <w:i w:val="0"/>
          <w:iCs w:val="0"/>
          <w:color w:val="auto"/>
          <w:kern w:val="0"/>
          <w:sz w:val="32"/>
          <w:szCs w:val="32"/>
          <w:u w:val="none"/>
          <w:lang w:val="en-US" w:eastAsia="zh-CN" w:bidi="ar"/>
        </w:rPr>
        <w:t>市数字化城市管理中心</w:t>
      </w:r>
      <w:r>
        <w:rPr>
          <w:rFonts w:hint="eastAsia" w:ascii="仿宋_GB2312" w:hAnsi="仿宋_GB2312" w:eastAsia="仿宋_GB2312" w:cs="仿宋_GB2312"/>
          <w:i w:val="0"/>
          <w:iCs w:val="0"/>
          <w:color w:val="000000"/>
          <w:kern w:val="0"/>
          <w:sz w:val="32"/>
          <w:szCs w:val="32"/>
          <w:u w:val="none"/>
          <w:lang w:val="en-US" w:eastAsia="zh-CN" w:bidi="ar"/>
        </w:rPr>
        <w:t>按照信用信息归集要求实施，并及时向</w:t>
      </w:r>
      <w:r>
        <w:rPr>
          <w:rFonts w:hint="eastAsia" w:ascii="仿宋_GB2312" w:hAnsi="仿宋_GB2312" w:eastAsia="仿宋_GB2312" w:cs="仿宋_GB2312"/>
          <w:i w:val="0"/>
          <w:iCs w:val="0"/>
          <w:color w:val="auto"/>
          <w:kern w:val="0"/>
          <w:sz w:val="32"/>
          <w:szCs w:val="32"/>
          <w:u w:val="none"/>
          <w:lang w:val="en-US" w:eastAsia="zh-CN" w:bidi="ar"/>
        </w:rPr>
        <w:t>市发展改革部门提供数据。</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市发展改革部门依托门前责任履责数据，开展“信用+门前责任落实”监测，相关结果纳入市级社会信用状况监测管理和</w:t>
      </w:r>
      <w:r>
        <w:rPr>
          <w:rFonts w:hint="eastAsia" w:ascii="仿宋_GB2312" w:hAnsi="仿宋_GB2312" w:eastAsia="仿宋_GB2312" w:cs="仿宋_GB2312"/>
          <w:i w:val="0"/>
          <w:iCs w:val="0"/>
          <w:color w:val="000000"/>
          <w:kern w:val="0"/>
          <w:sz w:val="32"/>
          <w:szCs w:val="32"/>
          <w:u w:val="none"/>
          <w:lang w:val="en-US" w:eastAsia="zh-CN" w:bidi="ar"/>
        </w:rPr>
        <w:t>部门</w:t>
      </w:r>
      <w:r>
        <w:rPr>
          <w:rFonts w:hint="eastAsia" w:ascii="仿宋_GB2312" w:hAnsi="仿宋_GB2312" w:eastAsia="仿宋_GB2312" w:cs="仿宋_GB2312"/>
          <w:i w:val="0"/>
          <w:iCs w:val="0"/>
          <w:color w:val="auto"/>
          <w:kern w:val="0"/>
          <w:sz w:val="32"/>
          <w:szCs w:val="32"/>
          <w:u w:val="none"/>
          <w:lang w:val="en-US" w:eastAsia="zh-CN" w:bidi="ar"/>
        </w:rPr>
        <w:t>年度绩效考核“行业领域社会信用体系建设”指标中。</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9" w:lineRule="exact"/>
        <w:jc w:val="center"/>
        <w:textAlignment w:val="center"/>
        <w:rPr>
          <w:rFonts w:hint="eastAsia" w:ascii="黑体" w:hAnsi="黑体" w:eastAsia="黑体" w:cs="黑体"/>
          <w:i w:val="0"/>
          <w:iCs w:val="0"/>
          <w:color w:val="auto"/>
          <w:kern w:val="0"/>
          <w:sz w:val="32"/>
          <w:szCs w:val="32"/>
          <w:u w:val="none"/>
          <w:lang w:val="en-US" w:eastAsia="zh-CN" w:bidi="ar"/>
        </w:rPr>
      </w:pPr>
      <w:r>
        <w:rPr>
          <w:rFonts w:hint="eastAsia" w:ascii="黑体" w:hAnsi="黑体" w:eastAsia="黑体" w:cs="黑体"/>
          <w:i w:val="0"/>
          <w:iCs w:val="0"/>
          <w:color w:val="auto"/>
          <w:kern w:val="0"/>
          <w:sz w:val="32"/>
          <w:szCs w:val="32"/>
          <w:u w:val="none"/>
          <w:lang w:val="en-US" w:eastAsia="zh-CN" w:bidi="ar"/>
        </w:rPr>
        <w:t>第四章 社会共治</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黑体" w:hAnsi="黑体" w:eastAsia="黑体" w:cs="黑体"/>
          <w:i w:val="0"/>
          <w:iCs w:val="0"/>
          <w:color w:val="auto"/>
          <w:kern w:val="0"/>
          <w:sz w:val="32"/>
          <w:szCs w:val="32"/>
          <w:u w:val="none"/>
          <w:lang w:val="en-US" w:eastAsia="zh-CN" w:bidi="ar"/>
        </w:rPr>
        <w:t>第三十八条【保障知情权和监督权】</w:t>
      </w:r>
      <w:r>
        <w:rPr>
          <w:rFonts w:hint="eastAsia" w:ascii="仿宋_GB2312" w:hAnsi="仿宋_GB2312" w:eastAsia="仿宋_GB2312" w:cs="仿宋_GB2312"/>
          <w:i w:val="0"/>
          <w:iCs w:val="0"/>
          <w:color w:val="auto"/>
          <w:kern w:val="0"/>
          <w:sz w:val="32"/>
          <w:szCs w:val="32"/>
          <w:u w:val="none"/>
          <w:lang w:val="en-US" w:eastAsia="zh-CN" w:bidi="ar"/>
        </w:rPr>
        <w:t>本市建立健全门前责任区管理公众全过程参与机制，依法保障公众在门前责任区管理工作中的知情权、参与权、表达权和监督权。</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制定城市容貌标准、城市环境卫生标准等应当听取公众意见，相关标准应当及时公开。</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黑体" w:hAnsi="黑体" w:eastAsia="黑体" w:cs="黑体"/>
          <w:i w:val="0"/>
          <w:iCs w:val="0"/>
          <w:color w:val="auto"/>
          <w:kern w:val="0"/>
          <w:sz w:val="32"/>
          <w:szCs w:val="32"/>
          <w:u w:val="none"/>
          <w:lang w:val="en-US" w:eastAsia="zh-CN" w:bidi="ar"/>
        </w:rPr>
        <w:t>第三十九条【加强宣传】</w:t>
      </w:r>
      <w:r>
        <w:rPr>
          <w:rFonts w:hint="eastAsia" w:ascii="仿宋_GB2312" w:hAnsi="仿宋_GB2312" w:eastAsia="仿宋_GB2312" w:cs="仿宋_GB2312"/>
          <w:color w:val="auto"/>
          <w:kern w:val="0"/>
          <w:sz w:val="32"/>
          <w:szCs w:val="32"/>
          <w:u w:val="none"/>
          <w:lang w:eastAsia="zh-CN" w:bidi="ar"/>
        </w:rPr>
        <w:t>国家机关、企业事业单位和其他组织</w:t>
      </w:r>
      <w:r>
        <w:rPr>
          <w:rFonts w:hint="eastAsia" w:ascii="仿宋_GB2312" w:hAnsi="仿宋_GB2312" w:eastAsia="仿宋_GB2312" w:cs="仿宋_GB2312"/>
          <w:i w:val="0"/>
          <w:iCs w:val="0"/>
          <w:color w:val="auto"/>
          <w:kern w:val="0"/>
          <w:sz w:val="32"/>
          <w:szCs w:val="32"/>
          <w:u w:val="none"/>
          <w:lang w:val="en-US" w:eastAsia="zh-CN" w:bidi="ar"/>
        </w:rPr>
        <w:t>应当发挥门前责任履责表率作用，并应当加强宣传教育，增强公众履责意识，通过大众传播媒介和公共场所开展门前责任制的公益性宣传。广播、电视、报刊、网络等大众传播媒介应当及时落实门前责任制管理工作的公益性宣传。</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机场、车站、码头、影剧院、商场、宾馆、商业街区、城市社区、广场、公园、风景名胜区等公共场所的广告设施或者其他适当位置，公交车、地铁、长途客车、火车、飞机等公共交通工具的广告刊播介质或者其他适当位置，适当地段的建筑工地围挡、景观灯杆等构筑物，其管理者或者经营者均有义务刊播经主管部门审定的公益广告。</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sz w:val="32"/>
          <w:szCs w:val="32"/>
          <w:u w:val="none"/>
        </w:rPr>
      </w:pPr>
      <w:r>
        <w:rPr>
          <w:rFonts w:hint="eastAsia" w:ascii="黑体" w:hAnsi="黑体" w:eastAsia="黑体" w:cs="黑体"/>
          <w:i w:val="0"/>
          <w:iCs w:val="0"/>
          <w:color w:val="auto"/>
          <w:kern w:val="0"/>
          <w:sz w:val="32"/>
          <w:szCs w:val="32"/>
          <w:u w:val="none"/>
          <w:lang w:val="en-US" w:eastAsia="zh-CN" w:bidi="ar"/>
        </w:rPr>
        <w:t>第四十条【社区公约】</w:t>
      </w:r>
      <w:r>
        <w:rPr>
          <w:rFonts w:hint="eastAsia" w:ascii="仿宋_GB2312" w:hAnsi="仿宋_GB2312" w:eastAsia="仿宋_GB2312" w:cs="仿宋_GB2312"/>
          <w:i w:val="0"/>
          <w:iCs w:val="0"/>
          <w:color w:val="auto"/>
          <w:kern w:val="0"/>
          <w:sz w:val="32"/>
          <w:szCs w:val="32"/>
          <w:u w:val="none"/>
          <w:lang w:val="en-US" w:eastAsia="zh-CN" w:bidi="ar"/>
        </w:rPr>
        <w:t>居民委员会引导、动员居民积极参与门前责任区管理，应当将门前责任事项纳入社区公约，共同推动城市整洁、优美、文明环境的创建工作。</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黑体" w:hAnsi="黑体" w:eastAsia="黑体" w:cs="黑体"/>
          <w:i w:val="0"/>
          <w:iCs w:val="0"/>
          <w:color w:val="auto"/>
          <w:kern w:val="0"/>
          <w:sz w:val="32"/>
          <w:szCs w:val="32"/>
          <w:u w:val="none"/>
          <w:lang w:val="en-US" w:eastAsia="zh-CN" w:bidi="ar"/>
        </w:rPr>
        <w:t>第四十一条【行业管理】</w:t>
      </w:r>
      <w:r>
        <w:rPr>
          <w:rFonts w:hint="eastAsia" w:ascii="仿宋_GB2312" w:hAnsi="仿宋_GB2312" w:eastAsia="仿宋_GB2312" w:cs="仿宋_GB2312"/>
          <w:i w:val="0"/>
          <w:iCs w:val="0"/>
          <w:color w:val="auto"/>
          <w:kern w:val="0"/>
          <w:sz w:val="32"/>
          <w:szCs w:val="32"/>
          <w:u w:val="none"/>
          <w:lang w:val="en-US" w:eastAsia="zh-CN" w:bidi="ar"/>
        </w:rPr>
        <w:t>各行业协会等社会组织、公共场所经营管理单位及其他企业事业单位依法制定门前责任区管理公约、守则，提高从业者的职业道德和文明素质，做好门前责任区管理工作。</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sz w:val="32"/>
          <w:szCs w:val="32"/>
          <w:u w:val="none"/>
        </w:rPr>
      </w:pPr>
      <w:r>
        <w:rPr>
          <w:rFonts w:hint="eastAsia" w:ascii="黑体" w:hAnsi="黑体" w:eastAsia="黑体" w:cs="黑体"/>
          <w:i w:val="0"/>
          <w:iCs w:val="0"/>
          <w:color w:val="auto"/>
          <w:kern w:val="0"/>
          <w:sz w:val="32"/>
          <w:szCs w:val="32"/>
          <w:u w:val="none"/>
          <w:lang w:val="en-US" w:eastAsia="zh-CN" w:bidi="ar"/>
        </w:rPr>
        <w:t>第四十二条【物业协助】</w:t>
      </w:r>
      <w:r>
        <w:rPr>
          <w:rFonts w:hint="eastAsia" w:ascii="仿宋_GB2312" w:hAnsi="仿宋_GB2312" w:eastAsia="仿宋_GB2312" w:cs="仿宋_GB2312"/>
          <w:i w:val="0"/>
          <w:iCs w:val="0"/>
          <w:color w:val="auto"/>
          <w:kern w:val="0"/>
          <w:sz w:val="32"/>
          <w:szCs w:val="32"/>
          <w:u w:val="none"/>
          <w:lang w:val="en-US" w:eastAsia="zh-CN" w:bidi="ar"/>
        </w:rPr>
        <w:t>物业服务企业或者其他物业管理人应当协助有关部门开展门前责任区管理工作。</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黑体" w:hAnsi="黑体" w:eastAsia="黑体" w:cs="黑体"/>
          <w:i w:val="0"/>
          <w:iCs w:val="0"/>
          <w:color w:val="auto"/>
          <w:kern w:val="0"/>
          <w:sz w:val="32"/>
          <w:szCs w:val="32"/>
          <w:u w:val="none"/>
          <w:lang w:val="en-US" w:eastAsia="zh-CN" w:bidi="ar"/>
        </w:rPr>
        <w:t>第四十三条【物业管理】</w:t>
      </w:r>
      <w:r>
        <w:rPr>
          <w:rFonts w:hint="eastAsia" w:ascii="仿宋_GB2312" w:hAnsi="仿宋_GB2312" w:eastAsia="仿宋_GB2312" w:cs="仿宋_GB2312"/>
          <w:i w:val="0"/>
          <w:iCs w:val="0"/>
          <w:color w:val="auto"/>
          <w:kern w:val="0"/>
          <w:sz w:val="32"/>
          <w:szCs w:val="32"/>
          <w:u w:val="none"/>
          <w:lang w:val="en-US" w:eastAsia="zh-CN" w:bidi="ar"/>
        </w:rPr>
        <w:t>镇、街应当指导居住区、商业办公楼等区域的业主在签订物业服务、商铺租赁、单位装饰装修等合同时，将责任要求纳入合同内容。</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黑体" w:hAnsi="黑体" w:eastAsia="黑体" w:cs="黑体"/>
          <w:i w:val="0"/>
          <w:iCs w:val="0"/>
          <w:color w:val="auto"/>
          <w:kern w:val="0"/>
          <w:sz w:val="32"/>
          <w:szCs w:val="32"/>
          <w:u w:val="none"/>
          <w:lang w:val="en-US" w:eastAsia="zh-CN" w:bidi="ar"/>
        </w:rPr>
        <w:t>第四十四条【创建活动】</w:t>
      </w:r>
      <w:r>
        <w:rPr>
          <w:rFonts w:hint="eastAsia" w:ascii="仿宋_GB2312" w:hAnsi="仿宋_GB2312" w:eastAsia="仿宋_GB2312" w:cs="仿宋_GB2312"/>
          <w:i w:val="0"/>
          <w:iCs w:val="0"/>
          <w:color w:val="auto"/>
          <w:kern w:val="0"/>
          <w:sz w:val="32"/>
          <w:szCs w:val="32"/>
          <w:u w:val="none"/>
          <w:lang w:val="en-US" w:eastAsia="zh-CN" w:bidi="ar"/>
        </w:rPr>
        <w:t>结合本市文明村镇、文明单位、文明校园等群众性精神文明创建活动和卫生单位、健康社区(村)等卫生健康创建活动,引导单位和个人加强门前责任区管理工作。相关事项由城市管理和综合执法部门商市精神文明建设办公室、卫生健康部门确定。</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黑体" w:hAnsi="黑体" w:eastAsia="黑体" w:cs="黑体"/>
          <w:i w:val="0"/>
          <w:iCs w:val="0"/>
          <w:color w:val="auto"/>
          <w:kern w:val="0"/>
          <w:sz w:val="32"/>
          <w:szCs w:val="32"/>
          <w:u w:val="none"/>
          <w:lang w:val="en-US" w:eastAsia="zh-CN" w:bidi="ar"/>
        </w:rPr>
        <w:t>第四十五条【鼓励自律管理】</w:t>
      </w:r>
      <w:r>
        <w:rPr>
          <w:rFonts w:hint="eastAsia" w:ascii="仿宋_GB2312" w:hAnsi="仿宋_GB2312" w:eastAsia="仿宋_GB2312" w:cs="仿宋_GB2312"/>
          <w:i w:val="0"/>
          <w:iCs w:val="0"/>
          <w:color w:val="auto"/>
          <w:kern w:val="0"/>
          <w:sz w:val="32"/>
          <w:szCs w:val="32"/>
          <w:u w:val="none"/>
          <w:lang w:val="en-US" w:eastAsia="zh-CN" w:bidi="ar"/>
        </w:rPr>
        <w:t xml:space="preserve">鼓励居民委员会引导责任人成立自律管理组织，做好责任区范围内市容环境卫生等各项工作。镇、街加强对居民委员会开展相关工作的指导。            </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民政部门依法开展自律管理组织的设立登记和监督管理工作。</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黑体" w:hAnsi="黑体" w:eastAsia="黑体" w:cs="黑体"/>
          <w:i w:val="0"/>
          <w:iCs w:val="0"/>
          <w:color w:val="auto"/>
          <w:kern w:val="0"/>
          <w:sz w:val="32"/>
          <w:szCs w:val="32"/>
          <w:u w:val="none"/>
          <w:lang w:val="en-US" w:eastAsia="zh-CN" w:bidi="ar"/>
        </w:rPr>
        <w:t xml:space="preserve">第四十六条【鼓励社会参与】 </w:t>
      </w:r>
      <w:r>
        <w:rPr>
          <w:rFonts w:hint="eastAsia" w:ascii="仿宋_GB2312" w:hAnsi="仿宋_GB2312" w:eastAsia="仿宋_GB2312" w:cs="仿宋_GB2312"/>
          <w:i w:val="0"/>
          <w:iCs w:val="0"/>
          <w:color w:val="auto"/>
          <w:kern w:val="0"/>
          <w:sz w:val="32"/>
          <w:szCs w:val="32"/>
          <w:u w:val="none"/>
          <w:lang w:val="en-US" w:eastAsia="zh-CN" w:bidi="ar"/>
        </w:rPr>
        <w:t>鼓励、支持单位和个人参与市容环境卫生治理的群众性活动，鼓励、支持志愿服务组织和志愿者依法参与门前责任区管理的宣传动员、示范引导、评估评议、市容维护以及环境清洁等工作。</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kern w:val="0"/>
          <w:sz w:val="32"/>
          <w:szCs w:val="3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center"/>
        <w:textAlignment w:val="center"/>
        <w:rPr>
          <w:rFonts w:hint="eastAsia" w:ascii="黑体" w:hAnsi="黑体" w:eastAsia="黑体" w:cs="黑体"/>
          <w:i w:val="0"/>
          <w:iCs w:val="0"/>
          <w:color w:val="auto"/>
          <w:kern w:val="0"/>
          <w:sz w:val="32"/>
          <w:szCs w:val="32"/>
          <w:u w:val="none"/>
          <w:lang w:val="en-US" w:eastAsia="zh-CN" w:bidi="ar"/>
        </w:rPr>
      </w:pPr>
      <w:r>
        <w:rPr>
          <w:rFonts w:hint="eastAsia" w:ascii="黑体" w:hAnsi="黑体" w:eastAsia="黑体" w:cs="黑体"/>
          <w:i w:val="0"/>
          <w:iCs w:val="0"/>
          <w:color w:val="auto"/>
          <w:kern w:val="0"/>
          <w:sz w:val="32"/>
          <w:szCs w:val="32"/>
          <w:u w:val="none"/>
          <w:lang w:val="en-US" w:eastAsia="zh-CN" w:bidi="ar"/>
        </w:rPr>
        <w:t>第五章 法律责任</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黑体" w:hAnsi="黑体" w:eastAsia="黑体" w:cs="黑体"/>
          <w:i w:val="0"/>
          <w:iCs w:val="0"/>
          <w:color w:val="auto"/>
          <w:kern w:val="0"/>
          <w:sz w:val="32"/>
          <w:szCs w:val="32"/>
          <w:u w:val="none"/>
          <w:lang w:val="en-US" w:eastAsia="zh-CN" w:bidi="ar"/>
        </w:rPr>
        <w:t>第四十七条【从其他法律法规规定】</w:t>
      </w:r>
      <w:r>
        <w:rPr>
          <w:rFonts w:hint="eastAsia" w:ascii="仿宋_GB2312" w:hAnsi="仿宋_GB2312" w:eastAsia="仿宋_GB2312" w:cs="仿宋_GB2312"/>
          <w:i w:val="0"/>
          <w:iCs w:val="0"/>
          <w:color w:val="auto"/>
          <w:kern w:val="0"/>
          <w:sz w:val="32"/>
          <w:szCs w:val="32"/>
          <w:u w:val="none"/>
          <w:lang w:val="en-US" w:eastAsia="zh-CN" w:bidi="ar"/>
        </w:rPr>
        <w:t>违反本办法规定的行为，法律、法规已有规定的，从其规定。</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黑体" w:hAnsi="黑体" w:eastAsia="黑体" w:cs="黑体"/>
          <w:i w:val="0"/>
          <w:iCs w:val="0"/>
          <w:color w:val="auto"/>
          <w:kern w:val="0"/>
          <w:sz w:val="32"/>
          <w:szCs w:val="32"/>
          <w:u w:val="none"/>
          <w:lang w:val="en-US" w:eastAsia="zh-CN" w:bidi="ar"/>
        </w:rPr>
        <w:t xml:space="preserve">第四十八条 </w:t>
      </w:r>
      <w:r>
        <w:rPr>
          <w:rFonts w:hint="eastAsia" w:ascii="仿宋_GB2312" w:hAnsi="仿宋_GB2312" w:eastAsia="仿宋_GB2312" w:cs="仿宋_GB2312"/>
          <w:i w:val="0"/>
          <w:iCs w:val="0"/>
          <w:color w:val="auto"/>
          <w:kern w:val="0"/>
          <w:sz w:val="32"/>
          <w:szCs w:val="32"/>
          <w:u w:val="none"/>
          <w:lang w:val="en-US" w:eastAsia="zh-CN" w:bidi="ar"/>
        </w:rPr>
        <w:t>违反本办法第十九条的行为，按下列规定予以处罚：</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（一）</w:t>
      </w:r>
      <w:r>
        <w:rPr>
          <w:rFonts w:hint="eastAsia" w:ascii="黑体" w:hAnsi="黑体" w:eastAsia="黑体" w:cs="黑体"/>
          <w:i w:val="0"/>
          <w:iCs w:val="0"/>
          <w:color w:val="auto"/>
          <w:kern w:val="0"/>
          <w:sz w:val="32"/>
          <w:szCs w:val="32"/>
          <w:u w:val="none"/>
          <w:lang w:val="en-US" w:eastAsia="zh-CN" w:bidi="ar"/>
        </w:rPr>
        <w:t>【乱张贴、乱涂写、乱刻画】</w:t>
      </w:r>
      <w:r>
        <w:rPr>
          <w:rFonts w:hint="eastAsia" w:ascii="仿宋_GB2312" w:hAnsi="仿宋_GB2312" w:eastAsia="仿宋_GB2312" w:cs="仿宋_GB2312"/>
          <w:i w:val="0"/>
          <w:iCs w:val="0"/>
          <w:color w:val="auto"/>
          <w:kern w:val="0"/>
          <w:sz w:val="32"/>
          <w:szCs w:val="32"/>
          <w:u w:val="none"/>
          <w:lang w:val="en-US" w:eastAsia="zh-CN" w:bidi="ar"/>
        </w:rPr>
        <w:t>违反第（一）项规定，在城市建筑物、设施上乱涂写、乱刻画或者未经批准张挂、张贴宣传品，责令限期改正，可以并处五百元以上二千元以下的罚款。</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（二）</w:t>
      </w:r>
      <w:r>
        <w:rPr>
          <w:rFonts w:hint="eastAsia" w:ascii="黑体" w:hAnsi="黑体" w:eastAsia="黑体" w:cs="黑体"/>
          <w:i w:val="0"/>
          <w:iCs w:val="0"/>
          <w:color w:val="auto"/>
          <w:kern w:val="0"/>
          <w:sz w:val="32"/>
          <w:szCs w:val="32"/>
          <w:u w:val="none"/>
          <w:lang w:val="en-US" w:eastAsia="zh-CN" w:bidi="ar"/>
        </w:rPr>
        <w:t>【乱吊挂】</w:t>
      </w:r>
      <w:r>
        <w:rPr>
          <w:rFonts w:hint="eastAsia" w:ascii="仿宋_GB2312" w:hAnsi="仿宋_GB2312" w:eastAsia="仿宋_GB2312" w:cs="仿宋_GB2312"/>
          <w:i w:val="0"/>
          <w:iCs w:val="0"/>
          <w:color w:val="auto"/>
          <w:kern w:val="0"/>
          <w:sz w:val="32"/>
          <w:szCs w:val="32"/>
          <w:u w:val="none"/>
          <w:lang w:val="en-US" w:eastAsia="zh-CN" w:bidi="ar"/>
        </w:rPr>
        <w:t>违反第（二）项规定，违规吊挂、晾晒有碍市容的物品，责令限期改正，可以并处二百元以上五百元以下的罚款。</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（三）</w:t>
      </w:r>
      <w:r>
        <w:rPr>
          <w:rFonts w:hint="eastAsia" w:ascii="黑体" w:hAnsi="黑体" w:eastAsia="黑体" w:cs="黑体"/>
          <w:i w:val="0"/>
          <w:iCs w:val="0"/>
          <w:color w:val="auto"/>
          <w:kern w:val="0"/>
          <w:sz w:val="32"/>
          <w:szCs w:val="32"/>
          <w:u w:val="none"/>
          <w:lang w:val="en-US" w:eastAsia="zh-CN" w:bidi="ar"/>
        </w:rPr>
        <w:t>【空调外机】</w:t>
      </w:r>
      <w:r>
        <w:rPr>
          <w:rFonts w:hint="eastAsia" w:ascii="仿宋_GB2312" w:hAnsi="仿宋_GB2312" w:eastAsia="仿宋_GB2312" w:cs="仿宋_GB2312"/>
          <w:i w:val="0"/>
          <w:iCs w:val="0"/>
          <w:color w:val="auto"/>
          <w:kern w:val="0"/>
          <w:sz w:val="32"/>
          <w:szCs w:val="32"/>
          <w:u w:val="none"/>
          <w:lang w:val="en-US" w:eastAsia="zh-CN" w:bidi="ar"/>
        </w:rPr>
        <w:t>违反第（四）项规定，空调外机向外滴水影响他人的，责令限期改正，可以并处五十元以上两百元以下的罚款。</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黑体" w:hAnsi="黑体" w:eastAsia="黑体" w:cs="黑体"/>
          <w:i w:val="0"/>
          <w:iCs w:val="0"/>
          <w:color w:val="auto"/>
          <w:kern w:val="0"/>
          <w:sz w:val="32"/>
          <w:szCs w:val="32"/>
          <w:u w:val="none"/>
          <w:lang w:val="en-US" w:eastAsia="zh-CN" w:bidi="ar"/>
        </w:rPr>
        <w:t>第四十九条</w:t>
      </w:r>
      <w:r>
        <w:rPr>
          <w:rFonts w:hint="eastAsia" w:ascii="仿宋_GB2312" w:hAnsi="仿宋_GB2312" w:eastAsia="仿宋_GB2312" w:cs="仿宋_GB2312"/>
          <w:i w:val="0"/>
          <w:iCs w:val="0"/>
          <w:color w:val="auto"/>
          <w:kern w:val="0"/>
          <w:sz w:val="32"/>
          <w:szCs w:val="32"/>
          <w:u w:val="none"/>
          <w:lang w:val="en-US" w:eastAsia="zh-CN" w:bidi="ar"/>
        </w:rPr>
        <w:t xml:space="preserve"> 违反本办法第二十条的行为，按下列规定予以处罚：</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（一）</w:t>
      </w:r>
      <w:r>
        <w:rPr>
          <w:rFonts w:hint="eastAsia" w:ascii="黑体" w:hAnsi="黑体" w:eastAsia="黑体" w:cs="黑体"/>
          <w:i w:val="0"/>
          <w:iCs w:val="0"/>
          <w:color w:val="auto"/>
          <w:kern w:val="0"/>
          <w:sz w:val="32"/>
          <w:szCs w:val="32"/>
          <w:u w:val="none"/>
          <w:lang w:val="en-US" w:eastAsia="zh-CN" w:bidi="ar"/>
        </w:rPr>
        <w:t>【乱设摊】</w:t>
      </w:r>
      <w:r>
        <w:rPr>
          <w:rFonts w:hint="eastAsia" w:ascii="仿宋_GB2312" w:hAnsi="仿宋_GB2312" w:eastAsia="仿宋_GB2312" w:cs="仿宋_GB2312"/>
          <w:i w:val="0"/>
          <w:iCs w:val="0"/>
          <w:color w:val="auto"/>
          <w:kern w:val="0"/>
          <w:sz w:val="32"/>
          <w:szCs w:val="32"/>
          <w:u w:val="none"/>
          <w:lang w:val="en-US" w:eastAsia="zh-CN" w:bidi="ar"/>
        </w:rPr>
        <w:t>违反第（一）项规定，在责任区范围乱摆摊设点经营的，责令限期改正，可以并处以二百元以上五百元以下的罚款。违反规定在城市道路、人行天桥、地下通道等公共场所和公共绿地乱设摊的，依照《珠海市服务业环境管理条例》《珠海经济特区园林绿化条例》有关规定处理。</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（二）</w:t>
      </w:r>
      <w:r>
        <w:rPr>
          <w:rFonts w:hint="eastAsia" w:ascii="黑体" w:hAnsi="黑体" w:eastAsia="黑体" w:cs="黑体"/>
          <w:i w:val="0"/>
          <w:iCs w:val="0"/>
          <w:color w:val="auto"/>
          <w:kern w:val="0"/>
          <w:sz w:val="32"/>
          <w:szCs w:val="32"/>
          <w:u w:val="none"/>
          <w:lang w:val="en-US" w:eastAsia="zh-CN" w:bidi="ar"/>
        </w:rPr>
        <w:t>【超门店经营】</w:t>
      </w:r>
      <w:r>
        <w:rPr>
          <w:rFonts w:hint="eastAsia" w:ascii="仿宋_GB2312" w:hAnsi="仿宋_GB2312" w:eastAsia="仿宋_GB2312" w:cs="仿宋_GB2312"/>
          <w:i w:val="0"/>
          <w:iCs w:val="0"/>
          <w:color w:val="auto"/>
          <w:kern w:val="0"/>
          <w:sz w:val="32"/>
          <w:szCs w:val="32"/>
          <w:u w:val="none"/>
          <w:lang w:val="en-US" w:eastAsia="zh-CN" w:bidi="ar"/>
        </w:rPr>
        <w:t>违反第（二）项规定，超出门窗或外墙经营的，依照《珠海市服务业环境管理条例》有关规定处理。</w:t>
      </w:r>
    </w:p>
    <w:p>
      <w:pPr>
        <w:keepNext w:val="0"/>
        <w:keepLines w:val="0"/>
        <w:pageBreakBefore w:val="0"/>
        <w:widowControl/>
        <w:suppressLineNumbers w:val="0"/>
        <w:kinsoku/>
        <w:wordWrap/>
        <w:overflowPunct/>
        <w:topLinePunct w:val="0"/>
        <w:autoSpaceDE/>
        <w:autoSpaceDN/>
        <w:bidi w:val="0"/>
        <w:adjustRightInd/>
        <w:snapToGrid/>
        <w:spacing w:line="579" w:lineRule="exact"/>
        <w:ind w:left="0" w:leftChars="0" w:firstLine="640" w:firstLineChars="200"/>
        <w:jc w:val="both"/>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（三）</w:t>
      </w:r>
      <w:r>
        <w:rPr>
          <w:rFonts w:hint="eastAsia" w:ascii="黑体" w:hAnsi="黑体" w:eastAsia="黑体" w:cs="黑体"/>
          <w:i w:val="0"/>
          <w:iCs w:val="0"/>
          <w:color w:val="auto"/>
          <w:kern w:val="0"/>
          <w:sz w:val="32"/>
          <w:szCs w:val="32"/>
          <w:u w:val="none"/>
          <w:lang w:val="en-US" w:eastAsia="zh-CN" w:bidi="ar"/>
        </w:rPr>
        <w:t>【乱搭建乱堆放】</w:t>
      </w:r>
      <w:r>
        <w:rPr>
          <w:rFonts w:hint="eastAsia" w:ascii="仿宋_GB2312" w:hAnsi="仿宋_GB2312" w:eastAsia="仿宋_GB2312" w:cs="仿宋_GB2312"/>
          <w:i w:val="0"/>
          <w:iCs w:val="0"/>
          <w:color w:val="auto"/>
          <w:kern w:val="0"/>
          <w:sz w:val="32"/>
          <w:szCs w:val="32"/>
          <w:u w:val="none"/>
          <w:lang w:val="en-US" w:eastAsia="zh-CN" w:bidi="ar"/>
        </w:rPr>
        <w:t>违反第（三）项规定，乱搭建、乱堆放的，责令限期改正，可以并处以二百元以上五百元以下的罚款。未经批准擅自在街道两侧和公共场地堆放物料，搭建建筑物、构筑物或者其他设施，责令停止违法行为，限期清理、拆除或者采取其他补救措施，可以并处以五千元以上二万元以下罚款；构成违法建设的，依照《中华人民共和国城乡规划法》《珠海经济特区城乡规划条例》等相关法律、法规的规定处理。</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黑体" w:hAnsi="黑体" w:eastAsia="黑体" w:cs="黑体"/>
          <w:i w:val="0"/>
          <w:iCs w:val="0"/>
          <w:color w:val="auto"/>
          <w:kern w:val="0"/>
          <w:sz w:val="32"/>
          <w:szCs w:val="32"/>
          <w:u w:val="none"/>
          <w:lang w:val="en-US" w:eastAsia="zh-CN" w:bidi="ar"/>
        </w:rPr>
        <w:t>第五十条</w:t>
      </w:r>
      <w:r>
        <w:rPr>
          <w:rFonts w:hint="eastAsia" w:ascii="仿宋_GB2312" w:hAnsi="仿宋_GB2312" w:eastAsia="仿宋_GB2312" w:cs="仿宋_GB2312"/>
          <w:i w:val="0"/>
          <w:iCs w:val="0"/>
          <w:color w:val="auto"/>
          <w:kern w:val="0"/>
          <w:sz w:val="32"/>
          <w:szCs w:val="32"/>
          <w:u w:val="none"/>
          <w:lang w:val="en-US" w:eastAsia="zh-CN" w:bidi="ar"/>
        </w:rPr>
        <w:t xml:space="preserve"> 违反本办法第二十一条的行为，按下列规定予以处罚：</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（一）</w:t>
      </w:r>
      <w:r>
        <w:rPr>
          <w:rFonts w:hint="eastAsia" w:ascii="黑体" w:hAnsi="黑体" w:eastAsia="黑体" w:cs="黑体"/>
          <w:i w:val="0"/>
          <w:iCs w:val="0"/>
          <w:color w:val="auto"/>
          <w:kern w:val="0"/>
          <w:sz w:val="32"/>
          <w:szCs w:val="32"/>
          <w:u w:val="none"/>
          <w:lang w:val="en-US" w:eastAsia="zh-CN" w:bidi="ar"/>
        </w:rPr>
        <w:t>【未履行清扫保洁责任】</w:t>
      </w:r>
      <w:r>
        <w:rPr>
          <w:rFonts w:hint="eastAsia" w:ascii="仿宋_GB2312" w:hAnsi="仿宋_GB2312" w:eastAsia="仿宋_GB2312" w:cs="仿宋_GB2312"/>
          <w:i w:val="0"/>
          <w:iCs w:val="0"/>
          <w:color w:val="auto"/>
          <w:kern w:val="0"/>
          <w:sz w:val="32"/>
          <w:szCs w:val="32"/>
          <w:u w:val="none"/>
          <w:lang w:val="en-US" w:eastAsia="zh-CN" w:bidi="ar"/>
        </w:rPr>
        <w:t>违反第（一）项规定，未履行清扫保洁责任、清扫质量不符合市容环境卫生标准的，责令限期改正，可以并处五百元以上二千元以下的罚款。</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0" w:firstLineChars="0"/>
        <w:jc w:val="both"/>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 xml:space="preserve">   （二）</w:t>
      </w:r>
      <w:r>
        <w:rPr>
          <w:rFonts w:hint="eastAsia" w:ascii="黑体" w:hAnsi="黑体" w:eastAsia="黑体" w:cs="黑体"/>
          <w:i w:val="0"/>
          <w:iCs w:val="0"/>
          <w:color w:val="auto"/>
          <w:kern w:val="0"/>
          <w:sz w:val="32"/>
          <w:szCs w:val="32"/>
          <w:u w:val="none"/>
          <w:lang w:val="en-US" w:eastAsia="zh-CN" w:bidi="ar"/>
        </w:rPr>
        <w:t>【建筑物整洁美观】</w:t>
      </w:r>
      <w:r>
        <w:rPr>
          <w:rFonts w:hint="eastAsia" w:ascii="仿宋_GB2312" w:hAnsi="仿宋_GB2312" w:eastAsia="仿宋_GB2312" w:cs="仿宋_GB2312"/>
          <w:i w:val="0"/>
          <w:iCs w:val="0"/>
          <w:color w:val="auto"/>
          <w:kern w:val="0"/>
          <w:sz w:val="32"/>
          <w:szCs w:val="32"/>
          <w:u w:val="none"/>
          <w:lang w:val="en-US" w:eastAsia="zh-CN" w:bidi="ar"/>
        </w:rPr>
        <w:t>违反第（二）项规定，建（构）筑物外墙立面未保持整洁美观，影响市容的，责令限期改正，可以并处二百元以上五百元以下的罚款。</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（三）</w:t>
      </w:r>
      <w:r>
        <w:rPr>
          <w:rFonts w:hint="eastAsia" w:ascii="黑体" w:hAnsi="黑体" w:eastAsia="黑体" w:cs="黑体"/>
          <w:i w:val="0"/>
          <w:iCs w:val="0"/>
          <w:color w:val="auto"/>
          <w:kern w:val="0"/>
          <w:sz w:val="32"/>
          <w:szCs w:val="32"/>
          <w:u w:val="none"/>
          <w:lang w:val="en-US" w:eastAsia="zh-CN" w:bidi="ar"/>
        </w:rPr>
        <w:t>【乱排污水】</w:t>
      </w:r>
      <w:r>
        <w:rPr>
          <w:rFonts w:hint="eastAsia" w:ascii="仿宋_GB2312" w:hAnsi="仿宋_GB2312" w:eastAsia="仿宋_GB2312" w:cs="仿宋_GB2312"/>
          <w:i w:val="0"/>
          <w:iCs w:val="0"/>
          <w:color w:val="auto"/>
          <w:kern w:val="0"/>
          <w:sz w:val="32"/>
          <w:szCs w:val="32"/>
          <w:u w:val="none"/>
          <w:lang w:val="en-US" w:eastAsia="zh-CN" w:bidi="ar"/>
        </w:rPr>
        <w:t>违反第（四）项规定，向城市道路、公共场所倾倒、排放废水和污水，可以并处二百元以上五百元以下的罚款。</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（四）</w:t>
      </w:r>
      <w:r>
        <w:rPr>
          <w:rFonts w:hint="eastAsia" w:ascii="黑体" w:hAnsi="黑体" w:eastAsia="黑体" w:cs="黑体"/>
          <w:i w:val="0"/>
          <w:iCs w:val="0"/>
          <w:color w:val="auto"/>
          <w:kern w:val="0"/>
          <w:sz w:val="32"/>
          <w:szCs w:val="32"/>
          <w:u w:val="none"/>
          <w:lang w:val="en-US" w:eastAsia="zh-CN" w:bidi="ar"/>
        </w:rPr>
        <w:t>【饲养信鸽】</w:t>
      </w:r>
      <w:r>
        <w:rPr>
          <w:rFonts w:hint="eastAsia" w:ascii="仿宋_GB2312" w:hAnsi="仿宋_GB2312" w:eastAsia="仿宋_GB2312" w:cs="仿宋_GB2312"/>
          <w:i w:val="0"/>
          <w:iCs w:val="0"/>
          <w:color w:val="auto"/>
          <w:kern w:val="0"/>
          <w:sz w:val="32"/>
          <w:szCs w:val="32"/>
          <w:u w:val="none"/>
          <w:lang w:val="en-US" w:eastAsia="zh-CN" w:bidi="ar"/>
        </w:rPr>
        <w:t>违反第（七）项规定，违规饲养信鸽影响市容环境卫生的，由门前责任区的责任人予以劝导、制止；劝导、制止无效的，责任人应当及时向城市管理和综合执法部门报告。城市管理和综合执法部门应依法及时调查，对于影响周围市容和环境卫生且拒不改正的，给予警告，可以并处五十元以上二百元以下罚款。</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黑体" w:hAnsi="黑体" w:eastAsia="黑体" w:cs="黑体"/>
          <w:i w:val="0"/>
          <w:iCs w:val="0"/>
          <w:color w:val="auto"/>
          <w:kern w:val="0"/>
          <w:sz w:val="32"/>
          <w:szCs w:val="32"/>
          <w:u w:val="none"/>
          <w:lang w:val="en-US" w:eastAsia="zh-CN" w:bidi="ar"/>
        </w:rPr>
        <w:t>第五十一条【保持设施完好】</w:t>
      </w:r>
      <w:r>
        <w:rPr>
          <w:rFonts w:hint="eastAsia" w:ascii="仿宋_GB2312" w:hAnsi="仿宋_GB2312" w:eastAsia="仿宋_GB2312" w:cs="仿宋_GB2312"/>
          <w:i w:val="0"/>
          <w:iCs w:val="0"/>
          <w:color w:val="auto"/>
          <w:kern w:val="0"/>
          <w:sz w:val="32"/>
          <w:szCs w:val="32"/>
          <w:u w:val="none"/>
          <w:lang w:val="en-US" w:eastAsia="zh-CN" w:bidi="ar"/>
        </w:rPr>
        <w:t>违反本办法第二十三条第一款规定，擅自拆除、迁移、占用、损毁、封闭各类环境卫生设施及其附属设施的，责令限期恢复原状，可以并处三千元以上三万元以下的罚款。</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盗窃、损坏各类环境卫生设施及其附属设施，应当给予治安管理处罚的，依照《中华人民共和国治安管理处罚法》的规定处罚；构成犯罪的，依法追究刑事责任。</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sz w:val="32"/>
          <w:szCs w:val="32"/>
          <w:u w:val="none"/>
        </w:rPr>
      </w:pPr>
      <w:r>
        <w:rPr>
          <w:rFonts w:hint="eastAsia" w:ascii="黑体" w:hAnsi="黑体" w:eastAsia="黑体" w:cs="黑体"/>
          <w:i w:val="0"/>
          <w:iCs w:val="0"/>
          <w:color w:val="auto"/>
          <w:kern w:val="0"/>
          <w:sz w:val="32"/>
          <w:szCs w:val="32"/>
          <w:u w:val="none"/>
          <w:lang w:val="en-US" w:eastAsia="zh-CN" w:bidi="ar"/>
        </w:rPr>
        <w:t>第五十二条【废品收购储存的处罚】</w:t>
      </w:r>
      <w:r>
        <w:rPr>
          <w:rFonts w:hint="eastAsia" w:ascii="仿宋_GB2312" w:hAnsi="仿宋_GB2312" w:eastAsia="仿宋_GB2312" w:cs="仿宋_GB2312"/>
          <w:i w:val="0"/>
          <w:iCs w:val="0"/>
          <w:color w:val="auto"/>
          <w:kern w:val="0"/>
          <w:sz w:val="32"/>
          <w:szCs w:val="32"/>
          <w:u w:val="none"/>
          <w:lang w:val="en-US" w:eastAsia="zh-CN" w:bidi="ar"/>
        </w:rPr>
        <w:t>违反本办法第二十五条规定，收购废旧物品的经营者、废旧物品存储场所的经营者未采取措施导致影响市容、污染周围环境的，责令限期改正，可以并处五百元以上二千元以下的罚款。</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黑体" w:hAnsi="黑体" w:eastAsia="黑体" w:cs="黑体"/>
          <w:i w:val="0"/>
          <w:iCs w:val="0"/>
          <w:color w:val="auto"/>
          <w:kern w:val="0"/>
          <w:sz w:val="32"/>
          <w:szCs w:val="32"/>
          <w:u w:val="none"/>
          <w:lang w:val="en-US" w:eastAsia="zh-CN" w:bidi="ar"/>
        </w:rPr>
        <w:t>第五十三条【洗车修车的处罚】</w:t>
      </w:r>
      <w:r>
        <w:rPr>
          <w:rFonts w:hint="eastAsia" w:ascii="仿宋_GB2312" w:hAnsi="仿宋_GB2312" w:eastAsia="仿宋_GB2312" w:cs="仿宋_GB2312"/>
          <w:i w:val="0"/>
          <w:iCs w:val="0"/>
          <w:color w:val="auto"/>
          <w:kern w:val="0"/>
          <w:sz w:val="32"/>
          <w:szCs w:val="32"/>
          <w:u w:val="none"/>
          <w:lang w:val="en-US" w:eastAsia="zh-CN" w:bidi="ar"/>
        </w:rPr>
        <w:t>违反本办法第二十六条规定，占用道路和公共场地从事车辆清洗、维修或其他作业活动的，责令限期改正，可以对个人处以二百元以上五百元以下罚款，可以对单位处以五百元以上二千元以下罚款；</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从事车辆清洗、维修活动或者其他作业活动，未采取措施导致污水、油污流溢或者废弃物向外散落、影响周围环境的，责令限期改正，可以并处一千元以上五千元以下的罚款。</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sz w:val="32"/>
          <w:szCs w:val="32"/>
          <w:u w:val="none"/>
        </w:rPr>
      </w:pPr>
      <w:r>
        <w:rPr>
          <w:rFonts w:hint="eastAsia" w:ascii="黑体" w:hAnsi="黑体" w:eastAsia="黑体" w:cs="黑体"/>
          <w:i w:val="0"/>
          <w:iCs w:val="0"/>
          <w:color w:val="auto"/>
          <w:kern w:val="0"/>
          <w:sz w:val="32"/>
          <w:szCs w:val="32"/>
          <w:u w:val="none"/>
          <w:lang w:val="en-US" w:eastAsia="zh-CN" w:bidi="ar"/>
        </w:rPr>
        <w:t>第五十四条【大型活动场地整洁】</w:t>
      </w:r>
      <w:r>
        <w:rPr>
          <w:rFonts w:hint="eastAsia" w:ascii="仿宋_GB2312" w:hAnsi="仿宋_GB2312" w:eastAsia="仿宋_GB2312" w:cs="仿宋_GB2312"/>
          <w:i w:val="0"/>
          <w:iCs w:val="0"/>
          <w:color w:val="auto"/>
          <w:kern w:val="0"/>
          <w:sz w:val="32"/>
          <w:szCs w:val="32"/>
          <w:u w:val="none"/>
          <w:lang w:val="en-US" w:eastAsia="zh-CN" w:bidi="ar"/>
        </w:rPr>
        <w:t>违反本办法第二十七条规定，活动举办单位、承办单位未保持周围环境卫生整洁，未按规范设置临时性垃圾收集容器，未及时清除临时设置的设施和产生的废弃物的，责令限期改正，并处五百元以上五千元以下的罚款。</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sz w:val="32"/>
          <w:szCs w:val="32"/>
          <w:u w:val="none"/>
        </w:rPr>
      </w:pPr>
      <w:r>
        <w:rPr>
          <w:rFonts w:hint="eastAsia" w:ascii="黑体" w:hAnsi="黑体" w:eastAsia="黑体" w:cs="黑体"/>
          <w:i w:val="0"/>
          <w:iCs w:val="0"/>
          <w:color w:val="auto"/>
          <w:kern w:val="0"/>
          <w:sz w:val="32"/>
          <w:szCs w:val="32"/>
          <w:u w:val="none"/>
          <w:lang w:val="en-US" w:eastAsia="zh-CN" w:bidi="ar"/>
        </w:rPr>
        <w:t>第五十五条【建筑工地】</w:t>
      </w:r>
      <w:r>
        <w:rPr>
          <w:rFonts w:hint="eastAsia" w:ascii="仿宋_GB2312" w:hAnsi="仿宋_GB2312" w:eastAsia="仿宋_GB2312" w:cs="仿宋_GB2312"/>
          <w:i w:val="0"/>
          <w:iCs w:val="0"/>
          <w:color w:val="auto"/>
          <w:kern w:val="0"/>
          <w:sz w:val="32"/>
          <w:szCs w:val="32"/>
          <w:u w:val="none"/>
          <w:lang w:val="en-US" w:eastAsia="zh-CN" w:bidi="ar"/>
        </w:rPr>
        <w:t>建筑工地责任人违反本办法第二十八条第（一）、（二）项规定的，责令限期改正，并处五百元以上二千元以下罚款。违反第二十八条第（三）、（四）、（五）、（六）项规定的，责令限期改正，并处二千元以上五千元以下罚款。</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黑体" w:hAnsi="黑体" w:eastAsia="黑体" w:cs="黑体"/>
          <w:i w:val="0"/>
          <w:iCs w:val="0"/>
          <w:color w:val="auto"/>
          <w:kern w:val="0"/>
          <w:sz w:val="32"/>
          <w:szCs w:val="32"/>
          <w:u w:val="none"/>
          <w:lang w:val="en-US" w:eastAsia="zh-CN" w:bidi="ar"/>
        </w:rPr>
        <w:t>第五十六条【临时摆放物品】</w:t>
      </w:r>
      <w:r>
        <w:rPr>
          <w:rFonts w:hint="eastAsia" w:ascii="仿宋_GB2312" w:hAnsi="仿宋_GB2312" w:eastAsia="仿宋_GB2312" w:cs="仿宋_GB2312"/>
          <w:i w:val="0"/>
          <w:iCs w:val="0"/>
          <w:color w:val="auto"/>
          <w:kern w:val="0"/>
          <w:sz w:val="32"/>
          <w:szCs w:val="32"/>
          <w:u w:val="none"/>
          <w:lang w:val="en-US" w:eastAsia="zh-CN" w:bidi="ar"/>
        </w:rPr>
        <w:t>违反本办法第三十条规定，临时摆放物品未提前制定方案报备、未能保持整洁、影响行人通行、未及时清理的，责令限期改正，可以并处二百元以上一千元以下的罚款。</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sz w:val="32"/>
          <w:szCs w:val="32"/>
          <w:u w:val="none"/>
        </w:rPr>
      </w:pPr>
      <w:r>
        <w:rPr>
          <w:rFonts w:hint="eastAsia" w:ascii="黑体" w:hAnsi="黑体" w:eastAsia="黑体" w:cs="黑体"/>
          <w:i w:val="0"/>
          <w:iCs w:val="0"/>
          <w:color w:val="auto"/>
          <w:kern w:val="0"/>
          <w:sz w:val="32"/>
          <w:szCs w:val="32"/>
          <w:u w:val="none"/>
          <w:lang w:val="en-US" w:eastAsia="zh-CN" w:bidi="ar"/>
        </w:rPr>
        <w:t>第五十七条【依法履职】</w:t>
      </w:r>
      <w:r>
        <w:rPr>
          <w:rFonts w:hint="eastAsia" w:ascii="仿宋_GB2312" w:hAnsi="仿宋_GB2312" w:eastAsia="仿宋_GB2312" w:cs="仿宋_GB2312"/>
          <w:i w:val="0"/>
          <w:iCs w:val="0"/>
          <w:color w:val="auto"/>
          <w:kern w:val="0"/>
          <w:sz w:val="32"/>
          <w:szCs w:val="32"/>
          <w:u w:val="none"/>
          <w:lang w:val="en-US" w:eastAsia="zh-CN" w:bidi="ar"/>
        </w:rPr>
        <w:t>行政执法部门及其工作人员应当依法履行监督管理职责，文明执法，依法受理单位和个人的申请事项以及对违反门前责任区管理制度行为的投诉，依法查处违法行为。</w:t>
      </w:r>
      <w:r>
        <w:rPr>
          <w:rFonts w:hint="eastAsia" w:ascii="仿宋_GB2312" w:hAnsi="仿宋_GB2312" w:eastAsia="仿宋_GB2312" w:cs="仿宋_GB2312"/>
          <w:i w:val="0"/>
          <w:iCs w:val="0"/>
          <w:color w:val="auto"/>
          <w:kern w:val="0"/>
          <w:sz w:val="32"/>
          <w:szCs w:val="32"/>
          <w:u w:val="none"/>
          <w:lang w:val="en-US" w:eastAsia="zh-CN" w:bidi="ar"/>
        </w:rPr>
        <w:br w:type="textWrapping"/>
      </w:r>
      <w:r>
        <w:rPr>
          <w:rFonts w:hint="eastAsia" w:ascii="仿宋_GB2312" w:hAnsi="仿宋_GB2312" w:eastAsia="仿宋_GB2312" w:cs="仿宋_GB2312"/>
          <w:i w:val="0"/>
          <w:iCs w:val="0"/>
          <w:color w:val="auto"/>
          <w:kern w:val="0"/>
          <w:sz w:val="32"/>
          <w:szCs w:val="32"/>
          <w:u w:val="none"/>
          <w:lang w:val="en-US" w:eastAsia="zh-CN" w:bidi="ar"/>
        </w:rPr>
        <w:t xml:space="preserve">    对应当予以受理的事项和投诉不予受理，或者应当制止和查处的行为不予制止和查处，或者违法审批申请事项，致使公民、法人或者其他组织的合法权益及公共利益受到严重损害，或者滥用职权、徇私舞弊的，由所在部门或者上级主管部门对直接负责的主管人员和其他直接责任人员，依法给予行政处分；构成犯罪的，依法追究刑事责任。</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Style w:val="17"/>
          <w:rFonts w:hint="eastAsia" w:ascii="仿宋_GB2312" w:hAnsi="仿宋_GB2312" w:eastAsia="仿宋_GB2312" w:cs="仿宋_GB2312"/>
          <w:color w:val="auto"/>
          <w:sz w:val="32"/>
          <w:szCs w:val="32"/>
          <w:lang w:val="en-US" w:eastAsia="zh-CN" w:bidi="ar"/>
        </w:rPr>
      </w:pPr>
      <w:r>
        <w:rPr>
          <w:rFonts w:hint="eastAsia" w:ascii="黑体" w:hAnsi="黑体" w:eastAsia="黑体" w:cs="黑体"/>
          <w:i w:val="0"/>
          <w:iCs w:val="0"/>
          <w:color w:val="auto"/>
          <w:kern w:val="0"/>
          <w:sz w:val="32"/>
          <w:szCs w:val="32"/>
          <w:u w:val="none"/>
          <w:lang w:val="en-US" w:eastAsia="zh-CN" w:bidi="ar"/>
        </w:rPr>
        <w:t>第五十八条【责任人配合执法】</w:t>
      </w:r>
      <w:r>
        <w:rPr>
          <w:rFonts w:hint="eastAsia" w:ascii="仿宋" w:hAnsi="仿宋" w:eastAsia="仿宋" w:cs="仿宋"/>
          <w:i w:val="0"/>
          <w:iCs w:val="0"/>
          <w:color w:val="auto"/>
          <w:kern w:val="0"/>
          <w:sz w:val="32"/>
          <w:szCs w:val="32"/>
          <w:u w:val="none"/>
          <w:lang w:val="en-US" w:eastAsia="zh-CN" w:bidi="ar"/>
        </w:rPr>
        <w:t>有</w:t>
      </w:r>
      <w:r>
        <w:rPr>
          <w:rFonts w:hint="eastAsia" w:ascii="仿宋_GB2312" w:hAnsi="仿宋_GB2312" w:eastAsia="仿宋_GB2312" w:cs="仿宋_GB2312"/>
          <w:i w:val="0"/>
          <w:iCs w:val="0"/>
          <w:color w:val="auto"/>
          <w:kern w:val="0"/>
          <w:sz w:val="32"/>
          <w:szCs w:val="32"/>
          <w:u w:val="none"/>
          <w:lang w:val="en-US" w:eastAsia="zh-CN" w:bidi="ar"/>
        </w:rPr>
        <w:t>关执法部门查处违法行为时，执法人员可以依法进入违法现场调查、取证，责任人以及现场相关人员应当配合，不得拒绝、阻挠。必要时，公安机关应当依法予以协助。</w:t>
      </w:r>
      <w:r>
        <w:rPr>
          <w:rFonts w:hint="eastAsia" w:ascii="仿宋_GB2312" w:hAnsi="仿宋_GB2312" w:eastAsia="仿宋_GB2312" w:cs="仿宋_GB2312"/>
          <w:i w:val="0"/>
          <w:iCs w:val="0"/>
          <w:color w:val="auto"/>
          <w:kern w:val="0"/>
          <w:sz w:val="32"/>
          <w:szCs w:val="32"/>
          <w:u w:val="none"/>
          <w:lang w:val="en-US" w:eastAsia="zh-CN" w:bidi="ar"/>
        </w:rPr>
        <w:br w:type="textWrapping"/>
      </w:r>
      <w:r>
        <w:rPr>
          <w:rFonts w:hint="eastAsia" w:ascii="仿宋_GB2312" w:hAnsi="仿宋_GB2312" w:eastAsia="仿宋_GB2312" w:cs="仿宋_GB2312"/>
          <w:i w:val="0"/>
          <w:iCs w:val="0"/>
          <w:color w:val="auto"/>
          <w:kern w:val="0"/>
          <w:sz w:val="32"/>
          <w:szCs w:val="32"/>
          <w:u w:val="none"/>
          <w:lang w:val="en-US" w:eastAsia="zh-CN" w:bidi="ar"/>
        </w:rPr>
        <w:t xml:space="preserve">    阻碍国家机关工作人员依法执行职务、影响行政执法机关依法办案，构成违反治安管理行为的，依照《中华人民共和国治安管理处罚法》的规定予以处罚；构成犯罪的，依法追究刑事责任。</w:t>
      </w:r>
      <w:r>
        <w:rPr>
          <w:rFonts w:hint="eastAsia" w:ascii="仿宋_GB2312" w:hAnsi="仿宋_GB2312" w:eastAsia="仿宋_GB2312" w:cs="仿宋_GB2312"/>
          <w:i w:val="0"/>
          <w:iCs w:val="0"/>
          <w:color w:val="auto"/>
          <w:kern w:val="0"/>
          <w:sz w:val="32"/>
          <w:szCs w:val="32"/>
          <w:u w:val="none"/>
          <w:lang w:val="en-US" w:eastAsia="zh-CN" w:bidi="ar"/>
        </w:rPr>
        <w:br w:type="textWrapping"/>
      </w:r>
      <w:r>
        <w:rPr>
          <w:rFonts w:hint="eastAsia" w:ascii="仿宋_GB2312" w:hAnsi="仿宋_GB2312" w:eastAsia="仿宋_GB2312" w:cs="仿宋_GB2312"/>
          <w:i w:val="0"/>
          <w:iCs w:val="0"/>
          <w:color w:val="auto"/>
          <w:kern w:val="0"/>
          <w:sz w:val="32"/>
          <w:szCs w:val="32"/>
          <w:u w:val="none"/>
          <w:lang w:val="en-US" w:eastAsia="zh-CN" w:bidi="ar"/>
        </w:rPr>
        <w:t xml:space="preserve">    对居民委员会、物业服务单位、群众</w:t>
      </w:r>
      <w:r>
        <w:rPr>
          <w:rStyle w:val="17"/>
          <w:rFonts w:hint="eastAsia" w:ascii="仿宋_GB2312" w:hAnsi="仿宋_GB2312" w:eastAsia="仿宋_GB2312" w:cs="仿宋_GB2312"/>
          <w:color w:val="auto"/>
          <w:sz w:val="32"/>
          <w:szCs w:val="32"/>
          <w:lang w:val="en-US" w:eastAsia="zh-CN" w:bidi="ar"/>
        </w:rPr>
        <w:t>等单位和个人提供的照片、视（音）频等相关资料，经查证属实的，可以作为行政执法案件证据材料。</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Style w:val="17"/>
          <w:rFonts w:hint="eastAsia" w:ascii="仿宋_GB2312" w:hAnsi="仿宋_GB2312" w:eastAsia="仿宋_GB2312" w:cs="仿宋_GB2312"/>
          <w:color w:val="auto"/>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center"/>
        <w:textAlignment w:val="center"/>
        <w:rPr>
          <w:rFonts w:hint="eastAsia" w:ascii="黑体" w:hAnsi="黑体" w:eastAsia="黑体" w:cs="黑体"/>
          <w:i w:val="0"/>
          <w:iCs w:val="0"/>
          <w:color w:val="auto"/>
          <w:kern w:val="0"/>
          <w:sz w:val="32"/>
          <w:szCs w:val="32"/>
          <w:u w:val="none"/>
          <w:lang w:val="en-US" w:eastAsia="zh-CN" w:bidi="ar"/>
        </w:rPr>
      </w:pPr>
      <w:r>
        <w:rPr>
          <w:rFonts w:hint="eastAsia" w:ascii="黑体" w:hAnsi="黑体" w:eastAsia="黑体" w:cs="黑体"/>
          <w:i w:val="0"/>
          <w:iCs w:val="0"/>
          <w:color w:val="auto"/>
          <w:kern w:val="0"/>
          <w:sz w:val="32"/>
          <w:szCs w:val="32"/>
          <w:u w:val="none"/>
          <w:lang w:val="en-US" w:eastAsia="zh-CN" w:bidi="ar"/>
        </w:rPr>
        <w:t>第六章  附则</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center"/>
        <w:rPr>
          <w:rFonts w:hint="eastAsia" w:ascii="仿宋_GB2312" w:hAnsi="仿宋_GB2312" w:eastAsia="仿宋_GB2312" w:cs="仿宋_GB2312"/>
          <w:i w:val="0"/>
          <w:iCs w:val="0"/>
          <w:color w:val="auto"/>
          <w:sz w:val="32"/>
          <w:szCs w:val="32"/>
          <w:u w:val="none"/>
        </w:rPr>
      </w:pPr>
      <w:r>
        <w:rPr>
          <w:rFonts w:hint="eastAsia" w:ascii="黑体" w:hAnsi="黑体" w:eastAsia="黑体" w:cs="黑体"/>
          <w:i w:val="0"/>
          <w:iCs w:val="0"/>
          <w:color w:val="auto"/>
          <w:kern w:val="0"/>
          <w:sz w:val="32"/>
          <w:szCs w:val="32"/>
          <w:u w:val="none"/>
          <w:lang w:val="en-US" w:eastAsia="zh-CN" w:bidi="ar"/>
        </w:rPr>
        <w:t>第五十九条【参照适用的范围】</w:t>
      </w:r>
      <w:r>
        <w:rPr>
          <w:rFonts w:hint="eastAsia" w:ascii="仿宋_GB2312" w:hAnsi="仿宋_GB2312" w:eastAsia="仿宋_GB2312" w:cs="仿宋_GB2312"/>
          <w:i w:val="0"/>
          <w:iCs w:val="0"/>
          <w:color w:val="auto"/>
          <w:kern w:val="0"/>
          <w:sz w:val="32"/>
          <w:szCs w:val="32"/>
          <w:u w:val="none"/>
          <w:lang w:val="en-US" w:eastAsia="zh-CN" w:bidi="ar"/>
        </w:rPr>
        <w:t>本办法所规定的实施范围以外的地区，可以参照适用本规定。行政村参照适用的，由农村农业主管部门负责组织实施，其他范围参照适用的，由所在地区人民政府负责组织实施。</w:t>
      </w:r>
    </w:p>
    <w:p>
      <w:pPr>
        <w:keepNext w:val="0"/>
        <w:keepLines w:val="0"/>
        <w:pageBreakBefore w:val="0"/>
        <w:kinsoku/>
        <w:wordWrap/>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i w:val="0"/>
          <w:iCs w:val="0"/>
          <w:color w:val="auto"/>
          <w:kern w:val="0"/>
          <w:sz w:val="32"/>
          <w:szCs w:val="32"/>
          <w:u w:val="none"/>
          <w:lang w:val="en-US" w:eastAsia="zh-CN" w:bidi="ar"/>
        </w:rPr>
      </w:pPr>
      <w:r>
        <w:rPr>
          <w:rFonts w:hint="eastAsia" w:ascii="黑体" w:hAnsi="黑体" w:eastAsia="黑体" w:cs="黑体"/>
          <w:i w:val="0"/>
          <w:iCs w:val="0"/>
          <w:color w:val="auto"/>
          <w:kern w:val="0"/>
          <w:sz w:val="32"/>
          <w:szCs w:val="32"/>
          <w:u w:val="none"/>
          <w:lang w:val="en-US" w:eastAsia="zh-CN" w:bidi="ar"/>
        </w:rPr>
        <w:t>第六十条【实施时间】</w:t>
      </w:r>
      <w:r>
        <w:rPr>
          <w:rFonts w:hint="eastAsia" w:ascii="仿宋_GB2312" w:hAnsi="仿宋_GB2312" w:eastAsia="仿宋_GB2312" w:cs="仿宋_GB2312"/>
          <w:i w:val="0"/>
          <w:iCs w:val="0"/>
          <w:color w:val="auto"/>
          <w:kern w:val="0"/>
          <w:sz w:val="32"/>
          <w:szCs w:val="32"/>
          <w:u w:val="none"/>
          <w:lang w:val="en-US" w:eastAsia="zh-CN" w:bidi="ar"/>
        </w:rPr>
        <w:t>本办法自2024年  月  日起施行。2011年3月1日施行的《珠海市门前三包责任制管理办法》（珠海市人民政府令第77号）同时废止。</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PMingLiU">
    <w:altName w:val="Droid Sans Fallback"/>
    <w:panose1 w:val="02020500000000000000"/>
    <w:charset w:val="88"/>
    <w:family w:val="auto"/>
    <w:pitch w:val="default"/>
    <w:sig w:usb0="00000000" w:usb1="00000000" w:usb2="00000016" w:usb3="00000000" w:csb0="00100001" w:csb1="00000000"/>
  </w:font>
  <w:font w:name="Droid Sans Fallback">
    <w:panose1 w:val="020B0502000000000001"/>
    <w:charset w:val="86"/>
    <w:family w:val="auto"/>
    <w:pitch w:val="default"/>
    <w:sig w:usb0="910002FF" w:usb1="2BDFFCFB" w:usb2="00000036" w:usb3="00000000" w:csb0="203F01FF" w:csb1="D7FF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29</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F6B769"/>
    <w:multiLevelType w:val="singleLevel"/>
    <w:tmpl w:val="9CF6B769"/>
    <w:lvl w:ilvl="0" w:tentative="0">
      <w:start w:val="1"/>
      <w:numFmt w:val="chineseCounting"/>
      <w:suff w:val="nothing"/>
      <w:lvlText w:val="（%1）"/>
      <w:lvlJc w:val="left"/>
      <w:rPr>
        <w:rFonts w:hint="eastAsia"/>
      </w:rPr>
    </w:lvl>
  </w:abstractNum>
  <w:abstractNum w:abstractNumId="1">
    <w:nsid w:val="779E8548"/>
    <w:multiLevelType w:val="singleLevel"/>
    <w:tmpl w:val="779E8548"/>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5OGZhYjhmNjFiN2Q3NDExNDI1MzU5ZGE2MDU1MjcifQ=="/>
  </w:docVars>
  <w:rsids>
    <w:rsidRoot w:val="7FE3DB95"/>
    <w:rsid w:val="033D36B2"/>
    <w:rsid w:val="03CD3D20"/>
    <w:rsid w:val="04A71B2E"/>
    <w:rsid w:val="06A220DE"/>
    <w:rsid w:val="06E301A9"/>
    <w:rsid w:val="08F51B67"/>
    <w:rsid w:val="0B0106AC"/>
    <w:rsid w:val="0B775521"/>
    <w:rsid w:val="0E2C16D2"/>
    <w:rsid w:val="0E7F1C78"/>
    <w:rsid w:val="0ECA7307"/>
    <w:rsid w:val="0FFFD5CF"/>
    <w:rsid w:val="10A66ACC"/>
    <w:rsid w:val="15755FA6"/>
    <w:rsid w:val="1772C942"/>
    <w:rsid w:val="17C84AF0"/>
    <w:rsid w:val="17CE3BE1"/>
    <w:rsid w:val="19DFA7D7"/>
    <w:rsid w:val="19FBDC31"/>
    <w:rsid w:val="1A7C9E42"/>
    <w:rsid w:val="1B5B2618"/>
    <w:rsid w:val="1BCDBAE9"/>
    <w:rsid w:val="1D443EE8"/>
    <w:rsid w:val="1FAA7702"/>
    <w:rsid w:val="1FCE2E5E"/>
    <w:rsid w:val="1FEF68C0"/>
    <w:rsid w:val="217A3A43"/>
    <w:rsid w:val="21B3327A"/>
    <w:rsid w:val="21FFD403"/>
    <w:rsid w:val="22037880"/>
    <w:rsid w:val="229B752C"/>
    <w:rsid w:val="250B1858"/>
    <w:rsid w:val="285A6CFF"/>
    <w:rsid w:val="29061536"/>
    <w:rsid w:val="2BCED54B"/>
    <w:rsid w:val="2BD365E7"/>
    <w:rsid w:val="2BF0684F"/>
    <w:rsid w:val="2D5E1E8A"/>
    <w:rsid w:val="2DC773CD"/>
    <w:rsid w:val="2DCA1EB5"/>
    <w:rsid w:val="2EFC2D07"/>
    <w:rsid w:val="2F495FF8"/>
    <w:rsid w:val="2FBC2F47"/>
    <w:rsid w:val="2FBFA6D5"/>
    <w:rsid w:val="2FF9238E"/>
    <w:rsid w:val="306C9953"/>
    <w:rsid w:val="30DB753D"/>
    <w:rsid w:val="32D63456"/>
    <w:rsid w:val="34767465"/>
    <w:rsid w:val="352A378B"/>
    <w:rsid w:val="36D570C5"/>
    <w:rsid w:val="36FB7070"/>
    <w:rsid w:val="376F5C64"/>
    <w:rsid w:val="37FB317D"/>
    <w:rsid w:val="385D49A5"/>
    <w:rsid w:val="39F919A3"/>
    <w:rsid w:val="3B082FB9"/>
    <w:rsid w:val="3BBD3198"/>
    <w:rsid w:val="3BBF5CEA"/>
    <w:rsid w:val="3BBFE1A9"/>
    <w:rsid w:val="3BDFC4EE"/>
    <w:rsid w:val="3C28099D"/>
    <w:rsid w:val="3CB7F4A7"/>
    <w:rsid w:val="3E6F864D"/>
    <w:rsid w:val="3EFD6886"/>
    <w:rsid w:val="3EFFC12F"/>
    <w:rsid w:val="3F3F4F7B"/>
    <w:rsid w:val="3F7FF1CA"/>
    <w:rsid w:val="3FAEAB9A"/>
    <w:rsid w:val="3FD61D5E"/>
    <w:rsid w:val="3FEB09B7"/>
    <w:rsid w:val="40963652"/>
    <w:rsid w:val="41326CF6"/>
    <w:rsid w:val="41371959"/>
    <w:rsid w:val="42222D50"/>
    <w:rsid w:val="42BF0E3E"/>
    <w:rsid w:val="430110AB"/>
    <w:rsid w:val="43BF9EDF"/>
    <w:rsid w:val="447349EB"/>
    <w:rsid w:val="44C3512E"/>
    <w:rsid w:val="47C73F2E"/>
    <w:rsid w:val="47FD4C68"/>
    <w:rsid w:val="49D51638"/>
    <w:rsid w:val="4A5B655E"/>
    <w:rsid w:val="4AEB5655"/>
    <w:rsid w:val="4CA5782A"/>
    <w:rsid w:val="4CCFA124"/>
    <w:rsid w:val="4D34224E"/>
    <w:rsid w:val="4D6D27B6"/>
    <w:rsid w:val="4DEF7317"/>
    <w:rsid w:val="4E6B9D73"/>
    <w:rsid w:val="4F2A2745"/>
    <w:rsid w:val="4F6761E7"/>
    <w:rsid w:val="4FA6E6AC"/>
    <w:rsid w:val="4FF7C86B"/>
    <w:rsid w:val="4FFD9800"/>
    <w:rsid w:val="50454710"/>
    <w:rsid w:val="51A87707"/>
    <w:rsid w:val="5379ED4C"/>
    <w:rsid w:val="53D72DC9"/>
    <w:rsid w:val="563D217D"/>
    <w:rsid w:val="564444DF"/>
    <w:rsid w:val="5711331E"/>
    <w:rsid w:val="57DB5B88"/>
    <w:rsid w:val="57FC22B2"/>
    <w:rsid w:val="581125D0"/>
    <w:rsid w:val="58E078B7"/>
    <w:rsid w:val="5A766D61"/>
    <w:rsid w:val="5AE309C0"/>
    <w:rsid w:val="5B2D0D26"/>
    <w:rsid w:val="5BF26998"/>
    <w:rsid w:val="5BF5D353"/>
    <w:rsid w:val="5CFC787D"/>
    <w:rsid w:val="5DD77A7B"/>
    <w:rsid w:val="5DF78895"/>
    <w:rsid w:val="5F0C1041"/>
    <w:rsid w:val="5F752744"/>
    <w:rsid w:val="5F7A62E9"/>
    <w:rsid w:val="5FFDD152"/>
    <w:rsid w:val="60AC7F50"/>
    <w:rsid w:val="6391548C"/>
    <w:rsid w:val="655425DB"/>
    <w:rsid w:val="65557C15"/>
    <w:rsid w:val="65571FE2"/>
    <w:rsid w:val="65DB5DB2"/>
    <w:rsid w:val="65EF59EA"/>
    <w:rsid w:val="67667ED8"/>
    <w:rsid w:val="67FB8DB5"/>
    <w:rsid w:val="6A930C46"/>
    <w:rsid w:val="6AE2544E"/>
    <w:rsid w:val="6AFE4D89"/>
    <w:rsid w:val="6BCF5379"/>
    <w:rsid w:val="6BF7734E"/>
    <w:rsid w:val="6BFF83B3"/>
    <w:rsid w:val="6D660820"/>
    <w:rsid w:val="6D938DCB"/>
    <w:rsid w:val="6F30060E"/>
    <w:rsid w:val="6F3F82E0"/>
    <w:rsid w:val="6FCFBA87"/>
    <w:rsid w:val="6FD99081"/>
    <w:rsid w:val="6FEF157A"/>
    <w:rsid w:val="6FF579E4"/>
    <w:rsid w:val="6FFB3560"/>
    <w:rsid w:val="6FFC1DB4"/>
    <w:rsid w:val="6FFDDCBE"/>
    <w:rsid w:val="6FFEE887"/>
    <w:rsid w:val="713F1F2B"/>
    <w:rsid w:val="72A35E01"/>
    <w:rsid w:val="73AD1786"/>
    <w:rsid w:val="73CB1207"/>
    <w:rsid w:val="73E3A3D3"/>
    <w:rsid w:val="73ED7B1B"/>
    <w:rsid w:val="73EF6982"/>
    <w:rsid w:val="74415A7B"/>
    <w:rsid w:val="745B0E62"/>
    <w:rsid w:val="74B9998B"/>
    <w:rsid w:val="751D036D"/>
    <w:rsid w:val="75D5A59E"/>
    <w:rsid w:val="76772811"/>
    <w:rsid w:val="7677E2B6"/>
    <w:rsid w:val="76F9B10D"/>
    <w:rsid w:val="76FFAB49"/>
    <w:rsid w:val="77BA3F66"/>
    <w:rsid w:val="77BF0CDB"/>
    <w:rsid w:val="77D3E5B1"/>
    <w:rsid w:val="77FE0CE7"/>
    <w:rsid w:val="77FF66F3"/>
    <w:rsid w:val="791529B3"/>
    <w:rsid w:val="79DF0F4F"/>
    <w:rsid w:val="79FF74C4"/>
    <w:rsid w:val="7A1F0072"/>
    <w:rsid w:val="7AE37F0D"/>
    <w:rsid w:val="7B4F8C1F"/>
    <w:rsid w:val="7B723EA5"/>
    <w:rsid w:val="7BB38D6A"/>
    <w:rsid w:val="7BBE29C1"/>
    <w:rsid w:val="7BEBBCF0"/>
    <w:rsid w:val="7BEF9EB0"/>
    <w:rsid w:val="7CB6C6C4"/>
    <w:rsid w:val="7CD70B37"/>
    <w:rsid w:val="7D6BCA60"/>
    <w:rsid w:val="7D7F3858"/>
    <w:rsid w:val="7DFFC4DC"/>
    <w:rsid w:val="7E25520A"/>
    <w:rsid w:val="7EAFFC73"/>
    <w:rsid w:val="7EBBF035"/>
    <w:rsid w:val="7EEF82AD"/>
    <w:rsid w:val="7EF7A4EE"/>
    <w:rsid w:val="7EFD3C4A"/>
    <w:rsid w:val="7EFD4D3A"/>
    <w:rsid w:val="7EFFC46B"/>
    <w:rsid w:val="7EFFFF0C"/>
    <w:rsid w:val="7F6161CA"/>
    <w:rsid w:val="7F6D2503"/>
    <w:rsid w:val="7F7E3705"/>
    <w:rsid w:val="7FA66558"/>
    <w:rsid w:val="7FADA626"/>
    <w:rsid w:val="7FAF1A32"/>
    <w:rsid w:val="7FAFDD00"/>
    <w:rsid w:val="7FBB63E0"/>
    <w:rsid w:val="7FBFE755"/>
    <w:rsid w:val="7FD6995F"/>
    <w:rsid w:val="7FDE0EFE"/>
    <w:rsid w:val="7FE3DB95"/>
    <w:rsid w:val="7FEC3B3C"/>
    <w:rsid w:val="7FEE6837"/>
    <w:rsid w:val="7FEEEC7A"/>
    <w:rsid w:val="7FEF738E"/>
    <w:rsid w:val="7FF55F02"/>
    <w:rsid w:val="7FF569B9"/>
    <w:rsid w:val="7FF98A42"/>
    <w:rsid w:val="7FFBF4B0"/>
    <w:rsid w:val="8DFD2F0F"/>
    <w:rsid w:val="8FDD694A"/>
    <w:rsid w:val="9BCFCB81"/>
    <w:rsid w:val="9DBFF052"/>
    <w:rsid w:val="9DE306FC"/>
    <w:rsid w:val="ABD7708A"/>
    <w:rsid w:val="ABFB9A66"/>
    <w:rsid w:val="ADB3D4C8"/>
    <w:rsid w:val="ADEF9469"/>
    <w:rsid w:val="ADFE2A20"/>
    <w:rsid w:val="AEDF8584"/>
    <w:rsid w:val="AEFBA3D7"/>
    <w:rsid w:val="AFCFE84B"/>
    <w:rsid w:val="AFEC0151"/>
    <w:rsid w:val="B3E7A5D2"/>
    <w:rsid w:val="B3FF6CDB"/>
    <w:rsid w:val="B68F3A7D"/>
    <w:rsid w:val="B7FEEEA1"/>
    <w:rsid w:val="B7FF207C"/>
    <w:rsid w:val="B7FF9286"/>
    <w:rsid w:val="BB7D402E"/>
    <w:rsid w:val="BDF18647"/>
    <w:rsid w:val="BEDBAAF4"/>
    <w:rsid w:val="BF3EECC2"/>
    <w:rsid w:val="BF6F6937"/>
    <w:rsid w:val="BF79E1FD"/>
    <w:rsid w:val="BF9E794D"/>
    <w:rsid w:val="BFB903E5"/>
    <w:rsid w:val="BFDF1F2C"/>
    <w:rsid w:val="BFED0824"/>
    <w:rsid w:val="BFFF522F"/>
    <w:rsid w:val="BFFFB14B"/>
    <w:rsid w:val="CBDD76DC"/>
    <w:rsid w:val="CBFF8E14"/>
    <w:rsid w:val="CCFDB17A"/>
    <w:rsid w:val="CFAA6027"/>
    <w:rsid w:val="D35CC207"/>
    <w:rsid w:val="D3BF83FE"/>
    <w:rsid w:val="D5D67026"/>
    <w:rsid w:val="D77D6E1E"/>
    <w:rsid w:val="D7973E46"/>
    <w:rsid w:val="D7EECBC3"/>
    <w:rsid w:val="DB4969A7"/>
    <w:rsid w:val="DBA550B4"/>
    <w:rsid w:val="DDAEC3B7"/>
    <w:rsid w:val="DDEFB209"/>
    <w:rsid w:val="DDFF1546"/>
    <w:rsid w:val="DFAFDB0F"/>
    <w:rsid w:val="DFBEAEA6"/>
    <w:rsid w:val="DFDFDDA6"/>
    <w:rsid w:val="DFED4027"/>
    <w:rsid w:val="DFF60D02"/>
    <w:rsid w:val="DFF8DD9E"/>
    <w:rsid w:val="DFFF8BE6"/>
    <w:rsid w:val="E0F9F244"/>
    <w:rsid w:val="E4F501D3"/>
    <w:rsid w:val="E6FF8E55"/>
    <w:rsid w:val="E7F7DE2F"/>
    <w:rsid w:val="E7FDB0C1"/>
    <w:rsid w:val="EB6F6724"/>
    <w:rsid w:val="EBAE8EAC"/>
    <w:rsid w:val="EDBE140B"/>
    <w:rsid w:val="EE5AB2F8"/>
    <w:rsid w:val="EF37BC2B"/>
    <w:rsid w:val="EF3F448D"/>
    <w:rsid w:val="EF6B6A86"/>
    <w:rsid w:val="EFBE8269"/>
    <w:rsid w:val="EFD3313C"/>
    <w:rsid w:val="EFF328D4"/>
    <w:rsid w:val="EFFDF9F6"/>
    <w:rsid w:val="F0DE4608"/>
    <w:rsid w:val="F1DF3594"/>
    <w:rsid w:val="F1FE8B6C"/>
    <w:rsid w:val="F3735048"/>
    <w:rsid w:val="F37D31F9"/>
    <w:rsid w:val="F3FEB3A0"/>
    <w:rsid w:val="F6EAFA51"/>
    <w:rsid w:val="F75F55EE"/>
    <w:rsid w:val="F76D9EFF"/>
    <w:rsid w:val="F79F4471"/>
    <w:rsid w:val="F7CF8B15"/>
    <w:rsid w:val="F7D7F7E0"/>
    <w:rsid w:val="F7F86219"/>
    <w:rsid w:val="F7FFD162"/>
    <w:rsid w:val="F97C354E"/>
    <w:rsid w:val="F9DAB6ED"/>
    <w:rsid w:val="FBAFB1C8"/>
    <w:rsid w:val="FBD73BB4"/>
    <w:rsid w:val="FBDF9FDF"/>
    <w:rsid w:val="FCFE2FE6"/>
    <w:rsid w:val="FD3E888F"/>
    <w:rsid w:val="FD5DBF9D"/>
    <w:rsid w:val="FDB4B49C"/>
    <w:rsid w:val="FE3F9544"/>
    <w:rsid w:val="FEA61245"/>
    <w:rsid w:val="FEBBDF5B"/>
    <w:rsid w:val="FEBF6E70"/>
    <w:rsid w:val="FEDA75C9"/>
    <w:rsid w:val="FEED7EE5"/>
    <w:rsid w:val="FF5EAB98"/>
    <w:rsid w:val="FF6AAC0D"/>
    <w:rsid w:val="FF9FC0B6"/>
    <w:rsid w:val="FFB6CEF0"/>
    <w:rsid w:val="FFBF4678"/>
    <w:rsid w:val="FFD76421"/>
    <w:rsid w:val="FFDE9C13"/>
    <w:rsid w:val="FFDF567C"/>
    <w:rsid w:val="FFEF7E4F"/>
    <w:rsid w:val="FFF59CB7"/>
    <w:rsid w:val="FFFA73DD"/>
    <w:rsid w:val="FFFB588D"/>
    <w:rsid w:val="FFFCDF8D"/>
    <w:rsid w:val="FFFD9525"/>
    <w:rsid w:val="FFFDE5A1"/>
    <w:rsid w:val="FFFF9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101"/>
    <w:basedOn w:val="6"/>
    <w:qFormat/>
    <w:uiPriority w:val="0"/>
    <w:rPr>
      <w:rFonts w:hint="eastAsia" w:ascii="宋体" w:hAnsi="宋体" w:eastAsia="宋体" w:cs="宋体"/>
      <w:color w:val="FF0000"/>
      <w:sz w:val="32"/>
      <w:szCs w:val="32"/>
      <w:u w:val="none"/>
    </w:rPr>
  </w:style>
  <w:style w:type="character" w:customStyle="1" w:styleId="8">
    <w:name w:val="font91"/>
    <w:basedOn w:val="6"/>
    <w:qFormat/>
    <w:uiPriority w:val="0"/>
    <w:rPr>
      <w:rFonts w:hint="eastAsia" w:ascii="宋体" w:hAnsi="宋体" w:eastAsia="宋体" w:cs="宋体"/>
      <w:color w:val="FF0000"/>
      <w:sz w:val="32"/>
      <w:szCs w:val="32"/>
      <w:u w:val="none"/>
    </w:rPr>
  </w:style>
  <w:style w:type="character" w:customStyle="1" w:styleId="9">
    <w:name w:val="font41"/>
    <w:basedOn w:val="6"/>
    <w:qFormat/>
    <w:uiPriority w:val="0"/>
    <w:rPr>
      <w:rFonts w:hint="eastAsia" w:ascii="宋体" w:hAnsi="宋体" w:eastAsia="宋体" w:cs="宋体"/>
      <w:color w:val="000000"/>
      <w:sz w:val="32"/>
      <w:szCs w:val="32"/>
      <w:u w:val="none"/>
    </w:rPr>
  </w:style>
  <w:style w:type="character" w:customStyle="1" w:styleId="10">
    <w:name w:val="font51"/>
    <w:basedOn w:val="6"/>
    <w:qFormat/>
    <w:uiPriority w:val="0"/>
    <w:rPr>
      <w:rFonts w:hint="eastAsia" w:ascii="宋体" w:hAnsi="宋体" w:eastAsia="宋体" w:cs="宋体"/>
      <w:color w:val="000000"/>
      <w:sz w:val="28"/>
      <w:szCs w:val="28"/>
      <w:u w:val="none"/>
    </w:rPr>
  </w:style>
  <w:style w:type="character" w:customStyle="1" w:styleId="11">
    <w:name w:val="font81"/>
    <w:basedOn w:val="6"/>
    <w:qFormat/>
    <w:uiPriority w:val="0"/>
    <w:rPr>
      <w:rFonts w:hint="eastAsia" w:ascii="宋体" w:hAnsi="宋体" w:eastAsia="宋体" w:cs="宋体"/>
      <w:color w:val="000000"/>
      <w:sz w:val="32"/>
      <w:szCs w:val="32"/>
      <w:u w:val="none"/>
    </w:rPr>
  </w:style>
  <w:style w:type="character" w:customStyle="1" w:styleId="12">
    <w:name w:val="font121"/>
    <w:basedOn w:val="6"/>
    <w:qFormat/>
    <w:uiPriority w:val="0"/>
    <w:rPr>
      <w:rFonts w:hint="eastAsia" w:ascii="宋体" w:hAnsi="宋体" w:eastAsia="宋体" w:cs="宋体"/>
      <w:b/>
      <w:bCs/>
      <w:color w:val="000000"/>
      <w:sz w:val="32"/>
      <w:szCs w:val="32"/>
      <w:u w:val="none"/>
    </w:rPr>
  </w:style>
  <w:style w:type="character" w:customStyle="1" w:styleId="13">
    <w:name w:val="font131"/>
    <w:basedOn w:val="6"/>
    <w:qFormat/>
    <w:uiPriority w:val="0"/>
    <w:rPr>
      <w:rFonts w:ascii="PMingLiU" w:hAnsi="PMingLiU" w:eastAsia="PMingLiU" w:cs="PMingLiU"/>
      <w:color w:val="000000"/>
      <w:sz w:val="32"/>
      <w:szCs w:val="32"/>
      <w:u w:val="none"/>
    </w:rPr>
  </w:style>
  <w:style w:type="character" w:customStyle="1" w:styleId="14">
    <w:name w:val="font141"/>
    <w:basedOn w:val="6"/>
    <w:qFormat/>
    <w:uiPriority w:val="0"/>
    <w:rPr>
      <w:rFonts w:hint="eastAsia" w:ascii="PMingLiU" w:hAnsi="PMingLiU" w:eastAsia="PMingLiU" w:cs="PMingLiU"/>
      <w:color w:val="FF0000"/>
      <w:sz w:val="32"/>
      <w:szCs w:val="32"/>
      <w:u w:val="none"/>
    </w:rPr>
  </w:style>
  <w:style w:type="character" w:customStyle="1" w:styleId="15">
    <w:name w:val="font151"/>
    <w:basedOn w:val="6"/>
    <w:qFormat/>
    <w:uiPriority w:val="0"/>
    <w:rPr>
      <w:rFonts w:hint="eastAsia" w:ascii="宋体" w:hAnsi="宋体" w:eastAsia="宋体" w:cs="宋体"/>
      <w:color w:val="FF0000"/>
      <w:sz w:val="32"/>
      <w:szCs w:val="32"/>
      <w:u w:val="none"/>
    </w:rPr>
  </w:style>
  <w:style w:type="character" w:customStyle="1" w:styleId="16">
    <w:name w:val="font21"/>
    <w:basedOn w:val="6"/>
    <w:qFormat/>
    <w:uiPriority w:val="0"/>
    <w:rPr>
      <w:rFonts w:hint="eastAsia" w:ascii="宋体" w:hAnsi="宋体" w:eastAsia="宋体" w:cs="宋体"/>
      <w:color w:val="000000"/>
      <w:sz w:val="32"/>
      <w:szCs w:val="32"/>
      <w:u w:val="none"/>
    </w:rPr>
  </w:style>
  <w:style w:type="character" w:customStyle="1" w:styleId="17">
    <w:name w:val="font31"/>
    <w:qFormat/>
    <w:uiPriority w:val="0"/>
    <w:rPr>
      <w:rFonts w:hint="eastAsia" w:ascii="宋体" w:hAnsi="宋体" w:eastAsia="宋体" w:cs="宋体"/>
      <w:color w:val="000000"/>
      <w:sz w:val="32"/>
      <w:szCs w:val="32"/>
      <w:u w:val="none"/>
    </w:rPr>
  </w:style>
  <w:style w:type="character" w:customStyle="1" w:styleId="18">
    <w:name w:val="font61"/>
    <w:qFormat/>
    <w:uiPriority w:val="0"/>
    <w:rPr>
      <w:rFonts w:hint="eastAsia" w:ascii="宋体" w:hAnsi="宋体" w:eastAsia="宋体" w:cs="宋体"/>
      <w:color w:val="000000"/>
      <w:sz w:val="32"/>
      <w:szCs w:val="32"/>
      <w:u w:val="none"/>
    </w:rPr>
  </w:style>
  <w:style w:type="paragraph" w:customStyle="1" w:styleId="19">
    <w:name w:val="TiaoYinV2"/>
    <w:basedOn w:val="1"/>
    <w:qFormat/>
    <w:uiPriority w:val="0"/>
    <w:rPr>
      <w:color w:val="218FC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25</TotalTime>
  <ScaleCrop>false</ScaleCrop>
  <LinksUpToDate>false</LinksUpToDate>
  <CharactersWithSpaces>0</CharactersWithSpaces>
  <Application>WPS Office_11.8.2.12065_F1E327BC-269C-435d-A152-05C5408002CA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2024-04-17T23:07:00Z</dcterms:created>
  <dc:creator>Administrator</dc:creator>
  <cp:lastModifiedBy>a</cp:lastModifiedBy>
  <dcterms:modified xsi:type="dcterms:W3CDTF">2024-04-26T17:44:34Z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C44F394EE145235F82772B663C12138E</vt:lpwstr>
  </property>
</Properties>
</file>