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579" w:lineRule="exact"/>
        <w:jc w:val="both"/>
        <w:textAlignment w:val="baseline"/>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val="0"/>
        <w:autoSpaceDN w:val="0"/>
        <w:bidi w:val="0"/>
        <w:adjustRightInd w:val="0"/>
        <w:snapToGrid w:val="0"/>
        <w:spacing w:line="579" w:lineRule="exact"/>
        <w:jc w:val="both"/>
        <w:textAlignment w:val="baseline"/>
      </w:pPr>
    </w:p>
    <w:p>
      <w:pPr>
        <w:keepNext w:val="0"/>
        <w:keepLines w:val="0"/>
        <w:pageBreakBefore w:val="0"/>
        <w:widowControl w:val="0"/>
        <w:kinsoku/>
        <w:wordWrap/>
        <w:overflowPunct/>
        <w:topLinePunct w:val="0"/>
        <w:autoSpaceDE w:val="0"/>
        <w:autoSpaceDN w:val="0"/>
        <w:bidi w:val="0"/>
        <w:adjustRightInd w:val="0"/>
        <w:snapToGrid w:val="0"/>
        <w:spacing w:line="579"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广东省消防安全重点单位</w:t>
      </w:r>
      <w:r>
        <w:rPr>
          <w:rFonts w:hint="eastAsia" w:ascii="方正小标宋简体" w:hAnsi="方正小标宋简体" w:eastAsia="方正小标宋简体" w:cs="方正小标宋简体"/>
          <w:sz w:val="44"/>
          <w:szCs w:val="44"/>
          <w:lang w:eastAsia="zh-CN"/>
        </w:rPr>
        <w:t>和火灾高危单位</w:t>
      </w:r>
      <w:r>
        <w:rPr>
          <w:rFonts w:hint="eastAsia" w:ascii="方正小标宋简体" w:hAnsi="方正小标宋简体" w:eastAsia="方正小标宋简体" w:cs="方正小标宋简体"/>
          <w:sz w:val="44"/>
          <w:szCs w:val="44"/>
          <w:lang w:eastAsia="zh-CN"/>
        </w:rPr>
        <w:br w:type="textWrapping"/>
      </w:r>
      <w:r>
        <w:rPr>
          <w:rFonts w:hint="eastAsia" w:ascii="方正小标宋简体" w:hAnsi="方正小标宋简体" w:eastAsia="方正小标宋简体" w:cs="方正小标宋简体"/>
          <w:sz w:val="44"/>
          <w:szCs w:val="44"/>
        </w:rPr>
        <w:t>界定标准</w:t>
      </w:r>
    </w:p>
    <w:p>
      <w:pPr>
        <w:keepNext w:val="0"/>
        <w:keepLines w:val="0"/>
        <w:pageBreakBefore w:val="0"/>
        <w:widowControl w:val="0"/>
        <w:kinsoku/>
        <w:wordWrap/>
        <w:overflowPunct/>
        <w:topLinePunct w:val="0"/>
        <w:autoSpaceDE w:val="0"/>
        <w:autoSpaceDN w:val="0"/>
        <w:bidi w:val="0"/>
        <w:adjustRightInd w:val="0"/>
        <w:snapToGrid w:val="0"/>
        <w:spacing w:line="579" w:lineRule="exact"/>
        <w:jc w:val="both"/>
        <w:textAlignment w:val="baseline"/>
      </w:pP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广东省消防安全重点单位界定标准</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楷体" w:hAnsi="楷体" w:eastAsia="楷体" w:cs="楷体"/>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重要公共建筑</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地市级及以上的党委、人大、政府、政协、人民检察院、人民法院。</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设计使用人数或座位数超过1500人（座）的体育馆、会堂、影剧院、公共娱乐场所、证券交易所等公共室内场所。</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藏书量超过50万册的图书馆。</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pacing w:val="-6"/>
          <w:sz w:val="32"/>
          <w:szCs w:val="32"/>
        </w:rPr>
        <w:t>地市级及以上，且设有不可移动建筑物的文物保护单位。</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地市级及以上博物馆、展览馆、档案馆。</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省级及以上的银行等金融机构。</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省级及以上的广播电视台。</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住宿人数超过500人的寄宿制学校。</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pacing w:val="-11"/>
          <w:sz w:val="32"/>
          <w:szCs w:val="32"/>
        </w:rPr>
        <w:t>使用人数超过200人的幼儿园、托儿所、残障人员康复设施</w:t>
      </w:r>
      <w:r>
        <w:rPr>
          <w:rFonts w:hint="eastAsia" w:ascii="仿宋_GB2312" w:hAnsi="仿宋_GB2312" w:eastAsia="仿宋_GB2312" w:cs="仿宋_GB2312"/>
          <w:spacing w:val="-11"/>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150张床位及以上的医院、老年人照料设施。</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地下轨道交通车辆段、基地、控制中心和2条线路及以上的换乘枢纽站点。</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楷体" w:hAnsi="楷体" w:eastAsia="楷体" w:cs="楷体"/>
          <w:sz w:val="32"/>
          <w:szCs w:val="32"/>
          <w:lang w:eastAsia="zh-CN"/>
        </w:rPr>
      </w:pPr>
      <w:r>
        <w:rPr>
          <w:rFonts w:hint="eastAsia" w:ascii="楷体" w:hAnsi="楷体" w:eastAsia="楷体" w:cs="楷体"/>
          <w:sz w:val="32"/>
          <w:szCs w:val="32"/>
          <w:lang w:eastAsia="zh-CN"/>
        </w:rPr>
        <w:t>（二）其他公共建筑</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一类高层公共建筑。</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任一层建筑面积大于1500平方米或总建筑面积大于3000平方米的商店（商场）建筑（包含但不限于商业综合体、步行街、商店、市场、商业综合楼等）。</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任一层建筑面积大于1500平方米或总面积大于3000平方米的宾馆。</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任一层建筑面积大于1500平方米或总建筑面积大于3000平方米的餐饮场所（饭店）。</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候车厅、候船厅任一层建筑面积大于1500平方米或总建筑面积大于3000平方米的客运车站和客运码头</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民用机场。</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建筑面积大于1500平方米的城镇邮政、通信枢纽单位。</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国家和省级重点工程施工现场。</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部属、省属科研单位</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建筑面积在3000平方米以上的大型游客服务中心、大型高速公路服务区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监狱和司法行政戒毒所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楷体" w:hAnsi="楷体" w:eastAsia="楷体" w:cs="楷体"/>
          <w:sz w:val="32"/>
          <w:szCs w:val="32"/>
          <w:lang w:eastAsia="zh-CN"/>
        </w:rPr>
      </w:pPr>
      <w:r>
        <w:rPr>
          <w:rFonts w:hint="eastAsia" w:ascii="楷体" w:hAnsi="楷体" w:eastAsia="楷体" w:cs="楷体"/>
          <w:sz w:val="32"/>
          <w:szCs w:val="32"/>
          <w:lang w:eastAsia="zh-CN"/>
        </w:rPr>
        <w:t>（三）工业建筑</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装机容量200MW以上的火力发电厂，电压220kV以上的地区变电站、换流站，二级以上国家电网公司，设区的市级以上电力调度中心。</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设有单体建筑面积大于2000平方米的甲类厂房，或者单体建筑面积大于6000平方米的乙类厂房，或者单体建筑面积大于3000平方米乙类高层厂房的企业。</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日装瓶数量大于3000瓶的液化石油气储配站。</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设有占地面积大于300平方米的甲、乙类仓库，占地面积大于1500平方米或者总建筑面积大于3000平方米丙类仓库的企业。</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装置设备、罐区、建筑区占地面积大于10000平方米的易燃易爆化学物品生产、充装、储存、供应、销售企业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同一建筑内员工在100人以上的服装、鞋帽、玩具、食品加工、电子生产、医药、家具、电镀等劳动密集型生产、加工企业。</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国家储备粮库、总储量在10000吨以上的其他粮库。</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设有总储量500吨以上棉库的企业。</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设有总储量10000立方米以上木材堆场的企业。</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楷体" w:hAnsi="楷体" w:eastAsia="楷体" w:cs="楷体"/>
          <w:sz w:val="32"/>
          <w:szCs w:val="32"/>
          <w:lang w:eastAsia="zh-CN"/>
        </w:rPr>
      </w:pPr>
      <w:r>
        <w:rPr>
          <w:rFonts w:hint="eastAsia" w:ascii="楷体" w:hAnsi="楷体" w:eastAsia="楷体" w:cs="楷体"/>
          <w:sz w:val="32"/>
          <w:szCs w:val="32"/>
          <w:lang w:eastAsia="zh-CN"/>
        </w:rPr>
        <w:t>（四）其他发生火灾可能性较大以及一旦发生火灾可能造成重大人身伤亡或者财产损失的单位</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大型矿山企业。</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广东省火灾高危单位界定标准</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符合下列条件之一的消防安全重点单位应确定为火灾高危单位：</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建筑面积超过15000平方米的下列场所：</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商场、市场、会堂、展览馆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综合经营购物、餐饮、休闲、娱乐、会议、展览等3个以上项目的公众聚集场所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看台座位数量超过25000个的体育场，看台座位数量超过8000个的体育馆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建筑面积超过2000平方米的歌舞娱乐放映游艺场所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床位数超过500个的宾馆、饭店，床位数超过500个的医院、养老院、福利院，床位数超过10000个的寄宿制高等学校，床位数超过1000个的寄宿制中、小学校，床位数超过300个的寄宿制托儿所、幼儿园</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单个生产车间建筑面积超过20000平方米，且同一时间同一建筑物内从业人员数量超过1000人的劳动密集型企业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采用木结构或者砖木结构的全国重点文物保护单位</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生产、储存甲、乙</w:t>
      </w:r>
      <w:bookmarkStart w:id="0" w:name="_GoBack"/>
      <w:bookmarkEnd w:id="0"/>
      <w:r>
        <w:rPr>
          <w:rFonts w:hint="eastAsia" w:ascii="仿宋_GB2312" w:hAnsi="仿宋_GB2312" w:eastAsia="仿宋_GB2312" w:cs="仿宋_GB2312"/>
          <w:sz w:val="32"/>
          <w:szCs w:val="32"/>
        </w:rPr>
        <w:t>类液体总储量超过30000立方米，生产、储存甲、乙类气体总储量超过2500立方米，生产、储存甲、乙类固体、纤维总储量超过5000吨的单位，或者占地面积超过30000平方米的易燃易爆物品生产、储存单位，经营面积超过1000平方米的易燃易爆物品经营单位</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民用机场，候车室建筑面积超过10000平方米的火车站，候车（船）厅建筑面积超过2000平方米的客运车站及客运码头</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其他容易发生造成群死群伤、重大财产损失或重大社会影响的火灾的单位或场所。</w:t>
      </w:r>
    </w:p>
    <w:sectPr>
      <w:footerReference r:id="rId5" w:type="default"/>
      <w:footerReference r:id="rId6" w:type="even"/>
      <w:pgSz w:w="11906" w:h="16839"/>
      <w:pgMar w:top="2041" w:right="1531" w:bottom="2041" w:left="1531" w:header="850" w:footer="1531" w:gutter="0"/>
      <w:pgNumType w:fmt="decimal" w:start="45"/>
      <w:cols w:space="0" w:num="1"/>
      <w:rtlGutter w:val="0"/>
      <w:docGrid w:type="linesAndChars" w:linePitch="648" w:charSpace="-1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8105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810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lang w:val="en-US" w:eastAsia="zh-CN"/>
                            </w:rPr>
                            <w:t xml:space="preserve">— </w:t>
                          </w:r>
                          <w:r>
                            <w:rPr>
                              <w:rFonts w:hint="default" w:asciiTheme="minorEastAsia" w:hAnsiTheme="minorEastAsia" w:eastAsiaTheme="minorEastAsia" w:cstheme="minorEastAsia"/>
                              <w:sz w:val="28"/>
                              <w:szCs w:val="28"/>
                              <w:lang w:val="en-US" w:eastAsia="zh-CN"/>
                            </w:rPr>
                            <w:fldChar w:fldCharType="begin"/>
                          </w:r>
                          <w:r>
                            <w:rPr>
                              <w:rFonts w:hint="default" w:asciiTheme="minorEastAsia" w:hAnsiTheme="minorEastAsia" w:eastAsiaTheme="minorEastAsia" w:cstheme="minorEastAsia"/>
                              <w:sz w:val="28"/>
                              <w:szCs w:val="28"/>
                              <w:lang w:val="en-US" w:eastAsia="zh-CN"/>
                            </w:rPr>
                            <w:instrText xml:space="preserve"> PAGE  \* MERGEFORMAT </w:instrText>
                          </w:r>
                          <w:r>
                            <w:rPr>
                              <w:rFonts w:hint="default" w:asciiTheme="minorEastAsia" w:hAnsiTheme="minorEastAsia" w:eastAsiaTheme="minorEastAsia" w:cstheme="minorEastAsia"/>
                              <w:sz w:val="28"/>
                              <w:szCs w:val="28"/>
                              <w:lang w:val="en-US" w:eastAsia="zh-CN"/>
                            </w:rPr>
                            <w:fldChar w:fldCharType="separate"/>
                          </w:r>
                          <w:r>
                            <w:rPr>
                              <w:rFonts w:hint="default" w:asciiTheme="minorEastAsia" w:hAnsiTheme="minorEastAsia" w:eastAsiaTheme="minorEastAsia" w:cstheme="minorEastAsia"/>
                              <w:sz w:val="28"/>
                              <w:szCs w:val="28"/>
                              <w:lang w:val="en-US" w:eastAsia="zh-CN"/>
                            </w:rPr>
                            <w:t>45</w:t>
                          </w:r>
                          <w:r>
                            <w:rPr>
                              <w:rFonts w:hint="default" w:asciiTheme="minorEastAsia" w:hAnsiTheme="minorEastAsia" w:eastAsiaTheme="minorEastAsia" w:cstheme="minorEastAsia"/>
                              <w:sz w:val="28"/>
                              <w:szCs w:val="28"/>
                              <w:lang w:val="en-US" w:eastAsia="zh-CN"/>
                            </w:rPr>
                            <w:fldChar w:fldCharType="end"/>
                          </w:r>
                          <w:r>
                            <w:rPr>
                              <w:rFonts w:hint="default"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1.5pt;mso-position-horizontal:outside;mso-position-horizontal-relative:margin;z-index:251659264;mso-width-relative:page;mso-height-relative:page;" filled="f" stroked="f" coordsize="21600,21600" o:gfxdata="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COPxfd1gAAAAgBAAAPAAAAAAAAAAEA&#10;IAAAADgAAABkcnMvZG93bnJldi54bWxQSwECFAAUAAAACACHTuJAJCe3rTQCAABiBAAADgAAAAAA&#10;AAABACAAAAA7AQAAZHJzL2Uyb0RvYy54bWxQSwUGAAAAAAYABgBZAQAA4QUAAAAA&#10;">
              <v:fill on="f" focussize="0,0"/>
              <v:stroke on="f" weight="0.5pt"/>
              <v:imagedata o:title=""/>
              <o:lock v:ext="edit" aspectratio="f"/>
              <v:textbox inset="0mm,0mm,0mm,0mm" style="mso-fit-shape-to-text:t;">
                <w:txbxContent>
                  <w:p>
                    <w:pPr>
                      <w:pStyle w:val="3"/>
                      <w:rPr>
                        <w:rFonts w:hint="default"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lang w:val="en-US" w:eastAsia="zh-CN"/>
                      </w:rPr>
                      <w:t xml:space="preserve">— </w:t>
                    </w:r>
                    <w:r>
                      <w:rPr>
                        <w:rFonts w:hint="default" w:asciiTheme="minorEastAsia" w:hAnsiTheme="minorEastAsia" w:eastAsiaTheme="minorEastAsia" w:cstheme="minorEastAsia"/>
                        <w:sz w:val="28"/>
                        <w:szCs w:val="28"/>
                        <w:lang w:val="en-US" w:eastAsia="zh-CN"/>
                      </w:rPr>
                      <w:fldChar w:fldCharType="begin"/>
                    </w:r>
                    <w:r>
                      <w:rPr>
                        <w:rFonts w:hint="default" w:asciiTheme="minorEastAsia" w:hAnsiTheme="minorEastAsia" w:eastAsiaTheme="minorEastAsia" w:cstheme="minorEastAsia"/>
                        <w:sz w:val="28"/>
                        <w:szCs w:val="28"/>
                        <w:lang w:val="en-US" w:eastAsia="zh-CN"/>
                      </w:rPr>
                      <w:instrText xml:space="preserve"> PAGE  \* MERGEFORMAT </w:instrText>
                    </w:r>
                    <w:r>
                      <w:rPr>
                        <w:rFonts w:hint="default" w:asciiTheme="minorEastAsia" w:hAnsiTheme="minorEastAsia" w:eastAsiaTheme="minorEastAsia" w:cstheme="minorEastAsia"/>
                        <w:sz w:val="28"/>
                        <w:szCs w:val="28"/>
                        <w:lang w:val="en-US" w:eastAsia="zh-CN"/>
                      </w:rPr>
                      <w:fldChar w:fldCharType="separate"/>
                    </w:r>
                    <w:r>
                      <w:rPr>
                        <w:rFonts w:hint="default" w:asciiTheme="minorEastAsia" w:hAnsiTheme="minorEastAsia" w:eastAsiaTheme="minorEastAsia" w:cstheme="minorEastAsia"/>
                        <w:sz w:val="28"/>
                        <w:szCs w:val="28"/>
                        <w:lang w:val="en-US" w:eastAsia="zh-CN"/>
                      </w:rPr>
                      <w:t>45</w:t>
                    </w:r>
                    <w:r>
                      <w:rPr>
                        <w:rFonts w:hint="default" w:asciiTheme="minorEastAsia" w:hAnsiTheme="minorEastAsia" w:eastAsiaTheme="minorEastAsia" w:cstheme="minorEastAsia"/>
                        <w:sz w:val="28"/>
                        <w:szCs w:val="28"/>
                        <w:lang w:val="en-US" w:eastAsia="zh-CN"/>
                      </w:rPr>
                      <w:fldChar w:fldCharType="end"/>
                    </w:r>
                    <w:r>
                      <w:rPr>
                        <w:rFonts w:hint="default"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105"/>
        <w:tab w:val="clear" w:pos="4153"/>
      </w:tabs>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X8imvdwCAAAkBgAADgAAAAAAAAABACAAAAA1&#10;AQAAZHJzL2Uyb0RvYy54bWxQSwUGAAAAAAYABgBZAQAAgwYAAAAA&#10;">
              <v:fill on="f" focussize="0,0"/>
              <v:stroke on="f" weight="0.5pt"/>
              <v:imagedata o:title=""/>
              <o:lock v:ext="edit" aspectratio="f"/>
              <v:textbox inset="0mm,0mm,0mm,0mm" style="mso-fit-shape-to-text:t;">
                <w:txbxContent>
                  <w:p>
                    <w:pPr>
                      <w:pStyle w:val="3"/>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eastAsia="宋体"/>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evenAndOddHeaders w:val="1"/>
  <w:drawingGridHorizontalSpacing w:val="160"/>
  <w:drawingGridVerticalSpacing w:val="324"/>
  <w:displayHorizontalDrawingGridEvery w:val="2"/>
  <w:displayVerticalDrawingGridEvery w:val="2"/>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DViY2JkMjU3NGYzZTEwMzZmMGFkZWViYmNkYWU3NDIifQ=="/>
  </w:docVars>
  <w:rsids>
    <w:rsidRoot w:val="00000000"/>
    <w:rsid w:val="2A3D393F"/>
    <w:rsid w:val="3577B1B9"/>
    <w:rsid w:val="7558C9C3"/>
    <w:rsid w:val="7DEC6B1F"/>
    <w:rsid w:val="7F3735A7"/>
    <w:rsid w:val="D7BACB4C"/>
    <w:rsid w:val="FDFF93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32"/>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24</TotalTime>
  <ScaleCrop>false</ScaleCrop>
  <LinksUpToDate>false</LinksUpToDate>
  <Application>WPS Office_11.8.2.12065_F1E327BC-269C-435d-A152-05C5408002CA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2023-12-13T01:55:00Z</dcterms:created>
  <dc:creator>姚炯</dc:creator>
  <cp:lastModifiedBy>USER</cp:lastModifiedBy>
  <cp:lastPrinted>2024-03-29T05:23:00Z</cp:lastPrinted>
  <dcterms:modified xsi:type="dcterms:W3CDTF">2024-04-01T11:53:04Z</dcterms:modified>
  <dc:title>广东省消防安全领域专项整治总体工作方案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2023-12-11T18:28:34Z</vt:filetime>
  </property>
  <property fmtid="{D5CDD505-2E9C-101B-9397-08002B2CF9AE}" pid="4" name="KSOProductBuildVer">
    <vt:lpwstr>2052-11.8.2.12065</vt:lpwstr>
  </property>
  <property fmtid="{D5CDD505-2E9C-101B-9397-08002B2CF9AE}" pid="5" name="ICV">
    <vt:lpwstr>89D9BECC2A2D44E79234F50AD67B8E2A_12</vt:lpwstr>
  </property>
</Properties>
</file>