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2.45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.73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、</w:t>
      </w:r>
      <w:r>
        <w:rPr>
          <w:color w:val="auto"/>
          <w:kern w:val="0"/>
        </w:rPr>
        <w:t>NO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eastAsia="zh-CN"/>
        </w:rPr>
        <w:t>和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  <w:highlight w:val="cyan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96.4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eastAsia="zh-CN"/>
        </w:rPr>
        <w:t>同期持平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,</w:t>
      </w:r>
      <w:bookmarkStart w:id="0" w:name="_GoBack"/>
      <w:bookmarkEnd w:id="0"/>
      <w:r>
        <w:rPr>
          <w:rFonts w:hint="eastAsia" w:ascii="仿宋_GB2312"/>
          <w:lang w:val="en-US" w:eastAsia="zh-CN"/>
        </w:rPr>
        <w:t>轻度污染1天；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3.1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71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8</w:t>
      </w:r>
      <w:r>
        <w:rPr>
          <w:rFonts w:hint="eastAsia" w:ascii="仿宋_GB2312"/>
          <w:color w:val="FF0000"/>
          <w:highlight w:val="none"/>
        </w:rPr>
        <w:t>.</w:t>
      </w:r>
      <w:r>
        <w:rPr>
          <w:rFonts w:hint="eastAsia" w:ascii="仿宋_GB2312"/>
          <w:color w:val="FF0000"/>
          <w:highlight w:val="none"/>
          <w:lang w:val="en-US" w:eastAsia="zh-CN"/>
        </w:rPr>
        <w:t>3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上升1.7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59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34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58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增加1天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2" name="图片 2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22C477E0"/>
    <w:rsid w:val="2325115D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AAC227D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6A2358CF"/>
    <w:rsid w:val="711100C9"/>
    <w:rsid w:val="776E31C7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2022-03-02T08:12:01Z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9EC4F67F765A4E299227E7A221047BD9</vt:lpwstr>
  </property>
</Properties>
</file>