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atLeast"/>
        <w:jc w:val="both"/>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70" w:lineRule="atLeast"/>
        <w:ind w:firstLine="0" w:firstLineChars="0"/>
        <w:jc w:val="center"/>
        <w:textAlignment w:val="auto"/>
        <w:rPr>
          <w:rFonts w:hint="eastAsia" w:ascii="宋体" w:hAnsi="宋体" w:eastAsia="宋体" w:cs="宋体"/>
          <w:b w:val="0"/>
          <w:bCs/>
          <w:sz w:val="44"/>
          <w:szCs w:val="44"/>
        </w:rPr>
      </w:pPr>
      <w:r>
        <w:rPr>
          <w:rFonts w:hint="eastAsia" w:ascii="宋体" w:hAnsi="宋体" w:eastAsia="宋体" w:cs="宋体"/>
          <w:b w:val="0"/>
          <w:bCs/>
          <w:sz w:val="44"/>
          <w:szCs w:val="44"/>
        </w:rPr>
        <w:t>珠海经济特区互联网租赁自行车管理办法</w:t>
      </w:r>
    </w:p>
    <w:p>
      <w:pPr>
        <w:keepNext w:val="0"/>
        <w:keepLines w:val="0"/>
        <w:pageBreakBefore w:val="0"/>
        <w:widowControl w:val="0"/>
        <w:kinsoku/>
        <w:wordWrap/>
        <w:overflowPunct/>
        <w:topLinePunct w:val="0"/>
        <w:autoSpaceDE/>
        <w:autoSpaceDN/>
        <w:bidi w:val="0"/>
        <w:adjustRightInd/>
        <w:snapToGrid/>
        <w:spacing w:line="570" w:lineRule="atLeast"/>
        <w:ind w:firstLine="0" w:firstLineChars="0"/>
        <w:jc w:val="center"/>
        <w:textAlignment w:val="auto"/>
        <w:rPr>
          <w:rFonts w:hint="eastAsia" w:ascii="宋体" w:hAnsi="宋体" w:eastAsia="宋体" w:cs="宋体"/>
          <w:b w:val="0"/>
          <w:bCs/>
          <w:sz w:val="44"/>
          <w:szCs w:val="44"/>
        </w:rPr>
      </w:pPr>
    </w:p>
    <w:p>
      <w:pPr>
        <w:keepNext w:val="0"/>
        <w:keepLines w:val="0"/>
        <w:pageBreakBefore w:val="0"/>
        <w:widowControl w:val="0"/>
        <w:kinsoku/>
        <w:wordWrap/>
        <w:overflowPunct/>
        <w:topLinePunct w:val="0"/>
        <w:autoSpaceDE/>
        <w:autoSpaceDN/>
        <w:bidi w:val="0"/>
        <w:adjustRightInd/>
        <w:snapToGrid/>
        <w:spacing w:line="570" w:lineRule="atLeas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(2019年12月10日珠海市人民政府九届60次常务会议审议通过</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2019年12月23日珠海市人民政府令第</w:t>
      </w:r>
      <w:r>
        <w:rPr>
          <w:rFonts w:hint="eastAsia" w:ascii="楷体_GB2312" w:hAnsi="楷体_GB2312" w:eastAsia="楷体_GB2312" w:cs="楷体_GB2312"/>
          <w:sz w:val="32"/>
          <w:szCs w:val="32"/>
          <w:lang w:val="en-US" w:eastAsia="zh-CN"/>
        </w:rPr>
        <w:t>126</w:t>
      </w:r>
      <w:r>
        <w:rPr>
          <w:rFonts w:hint="eastAsia" w:ascii="楷体_GB2312" w:hAnsi="楷体_GB2312" w:eastAsia="楷体_GB2312" w:cs="楷体_GB2312"/>
          <w:sz w:val="32"/>
          <w:szCs w:val="32"/>
        </w:rPr>
        <w:t>号</w:t>
      </w:r>
      <w:r>
        <w:rPr>
          <w:rFonts w:hint="eastAsia" w:ascii="楷体_GB2312" w:hAnsi="楷体_GB2312" w:eastAsia="楷体_GB2312" w:cs="楷体_GB2312"/>
          <w:sz w:val="32"/>
          <w:szCs w:val="32"/>
          <w:lang w:eastAsia="zh-CN"/>
        </w:rPr>
        <w:t>公布</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自2020年2月1日起施行)</w:t>
      </w:r>
    </w:p>
    <w:p>
      <w:pPr>
        <w:pageBreakBefore w:val="0"/>
        <w:widowControl w:val="0"/>
        <w:kinsoku/>
        <w:wordWrap/>
        <w:overflowPunct/>
        <w:topLinePunct w:val="0"/>
        <w:autoSpaceDE/>
        <w:autoSpaceDN/>
        <w:bidi w:val="0"/>
        <w:adjustRightInd/>
        <w:snapToGrid/>
        <w:spacing w:line="570" w:lineRule="atLeast"/>
        <w:ind w:firstLine="640" w:firstLineChars="200"/>
        <w:textAlignment w:val="auto"/>
        <w:rPr>
          <w:rFonts w:hint="eastAsia" w:ascii="楷体_GB2312" w:hAnsi="楷体_GB2312" w:eastAsia="楷体_GB2312" w:cs="楷体_GB2312"/>
          <w:sz w:val="32"/>
          <w:szCs w:val="32"/>
        </w:rPr>
      </w:pPr>
    </w:p>
    <w:p>
      <w:pPr>
        <w:pStyle w:val="8"/>
        <w:bidi w:val="0"/>
        <w:rPr>
          <w:rFonts w:hint="eastAsia"/>
          <w:lang w:val="en-US" w:eastAsia="zh-CN"/>
        </w:rPr>
      </w:pPr>
      <w:r>
        <w:rPr>
          <w:rStyle w:val="12"/>
          <w:rFonts w:hint="eastAsia"/>
          <w:lang w:val="en-US" w:eastAsia="zh-CN"/>
        </w:rPr>
        <w:t>第一条</w:t>
      </w:r>
      <w:r>
        <w:rPr>
          <w:rFonts w:hint="eastAsia"/>
          <w:lang w:val="en-US" w:eastAsia="zh-CN"/>
        </w:rPr>
        <w:t xml:space="preserve"> 为了加强互联网租赁自行车管理，保障市民出行安全便利，维护良好的城市公共秩序，根据有关法律、行政法规的基本原则，结合珠海经济特区实际，制定本办法。</w:t>
      </w:r>
    </w:p>
    <w:p>
      <w:pPr>
        <w:pStyle w:val="8"/>
        <w:bidi w:val="0"/>
        <w:rPr>
          <w:rFonts w:hint="eastAsia"/>
          <w:lang w:val="en-US" w:eastAsia="zh-CN"/>
        </w:rPr>
      </w:pPr>
      <w:r>
        <w:rPr>
          <w:rStyle w:val="12"/>
          <w:rFonts w:hint="eastAsia"/>
          <w:lang w:val="en-US" w:eastAsia="zh-CN"/>
        </w:rPr>
        <w:t>第二条</w:t>
      </w:r>
      <w:r>
        <w:rPr>
          <w:rFonts w:hint="eastAsia"/>
          <w:lang w:val="en-US" w:eastAsia="zh-CN"/>
        </w:rPr>
        <w:t xml:space="preserve"> 本办法适用于本市行政区域内互联网租赁自行车的经营、服务、使用及其监督管理等活动。</w:t>
      </w:r>
    </w:p>
    <w:p>
      <w:pPr>
        <w:pStyle w:val="8"/>
        <w:bidi w:val="0"/>
        <w:rPr>
          <w:rFonts w:hint="eastAsia"/>
          <w:lang w:val="en-US" w:eastAsia="zh-CN"/>
        </w:rPr>
      </w:pPr>
      <w:r>
        <w:rPr>
          <w:rStyle w:val="12"/>
          <w:rFonts w:hint="eastAsia"/>
          <w:lang w:val="en-US" w:eastAsia="zh-CN"/>
        </w:rPr>
        <w:t>第三条</w:t>
      </w:r>
      <w:r>
        <w:rPr>
          <w:rFonts w:hint="eastAsia"/>
          <w:lang w:val="en-US" w:eastAsia="zh-CN"/>
        </w:rPr>
        <w:t xml:space="preserve"> 本市互联网租赁自行车管理坚持属地管理、企业负责、行业自律、公众参与的原则。 </w:t>
      </w:r>
    </w:p>
    <w:p>
      <w:pPr>
        <w:pStyle w:val="8"/>
        <w:bidi w:val="0"/>
        <w:rPr>
          <w:rFonts w:hint="eastAsia"/>
          <w:lang w:val="en-US" w:eastAsia="zh-CN"/>
        </w:rPr>
      </w:pPr>
      <w:r>
        <w:rPr>
          <w:rStyle w:val="12"/>
          <w:rFonts w:hint="eastAsia"/>
          <w:lang w:val="en-US" w:eastAsia="zh-CN"/>
        </w:rPr>
        <w:t>第四条</w:t>
      </w:r>
      <w:r>
        <w:rPr>
          <w:rFonts w:hint="eastAsia"/>
          <w:lang w:val="en-US" w:eastAsia="zh-CN"/>
        </w:rPr>
        <w:t xml:space="preserve"> 市、区城市管理行政主管部门（以下简称市、区城市管理部门）依职责分工负责互联网租赁自行车统筹协调和监督管理，指导互联网租赁自行车投放秩序、依法查处互联网租赁自行车影响市容的违法行为。</w:t>
      </w:r>
      <w:bookmarkStart w:id="0" w:name="_GoBack"/>
      <w:bookmarkEnd w:id="0"/>
    </w:p>
    <w:p>
      <w:pPr>
        <w:pStyle w:val="8"/>
        <w:bidi w:val="0"/>
        <w:rPr>
          <w:rFonts w:hint="eastAsia"/>
          <w:lang w:val="en-US" w:eastAsia="zh-CN"/>
        </w:rPr>
      </w:pPr>
      <w:r>
        <w:rPr>
          <w:rFonts w:hint="eastAsia"/>
          <w:lang w:val="en-US" w:eastAsia="zh-CN"/>
        </w:rPr>
        <w:t>发改、公安、建设、交通、教育、市场监管等部门按照各自职责做好互联网租赁自行车的管理工作。</w:t>
      </w:r>
    </w:p>
    <w:p>
      <w:pPr>
        <w:pStyle w:val="8"/>
        <w:bidi w:val="0"/>
        <w:rPr>
          <w:rFonts w:hint="eastAsia"/>
          <w:lang w:val="en-US" w:eastAsia="zh-CN"/>
        </w:rPr>
      </w:pPr>
      <w:r>
        <w:rPr>
          <w:rStyle w:val="12"/>
          <w:rFonts w:hint="eastAsia"/>
          <w:lang w:val="en-US" w:eastAsia="zh-CN"/>
        </w:rPr>
        <w:t>第五条</w:t>
      </w:r>
      <w:r>
        <w:rPr>
          <w:rFonts w:hint="eastAsia"/>
          <w:lang w:val="en-US" w:eastAsia="zh-CN"/>
        </w:rPr>
        <w:t xml:space="preserve"> 区人民政府（以下简称区政府）负责在所辖区域内组织实施本办法，具体履行下列职责：</w:t>
      </w:r>
    </w:p>
    <w:p>
      <w:pPr>
        <w:pStyle w:val="8"/>
        <w:bidi w:val="0"/>
        <w:rPr>
          <w:rFonts w:hint="eastAsia"/>
          <w:lang w:val="en-US" w:eastAsia="zh-CN"/>
        </w:rPr>
      </w:pPr>
      <w:r>
        <w:rPr>
          <w:rFonts w:hint="eastAsia"/>
          <w:lang w:val="en-US" w:eastAsia="zh-CN"/>
        </w:rPr>
        <w:t>（一）对互联网租赁自行车实行网格化管理，在本辖区内划定停放点、禁停区域和路段；</w:t>
      </w:r>
    </w:p>
    <w:p>
      <w:pPr>
        <w:pStyle w:val="8"/>
        <w:bidi w:val="0"/>
        <w:rPr>
          <w:rFonts w:hint="eastAsia"/>
          <w:lang w:val="en-US" w:eastAsia="zh-CN"/>
        </w:rPr>
      </w:pPr>
      <w:r>
        <w:rPr>
          <w:rFonts w:hint="eastAsia"/>
          <w:lang w:val="en-US" w:eastAsia="zh-CN"/>
        </w:rPr>
        <w:t>（二）划分街区实施分级管控，规范互联网租赁自行车日常停放秩序；</w:t>
      </w:r>
    </w:p>
    <w:p>
      <w:pPr>
        <w:pStyle w:val="8"/>
        <w:bidi w:val="0"/>
        <w:rPr>
          <w:rFonts w:hint="eastAsia"/>
          <w:lang w:val="en-US" w:eastAsia="zh-CN"/>
        </w:rPr>
      </w:pPr>
      <w:r>
        <w:rPr>
          <w:rFonts w:hint="eastAsia"/>
          <w:lang w:val="en-US" w:eastAsia="zh-CN"/>
        </w:rPr>
        <w:t>（三）对互联网租赁自行车运营企业（以下简称运营企业）在辖区内的互联网租赁自行车投放实施总量调控，进行配额管理与日常考核；</w:t>
      </w:r>
    </w:p>
    <w:p>
      <w:pPr>
        <w:pStyle w:val="8"/>
        <w:bidi w:val="0"/>
        <w:rPr>
          <w:rFonts w:hint="eastAsia"/>
          <w:lang w:val="en-US" w:eastAsia="zh-CN"/>
        </w:rPr>
      </w:pPr>
      <w:r>
        <w:rPr>
          <w:rFonts w:hint="eastAsia"/>
          <w:lang w:val="en-US" w:eastAsia="zh-CN"/>
        </w:rPr>
        <w:t>（四）举行重大活动或者遇到重大节假日等特殊情况，制定互联网租赁自行车管理专项方案，并根据交通管理的需要，及时调整互联网租赁自行车分流、调度、投放方案。</w:t>
      </w:r>
    </w:p>
    <w:p>
      <w:pPr>
        <w:pStyle w:val="8"/>
        <w:bidi w:val="0"/>
        <w:rPr>
          <w:rFonts w:hint="eastAsia"/>
          <w:lang w:val="en-US" w:eastAsia="zh-CN"/>
        </w:rPr>
      </w:pPr>
      <w:r>
        <w:rPr>
          <w:rFonts w:hint="eastAsia"/>
          <w:lang w:val="en-US" w:eastAsia="zh-CN"/>
        </w:rPr>
        <w:t xml:space="preserve">横琴新区、经济功能区管理机构履行区政府职责。                                 </w:t>
      </w:r>
    </w:p>
    <w:p>
      <w:pPr>
        <w:pStyle w:val="8"/>
        <w:bidi w:val="0"/>
        <w:rPr>
          <w:rFonts w:hint="eastAsia"/>
          <w:lang w:val="en-US" w:eastAsia="zh-CN"/>
        </w:rPr>
      </w:pPr>
      <w:r>
        <w:rPr>
          <w:rStyle w:val="12"/>
          <w:rFonts w:hint="eastAsia"/>
          <w:lang w:val="en-US" w:eastAsia="zh-CN"/>
        </w:rPr>
        <w:t>第六条</w:t>
      </w:r>
      <w:r>
        <w:rPr>
          <w:rFonts w:hint="eastAsia"/>
          <w:lang w:val="en-US" w:eastAsia="zh-CN"/>
        </w:rPr>
        <w:t xml:space="preserve"> 区政府划定本辖区内公共区域互联网租赁自行车的停放点。</w:t>
      </w:r>
    </w:p>
    <w:p>
      <w:pPr>
        <w:pStyle w:val="8"/>
        <w:bidi w:val="0"/>
        <w:rPr>
          <w:rFonts w:hint="eastAsia"/>
          <w:lang w:val="en-US" w:eastAsia="zh-CN"/>
        </w:rPr>
      </w:pPr>
      <w:r>
        <w:rPr>
          <w:rFonts w:hint="eastAsia"/>
          <w:lang w:val="en-US" w:eastAsia="zh-CN"/>
        </w:rPr>
        <w:t>区政府在码头、口岸、机场、轨道交通车站等重要交通枢纽站以及旅游景点、商业区、体育场馆、会议中心等人流密集场所划定互联网租赁自行车停放点应当听取相关业主单位的意见。业主单位应当引导互联网租赁自行车用户（以下简称用户）文明、规范停放。</w:t>
      </w:r>
    </w:p>
    <w:p>
      <w:pPr>
        <w:pStyle w:val="8"/>
        <w:bidi w:val="0"/>
        <w:rPr>
          <w:rFonts w:hint="eastAsia"/>
          <w:lang w:val="en-US" w:eastAsia="zh-CN"/>
        </w:rPr>
      </w:pPr>
      <w:r>
        <w:rPr>
          <w:rFonts w:hint="eastAsia"/>
          <w:lang w:val="en-US" w:eastAsia="zh-CN"/>
        </w:rPr>
        <w:t>医院、学校、机关事业单位、住宅小区可以在本物业范围内划设互联网租赁自行车停放点。</w:t>
      </w:r>
    </w:p>
    <w:p>
      <w:pPr>
        <w:pStyle w:val="8"/>
        <w:bidi w:val="0"/>
        <w:rPr>
          <w:rFonts w:hint="eastAsia"/>
          <w:lang w:val="en-US" w:eastAsia="zh-CN"/>
        </w:rPr>
      </w:pPr>
      <w:r>
        <w:rPr>
          <w:rStyle w:val="12"/>
          <w:rFonts w:hint="eastAsia"/>
          <w:lang w:val="en-US" w:eastAsia="zh-CN"/>
        </w:rPr>
        <w:t>第七条</w:t>
      </w:r>
      <w:r>
        <w:rPr>
          <w:rFonts w:hint="eastAsia"/>
          <w:lang w:val="en-US" w:eastAsia="zh-CN"/>
        </w:rPr>
        <w:t xml:space="preserve"> 本市互联网租赁自行车投放由各区实施总量调控，总量调控方案由区政府制定，并在区政府门户网站公布。</w:t>
      </w:r>
    </w:p>
    <w:p>
      <w:pPr>
        <w:pStyle w:val="8"/>
        <w:bidi w:val="0"/>
        <w:rPr>
          <w:rFonts w:hint="eastAsia"/>
          <w:lang w:val="en-US" w:eastAsia="zh-CN"/>
        </w:rPr>
      </w:pPr>
      <w:r>
        <w:rPr>
          <w:rStyle w:val="12"/>
          <w:rFonts w:hint="eastAsia"/>
          <w:lang w:val="en-US" w:eastAsia="zh-CN"/>
        </w:rPr>
        <w:t>第八条</w:t>
      </w:r>
      <w:r>
        <w:rPr>
          <w:rFonts w:hint="eastAsia"/>
          <w:lang w:val="en-US" w:eastAsia="zh-CN"/>
        </w:rPr>
        <w:t xml:space="preserve"> 区政府根据运营企业报送运营方案的先后顺序和社会信用情况进行投放数量配额管理。</w:t>
      </w:r>
    </w:p>
    <w:p>
      <w:pPr>
        <w:pStyle w:val="8"/>
        <w:bidi w:val="0"/>
        <w:rPr>
          <w:rFonts w:hint="eastAsia"/>
          <w:lang w:val="en-US" w:eastAsia="zh-CN"/>
        </w:rPr>
      </w:pPr>
      <w:r>
        <w:rPr>
          <w:rFonts w:hint="eastAsia"/>
          <w:lang w:val="en-US" w:eastAsia="zh-CN"/>
        </w:rPr>
        <w:t>配额管理方案由区政府根据所辖区域人口分布、公共空间承载能力、市民出行需求、公共交通布局等因素制定，并在区政府门户网站上公布。</w:t>
      </w:r>
    </w:p>
    <w:p>
      <w:pPr>
        <w:pStyle w:val="8"/>
        <w:bidi w:val="0"/>
        <w:rPr>
          <w:rFonts w:hint="eastAsia"/>
          <w:lang w:val="en-US" w:eastAsia="zh-CN"/>
        </w:rPr>
      </w:pPr>
      <w:r>
        <w:rPr>
          <w:rFonts w:hint="eastAsia"/>
          <w:lang w:val="en-US" w:eastAsia="zh-CN"/>
        </w:rPr>
        <w:t>区政府应当开展日常实地检查及抽查，并根据运营企业运营管理、服务质量、违法惩戒等情形，对运营企业实行动态增减配额。</w:t>
      </w:r>
    </w:p>
    <w:p>
      <w:pPr>
        <w:pStyle w:val="8"/>
        <w:bidi w:val="0"/>
        <w:rPr>
          <w:rFonts w:hint="eastAsia"/>
          <w:lang w:val="en-US" w:eastAsia="zh-CN"/>
        </w:rPr>
      </w:pPr>
      <w:r>
        <w:rPr>
          <w:rStyle w:val="12"/>
          <w:rFonts w:hint="eastAsia"/>
          <w:lang w:val="en-US" w:eastAsia="zh-CN"/>
        </w:rPr>
        <w:t>第九条</w:t>
      </w:r>
      <w:r>
        <w:rPr>
          <w:rFonts w:hint="eastAsia"/>
          <w:lang w:val="en-US" w:eastAsia="zh-CN"/>
        </w:rPr>
        <w:t xml:space="preserve"> 区政府应当与运营企业签订协议，就运营方案、日常维护、电子标签、用户管理等事项进行约定。</w:t>
      </w:r>
    </w:p>
    <w:p>
      <w:pPr>
        <w:pStyle w:val="8"/>
        <w:bidi w:val="0"/>
        <w:rPr>
          <w:rFonts w:hint="eastAsia"/>
          <w:lang w:val="en-US" w:eastAsia="zh-CN"/>
        </w:rPr>
      </w:pPr>
      <w:r>
        <w:rPr>
          <w:rStyle w:val="12"/>
          <w:rFonts w:hint="eastAsia"/>
          <w:lang w:val="en-US" w:eastAsia="zh-CN"/>
        </w:rPr>
        <w:t>第十条</w:t>
      </w:r>
      <w:r>
        <w:rPr>
          <w:rFonts w:hint="eastAsia"/>
          <w:lang w:val="en-US" w:eastAsia="zh-CN"/>
        </w:rPr>
        <w:t xml:space="preserve"> 运营企业运营方案应当包含以下内容：</w:t>
      </w:r>
    </w:p>
    <w:p>
      <w:pPr>
        <w:pStyle w:val="8"/>
        <w:bidi w:val="0"/>
        <w:rPr>
          <w:rFonts w:hint="eastAsia"/>
          <w:lang w:val="en-US" w:eastAsia="zh-CN"/>
        </w:rPr>
      </w:pPr>
      <w:r>
        <w:rPr>
          <w:rFonts w:hint="eastAsia"/>
          <w:lang w:val="en-US" w:eastAsia="zh-CN"/>
        </w:rPr>
        <w:t>（一）运营企业总部注册的商事主体登记信息；</w:t>
      </w:r>
    </w:p>
    <w:p>
      <w:pPr>
        <w:pStyle w:val="8"/>
        <w:bidi w:val="0"/>
        <w:rPr>
          <w:rFonts w:hint="eastAsia"/>
          <w:lang w:val="en-US" w:eastAsia="zh-CN"/>
        </w:rPr>
      </w:pPr>
      <w:r>
        <w:rPr>
          <w:rFonts w:hint="eastAsia"/>
          <w:lang w:val="en-US" w:eastAsia="zh-CN"/>
        </w:rPr>
        <w:t>（二）运营企业在本市的负责人身份证明、联系方式，以及办公场地信息；</w:t>
      </w:r>
    </w:p>
    <w:p>
      <w:pPr>
        <w:pStyle w:val="8"/>
        <w:bidi w:val="0"/>
        <w:rPr>
          <w:rFonts w:hint="eastAsia"/>
          <w:lang w:val="en-US" w:eastAsia="zh-CN"/>
        </w:rPr>
      </w:pPr>
      <w:r>
        <w:rPr>
          <w:rFonts w:hint="eastAsia"/>
          <w:lang w:val="en-US" w:eastAsia="zh-CN"/>
        </w:rPr>
        <w:t>（三）开设用户押金和预付金账户的相关凭证及与银行签订的监管协议；</w:t>
      </w:r>
    </w:p>
    <w:p>
      <w:pPr>
        <w:pStyle w:val="8"/>
        <w:bidi w:val="0"/>
        <w:rPr>
          <w:rFonts w:hint="eastAsia"/>
          <w:lang w:val="en-US" w:eastAsia="zh-CN"/>
        </w:rPr>
      </w:pPr>
      <w:r>
        <w:rPr>
          <w:rFonts w:hint="eastAsia"/>
          <w:lang w:val="en-US" w:eastAsia="zh-CN"/>
        </w:rPr>
        <w:t>（四）国家认可的专业机构出具的互联网租赁自行车检验合格报告；</w:t>
      </w:r>
    </w:p>
    <w:p>
      <w:pPr>
        <w:pStyle w:val="8"/>
        <w:bidi w:val="0"/>
        <w:rPr>
          <w:rFonts w:hint="eastAsia"/>
          <w:lang w:val="en-US" w:eastAsia="zh-CN"/>
        </w:rPr>
      </w:pPr>
      <w:r>
        <w:rPr>
          <w:rFonts w:hint="eastAsia"/>
          <w:lang w:val="en-US" w:eastAsia="zh-CN"/>
        </w:rPr>
        <w:t>（五）互联网租赁自行车投放方案、拟投放互联网租赁自行车的电子身份标签；</w:t>
      </w:r>
    </w:p>
    <w:p>
      <w:pPr>
        <w:pStyle w:val="8"/>
        <w:bidi w:val="0"/>
        <w:rPr>
          <w:rFonts w:hint="eastAsia"/>
          <w:lang w:val="en-US" w:eastAsia="zh-CN"/>
        </w:rPr>
      </w:pPr>
      <w:r>
        <w:rPr>
          <w:rFonts w:hint="eastAsia"/>
          <w:lang w:val="en-US" w:eastAsia="zh-CN"/>
        </w:rPr>
        <w:t>（六）运营服务管理制度、互联网租赁自行车维修保养制度、蓄车和维修场地信息、投诉和有关纠纷处理制度等；</w:t>
      </w:r>
    </w:p>
    <w:p>
      <w:pPr>
        <w:pStyle w:val="8"/>
        <w:bidi w:val="0"/>
        <w:rPr>
          <w:rFonts w:hint="eastAsia"/>
          <w:lang w:val="en-US" w:eastAsia="zh-CN"/>
        </w:rPr>
      </w:pPr>
      <w:r>
        <w:rPr>
          <w:rFonts w:hint="eastAsia"/>
          <w:lang w:val="en-US" w:eastAsia="zh-CN"/>
        </w:rPr>
        <w:t>（七）与用户签订的互联网租赁自行车租赁电子服务协议。</w:t>
      </w:r>
    </w:p>
    <w:p>
      <w:pPr>
        <w:pStyle w:val="8"/>
        <w:bidi w:val="0"/>
        <w:rPr>
          <w:rFonts w:hint="eastAsia"/>
          <w:lang w:val="en-US" w:eastAsia="zh-CN"/>
        </w:rPr>
      </w:pPr>
      <w:r>
        <w:rPr>
          <w:rFonts w:hint="eastAsia"/>
          <w:lang w:val="en-US" w:eastAsia="zh-CN"/>
        </w:rPr>
        <w:t>本办法实施前已提供互联网租赁自行车服务的运营企业，应于本办法实施之日起三十日内向所辖区政府提供运营方案。</w:t>
      </w:r>
    </w:p>
    <w:p>
      <w:pPr>
        <w:pStyle w:val="8"/>
        <w:bidi w:val="0"/>
        <w:rPr>
          <w:rFonts w:hint="eastAsia"/>
          <w:lang w:val="en-US" w:eastAsia="zh-CN"/>
        </w:rPr>
      </w:pPr>
      <w:r>
        <w:rPr>
          <w:rStyle w:val="12"/>
          <w:rFonts w:hint="eastAsia"/>
          <w:lang w:val="en-US" w:eastAsia="zh-CN"/>
        </w:rPr>
        <w:t>第十一条</w:t>
      </w:r>
      <w:r>
        <w:rPr>
          <w:rFonts w:hint="eastAsia"/>
          <w:lang w:val="en-US" w:eastAsia="zh-CN"/>
        </w:rPr>
        <w:t xml:space="preserve"> 互联网租赁自行车管理实行一车一码电子标签管理制度。</w:t>
      </w:r>
    </w:p>
    <w:p>
      <w:pPr>
        <w:pStyle w:val="8"/>
        <w:bidi w:val="0"/>
        <w:rPr>
          <w:rFonts w:hint="eastAsia"/>
          <w:lang w:val="en-US" w:eastAsia="zh-CN"/>
        </w:rPr>
      </w:pPr>
      <w:r>
        <w:rPr>
          <w:rFonts w:hint="eastAsia"/>
          <w:lang w:val="en-US" w:eastAsia="zh-CN"/>
        </w:rPr>
        <w:t>运营企业应当在互联网租赁自行车投放前将互联网租赁自行车电子身份数据接入政府部门指定的监管服务平台。</w:t>
      </w:r>
    </w:p>
    <w:p>
      <w:pPr>
        <w:pStyle w:val="8"/>
        <w:bidi w:val="0"/>
        <w:rPr>
          <w:rFonts w:hint="eastAsia"/>
          <w:lang w:val="en-US" w:eastAsia="zh-CN"/>
        </w:rPr>
      </w:pPr>
      <w:r>
        <w:rPr>
          <w:rStyle w:val="12"/>
          <w:rFonts w:hint="eastAsia"/>
          <w:lang w:val="en-US" w:eastAsia="zh-CN"/>
        </w:rPr>
        <w:t>第十二条</w:t>
      </w:r>
      <w:r>
        <w:rPr>
          <w:rFonts w:hint="eastAsia"/>
          <w:lang w:val="en-US" w:eastAsia="zh-CN"/>
        </w:rPr>
        <w:t xml:space="preserve"> 运营企业应当具备相应的调度能力，应当按照区政府公布的配额管理方案规定的运维比例要求配备相应的互联网租赁自行车和管理人员。</w:t>
      </w:r>
    </w:p>
    <w:p>
      <w:pPr>
        <w:pStyle w:val="8"/>
        <w:bidi w:val="0"/>
        <w:rPr>
          <w:rFonts w:hint="eastAsia"/>
          <w:lang w:val="en-US" w:eastAsia="zh-CN"/>
        </w:rPr>
      </w:pPr>
      <w:r>
        <w:rPr>
          <w:rStyle w:val="12"/>
          <w:rFonts w:hint="eastAsia"/>
          <w:lang w:val="en-US" w:eastAsia="zh-CN"/>
        </w:rPr>
        <w:t>第十三条</w:t>
      </w:r>
      <w:r>
        <w:rPr>
          <w:rFonts w:hint="eastAsia"/>
          <w:lang w:val="en-US" w:eastAsia="zh-CN"/>
        </w:rPr>
        <w:t xml:space="preserve"> 区政府应当建立互联网租赁自行车管理应急处置机制。</w:t>
      </w:r>
    </w:p>
    <w:p>
      <w:pPr>
        <w:pStyle w:val="8"/>
        <w:bidi w:val="0"/>
        <w:rPr>
          <w:rFonts w:hint="eastAsia"/>
          <w:lang w:val="en-US" w:eastAsia="zh-CN"/>
        </w:rPr>
      </w:pPr>
      <w:r>
        <w:rPr>
          <w:rFonts w:hint="eastAsia"/>
          <w:lang w:val="en-US" w:eastAsia="zh-CN"/>
        </w:rPr>
        <w:t>区政府对互联网租赁自行车的停放实行街区分级管理，根据辖区实际情况，在辖区内划定一级街区、二级街区、三级街区，并在区政府门户网站上进行公布。</w:t>
      </w:r>
    </w:p>
    <w:p>
      <w:pPr>
        <w:pStyle w:val="8"/>
        <w:bidi w:val="0"/>
        <w:rPr>
          <w:rFonts w:hint="eastAsia"/>
          <w:lang w:val="en-US" w:eastAsia="zh-CN"/>
        </w:rPr>
      </w:pPr>
      <w:r>
        <w:rPr>
          <w:rFonts w:hint="eastAsia"/>
          <w:lang w:val="en-US" w:eastAsia="zh-CN"/>
        </w:rPr>
        <w:t>运营企业被告知互联网租赁自行车未停放在规定停放点影响市容市貌或者停放混乱影响通行和安全的，运营企业应当在半小时内进行调度响应，按照一级街区一个小时、二级街区两个小时、三级街区三个小时的要求清理完毕。</w:t>
      </w:r>
    </w:p>
    <w:p>
      <w:pPr>
        <w:pStyle w:val="8"/>
        <w:bidi w:val="0"/>
        <w:rPr>
          <w:rFonts w:hint="eastAsia"/>
          <w:lang w:val="en-US" w:eastAsia="zh-CN"/>
        </w:rPr>
      </w:pPr>
      <w:r>
        <w:rPr>
          <w:rStyle w:val="12"/>
          <w:rFonts w:hint="eastAsia"/>
          <w:lang w:val="en-US" w:eastAsia="zh-CN"/>
        </w:rPr>
        <w:t>第十四条</w:t>
      </w:r>
      <w:r>
        <w:rPr>
          <w:rFonts w:hint="eastAsia"/>
          <w:lang w:val="en-US" w:eastAsia="zh-CN"/>
        </w:rPr>
        <w:t xml:space="preserve"> 运营企业可以采用免收用户押金方式提供租赁服务。</w:t>
      </w:r>
    </w:p>
    <w:p>
      <w:pPr>
        <w:pStyle w:val="8"/>
        <w:bidi w:val="0"/>
        <w:rPr>
          <w:rFonts w:hint="eastAsia"/>
          <w:lang w:val="en-US" w:eastAsia="zh-CN"/>
        </w:rPr>
      </w:pPr>
      <w:r>
        <w:rPr>
          <w:rFonts w:hint="eastAsia"/>
          <w:lang w:val="en-US" w:eastAsia="zh-CN"/>
        </w:rPr>
        <w:t>运营企业采用收取用户押金或者预付金方式提供服务的，应当符合下列条件：</w:t>
      </w:r>
    </w:p>
    <w:p>
      <w:pPr>
        <w:pStyle w:val="8"/>
        <w:bidi w:val="0"/>
        <w:rPr>
          <w:rFonts w:hint="eastAsia"/>
          <w:lang w:val="en-US" w:eastAsia="zh-CN"/>
        </w:rPr>
      </w:pPr>
      <w:r>
        <w:rPr>
          <w:rFonts w:hint="eastAsia"/>
          <w:lang w:val="en-US" w:eastAsia="zh-CN"/>
        </w:rPr>
        <w:t>（一）设立用户押金、预付金专用账户；</w:t>
      </w:r>
    </w:p>
    <w:p>
      <w:pPr>
        <w:pStyle w:val="8"/>
        <w:bidi w:val="0"/>
        <w:rPr>
          <w:rFonts w:hint="eastAsia"/>
          <w:lang w:val="en-US" w:eastAsia="zh-CN"/>
        </w:rPr>
      </w:pPr>
      <w:r>
        <w:rPr>
          <w:rFonts w:hint="eastAsia"/>
          <w:lang w:val="en-US" w:eastAsia="zh-CN"/>
        </w:rPr>
        <w:t>（二）用户押金、预付金专用账户应当与企业的日常账户区分，并由银行监管，实施专款专用，确保用户押金、预付金安全；</w:t>
      </w:r>
    </w:p>
    <w:p>
      <w:pPr>
        <w:pStyle w:val="8"/>
        <w:bidi w:val="0"/>
        <w:rPr>
          <w:rFonts w:hint="eastAsia"/>
          <w:lang w:val="en-US" w:eastAsia="zh-CN"/>
        </w:rPr>
      </w:pPr>
      <w:r>
        <w:rPr>
          <w:rFonts w:hint="eastAsia"/>
          <w:lang w:val="en-US" w:eastAsia="zh-CN"/>
        </w:rPr>
        <w:t>（三）运营企业应当建立用户押金、预付金退还制度。</w:t>
      </w:r>
    </w:p>
    <w:p>
      <w:pPr>
        <w:pStyle w:val="8"/>
        <w:bidi w:val="0"/>
        <w:rPr>
          <w:rFonts w:hint="eastAsia"/>
          <w:lang w:val="en-US" w:eastAsia="zh-CN"/>
        </w:rPr>
      </w:pPr>
      <w:r>
        <w:rPr>
          <w:rFonts w:hint="eastAsia" w:ascii="黑体" w:hAnsi="黑体" w:eastAsia="黑体" w:cs="黑体"/>
          <w:lang w:val="en-US" w:eastAsia="zh-CN"/>
        </w:rPr>
        <w:t>第十五条</w:t>
      </w:r>
      <w:r>
        <w:rPr>
          <w:rFonts w:hint="eastAsia"/>
          <w:lang w:val="en-US" w:eastAsia="zh-CN"/>
        </w:rPr>
        <w:t xml:space="preserve"> 运营企业应当为用户购买人身意外伤害保险，鼓励为用户购买第三者责任保险。</w:t>
      </w:r>
    </w:p>
    <w:p>
      <w:pPr>
        <w:pStyle w:val="8"/>
        <w:bidi w:val="0"/>
        <w:rPr>
          <w:rFonts w:hint="eastAsia"/>
          <w:lang w:val="en-US" w:eastAsia="zh-CN"/>
        </w:rPr>
      </w:pPr>
      <w:r>
        <w:rPr>
          <w:rFonts w:hint="eastAsia"/>
          <w:lang w:val="en-US" w:eastAsia="zh-CN"/>
        </w:rPr>
        <w:t>用户骑行中发生交通事故时，运营企业应当配合用户办理保险理赔，并积极配合公安交通管理部门开展案件调查。</w:t>
      </w:r>
    </w:p>
    <w:p>
      <w:pPr>
        <w:pStyle w:val="8"/>
        <w:bidi w:val="0"/>
        <w:rPr>
          <w:rFonts w:hint="eastAsia"/>
          <w:lang w:val="en-US" w:eastAsia="zh-CN"/>
        </w:rPr>
      </w:pPr>
      <w:r>
        <w:rPr>
          <w:rStyle w:val="12"/>
          <w:rFonts w:hint="eastAsia"/>
          <w:lang w:val="en-US" w:eastAsia="zh-CN"/>
        </w:rPr>
        <w:t>第十六条</w:t>
      </w:r>
      <w:r>
        <w:rPr>
          <w:rFonts w:hint="eastAsia"/>
          <w:lang w:val="en-US" w:eastAsia="zh-CN"/>
        </w:rPr>
        <w:t xml:space="preserve"> 运营企业与用户签定的协议中应当约定用户使用互联网租赁自行车不得违规停放。 </w:t>
      </w:r>
    </w:p>
    <w:p>
      <w:pPr>
        <w:pStyle w:val="8"/>
        <w:bidi w:val="0"/>
        <w:rPr>
          <w:rFonts w:hint="eastAsia"/>
          <w:lang w:val="en-US" w:eastAsia="zh-CN"/>
        </w:rPr>
      </w:pPr>
      <w:r>
        <w:rPr>
          <w:rFonts w:hint="eastAsia"/>
          <w:lang w:val="en-US" w:eastAsia="zh-CN"/>
        </w:rPr>
        <w:t>运营企业与用户签定的协议中应当约定押金、预付金退还期限。</w:t>
      </w:r>
    </w:p>
    <w:p>
      <w:pPr>
        <w:pStyle w:val="8"/>
        <w:bidi w:val="0"/>
        <w:rPr>
          <w:rFonts w:hint="eastAsia"/>
          <w:lang w:val="en-US" w:eastAsia="zh-CN"/>
        </w:rPr>
      </w:pPr>
      <w:r>
        <w:rPr>
          <w:rStyle w:val="12"/>
          <w:rFonts w:hint="eastAsia"/>
          <w:lang w:val="en-US" w:eastAsia="zh-CN"/>
        </w:rPr>
        <w:t>第十七条</w:t>
      </w:r>
      <w:r>
        <w:rPr>
          <w:rFonts w:hint="eastAsia"/>
          <w:lang w:val="en-US" w:eastAsia="zh-CN"/>
        </w:rPr>
        <w:t xml:space="preserve"> 运营企业解散或者运营退出本市市场的，应当提前六十日向社会公示，在约定期限内退还用户的押金、预付金，并将投放的所有互联网租赁自行车全部回收。</w:t>
      </w:r>
    </w:p>
    <w:p>
      <w:pPr>
        <w:pStyle w:val="8"/>
        <w:bidi w:val="0"/>
        <w:rPr>
          <w:rFonts w:hint="eastAsia"/>
          <w:lang w:val="en-US" w:eastAsia="zh-CN"/>
        </w:rPr>
      </w:pPr>
      <w:r>
        <w:rPr>
          <w:rStyle w:val="12"/>
          <w:rFonts w:hint="eastAsia"/>
          <w:lang w:val="en-US" w:eastAsia="zh-CN"/>
        </w:rPr>
        <w:t>第十八条</w:t>
      </w:r>
      <w:r>
        <w:rPr>
          <w:rFonts w:hint="eastAsia"/>
          <w:lang w:val="en-US" w:eastAsia="zh-CN"/>
        </w:rPr>
        <w:t xml:space="preserve"> 相关管理部门应当将运营企业违法行为的相关处罚信息纳入信用信息共享平台，开展部门联合惩戒。</w:t>
      </w:r>
    </w:p>
    <w:p>
      <w:pPr>
        <w:pStyle w:val="8"/>
        <w:bidi w:val="0"/>
        <w:rPr>
          <w:rFonts w:hint="eastAsia"/>
          <w:lang w:val="en-US" w:eastAsia="zh-CN"/>
        </w:rPr>
      </w:pPr>
      <w:r>
        <w:rPr>
          <w:rStyle w:val="12"/>
          <w:rFonts w:hint="eastAsia"/>
          <w:lang w:val="en-US" w:eastAsia="zh-CN"/>
        </w:rPr>
        <w:t>第十九条</w:t>
      </w:r>
      <w:r>
        <w:rPr>
          <w:rFonts w:hint="eastAsia"/>
          <w:lang w:val="en-US" w:eastAsia="zh-CN"/>
        </w:rPr>
        <w:t xml:space="preserve"> 用户不得有下列行为：</w:t>
      </w:r>
    </w:p>
    <w:p>
      <w:pPr>
        <w:pStyle w:val="8"/>
        <w:bidi w:val="0"/>
        <w:rPr>
          <w:rFonts w:hint="eastAsia"/>
          <w:lang w:val="en-US" w:eastAsia="zh-CN"/>
        </w:rPr>
      </w:pPr>
      <w:r>
        <w:rPr>
          <w:rFonts w:hint="eastAsia"/>
          <w:lang w:val="en-US" w:eastAsia="zh-CN"/>
        </w:rPr>
        <w:t>（一）违反道路交通安全相关规定进行骑行；</w:t>
      </w:r>
    </w:p>
    <w:p>
      <w:pPr>
        <w:pStyle w:val="8"/>
        <w:bidi w:val="0"/>
        <w:rPr>
          <w:rFonts w:hint="eastAsia"/>
          <w:lang w:val="en-US" w:eastAsia="zh-CN"/>
        </w:rPr>
      </w:pPr>
      <w:r>
        <w:rPr>
          <w:rFonts w:hint="eastAsia"/>
          <w:lang w:val="en-US" w:eastAsia="zh-CN"/>
        </w:rPr>
        <w:t>（二）乱停乱放互联网租赁自行车；</w:t>
      </w:r>
    </w:p>
    <w:p>
      <w:pPr>
        <w:pStyle w:val="8"/>
        <w:bidi w:val="0"/>
        <w:rPr>
          <w:rFonts w:hint="eastAsia"/>
          <w:lang w:val="en-US" w:eastAsia="zh-CN"/>
        </w:rPr>
      </w:pPr>
      <w:r>
        <w:rPr>
          <w:rFonts w:hint="eastAsia"/>
          <w:lang w:val="en-US" w:eastAsia="zh-CN"/>
        </w:rPr>
        <w:t>（三）损坏互联网租赁自行车、车身标识、停放设施或者盗窃互联网租赁自行车；</w:t>
      </w:r>
    </w:p>
    <w:p>
      <w:pPr>
        <w:pStyle w:val="8"/>
        <w:bidi w:val="0"/>
        <w:rPr>
          <w:rFonts w:hint="eastAsia"/>
          <w:lang w:val="en-US" w:eastAsia="zh-CN"/>
        </w:rPr>
      </w:pPr>
      <w:r>
        <w:rPr>
          <w:rFonts w:hint="eastAsia"/>
          <w:lang w:val="en-US" w:eastAsia="zh-CN"/>
        </w:rPr>
        <w:t>（四）其他违反法律、法规和规章的行为。</w:t>
      </w:r>
    </w:p>
    <w:p>
      <w:pPr>
        <w:pStyle w:val="8"/>
        <w:bidi w:val="0"/>
        <w:rPr>
          <w:rFonts w:hint="eastAsia"/>
          <w:lang w:val="en-US" w:eastAsia="zh-CN"/>
        </w:rPr>
      </w:pPr>
      <w:r>
        <w:rPr>
          <w:rFonts w:hint="eastAsia" w:ascii="黑体" w:hAnsi="黑体" w:eastAsia="黑体" w:cs="黑体"/>
          <w:lang w:val="en-US" w:eastAsia="zh-CN"/>
        </w:rPr>
        <w:t>第二十条</w:t>
      </w:r>
      <w:r>
        <w:rPr>
          <w:rFonts w:hint="eastAsia"/>
          <w:lang w:val="en-US" w:eastAsia="zh-CN"/>
        </w:rPr>
        <w:t xml:space="preserve"> 运营企业违反本办法规定，有下列行为之一的，由城市管理部门责令改正，并处二万元以上五万元以下罚款：</w:t>
      </w:r>
    </w:p>
    <w:p>
      <w:pPr>
        <w:pStyle w:val="8"/>
        <w:bidi w:val="0"/>
        <w:rPr>
          <w:rFonts w:hint="eastAsia"/>
          <w:lang w:val="en-US" w:eastAsia="zh-CN"/>
        </w:rPr>
      </w:pPr>
      <w:r>
        <w:rPr>
          <w:rFonts w:hint="eastAsia"/>
          <w:lang w:val="en-US" w:eastAsia="zh-CN"/>
        </w:rPr>
        <w:t>（一）违反本办法第八条规定，超配额投放互联网租赁自行车的；</w:t>
      </w:r>
    </w:p>
    <w:p>
      <w:pPr>
        <w:pStyle w:val="8"/>
        <w:bidi w:val="0"/>
        <w:rPr>
          <w:rFonts w:hint="eastAsia"/>
          <w:lang w:val="en-US" w:eastAsia="zh-CN"/>
        </w:rPr>
      </w:pPr>
      <w:r>
        <w:rPr>
          <w:rFonts w:hint="eastAsia"/>
          <w:lang w:val="en-US" w:eastAsia="zh-CN"/>
        </w:rPr>
        <w:t>（二）违反本办法第十条规定，未按照要求报送运营方案擅自投放互联网租赁自行车的；</w:t>
      </w:r>
    </w:p>
    <w:p>
      <w:pPr>
        <w:pStyle w:val="8"/>
        <w:bidi w:val="0"/>
        <w:rPr>
          <w:rFonts w:hint="eastAsia"/>
          <w:lang w:val="en-US" w:eastAsia="zh-CN"/>
        </w:rPr>
      </w:pPr>
      <w:r>
        <w:rPr>
          <w:rFonts w:hint="eastAsia"/>
          <w:lang w:val="en-US" w:eastAsia="zh-CN"/>
        </w:rPr>
        <w:t>（三）违反本办法第十三条规定，未在规定时间内清理违规停放的互联网租赁自行车的；</w:t>
      </w:r>
    </w:p>
    <w:p>
      <w:pPr>
        <w:pStyle w:val="8"/>
        <w:bidi w:val="0"/>
        <w:rPr>
          <w:rFonts w:hint="eastAsia"/>
          <w:lang w:val="en-US" w:eastAsia="zh-CN"/>
        </w:rPr>
      </w:pPr>
      <w:r>
        <w:rPr>
          <w:rFonts w:hint="eastAsia"/>
          <w:lang w:val="en-US" w:eastAsia="zh-CN"/>
        </w:rPr>
        <w:t>（四）违反本办法第十七条规定，未履行主体退出义务的。</w:t>
      </w:r>
    </w:p>
    <w:p>
      <w:pPr>
        <w:pStyle w:val="8"/>
        <w:bidi w:val="0"/>
        <w:rPr>
          <w:rFonts w:hint="eastAsia"/>
          <w:lang w:val="en-US" w:eastAsia="zh-CN"/>
        </w:rPr>
      </w:pPr>
      <w:r>
        <w:rPr>
          <w:rStyle w:val="12"/>
          <w:rFonts w:hint="eastAsia"/>
          <w:lang w:val="en-US" w:eastAsia="zh-CN"/>
        </w:rPr>
        <w:t>第二十一条</w:t>
      </w:r>
      <w:r>
        <w:rPr>
          <w:rFonts w:hint="eastAsia"/>
          <w:lang w:val="en-US" w:eastAsia="zh-CN"/>
        </w:rPr>
        <w:t xml:space="preserve"> 用户存在第十九条行为的，运营企业应当对用户采取降低使用互联网租赁自行车用户信用评分、提高收费标准、逐次限制使用、销户等失信惩戒措施，并开展本行业内的联合惩戒。</w:t>
      </w:r>
    </w:p>
    <w:p>
      <w:pPr>
        <w:pStyle w:val="8"/>
        <w:bidi w:val="0"/>
        <w:rPr>
          <w:rFonts w:hint="eastAsia"/>
          <w:lang w:val="en-US" w:eastAsia="zh-CN"/>
        </w:rPr>
      </w:pPr>
      <w:r>
        <w:rPr>
          <w:rStyle w:val="12"/>
          <w:rFonts w:hint="eastAsia"/>
          <w:lang w:val="en-US" w:eastAsia="zh-CN"/>
        </w:rPr>
        <w:t>第二十二条</w:t>
      </w:r>
      <w:r>
        <w:rPr>
          <w:rFonts w:hint="eastAsia"/>
          <w:lang w:val="en-US" w:eastAsia="zh-CN"/>
        </w:rPr>
        <w:t xml:space="preserve"> 用户违反本办法第十九条第二项规定的，由城市管理部门予以警告，或者处以五十元以下罚款。</w:t>
      </w:r>
    </w:p>
    <w:p>
      <w:pPr>
        <w:pStyle w:val="8"/>
        <w:bidi w:val="0"/>
        <w:rPr>
          <w:rFonts w:hint="eastAsia"/>
          <w:lang w:val="en-US" w:eastAsia="zh-CN"/>
        </w:rPr>
      </w:pPr>
      <w:r>
        <w:rPr>
          <w:rFonts w:hint="eastAsia"/>
          <w:lang w:val="en-US" w:eastAsia="zh-CN"/>
        </w:rPr>
        <w:t>用户违反本办法第十九条第一项、第三项规定的，由公安部门按照《中华人民共和国道路交通安全法》等法律、法规的规定予以处罚。</w:t>
      </w:r>
    </w:p>
    <w:p>
      <w:pPr>
        <w:pStyle w:val="8"/>
        <w:bidi w:val="0"/>
        <w:rPr>
          <w:rFonts w:hint="eastAsia"/>
          <w:lang w:val="en-US" w:eastAsia="zh-CN"/>
        </w:rPr>
      </w:pPr>
      <w:r>
        <w:rPr>
          <w:rStyle w:val="12"/>
          <w:rFonts w:hint="eastAsia"/>
          <w:lang w:val="en-US" w:eastAsia="zh-CN"/>
        </w:rPr>
        <w:t>第二十三条</w:t>
      </w:r>
      <w:r>
        <w:rPr>
          <w:rFonts w:hint="eastAsia"/>
          <w:lang w:val="en-US" w:eastAsia="zh-CN"/>
        </w:rPr>
        <w:t xml:space="preserve"> 行政机关及其工作人员违反本办法规定，凡滥用职权、徇私舞弊、玩忽职守，尚未构成犯罪的，由任免机关或者监察机关对其直接负责的主管人员和其他直接责任人员，依法给予处分；涉嫌职务违法或者职务犯罪的，依法移送监察机关处理；涉嫌其他犯罪的，依法移送司法机关处理。</w:t>
      </w:r>
    </w:p>
    <w:p>
      <w:pPr>
        <w:pStyle w:val="8"/>
        <w:bidi w:val="0"/>
        <w:rPr>
          <w:rFonts w:hint="eastAsia"/>
          <w:lang w:val="en-US" w:eastAsia="zh-CN"/>
        </w:rPr>
      </w:pPr>
      <w:r>
        <w:rPr>
          <w:rStyle w:val="12"/>
          <w:rFonts w:hint="eastAsia"/>
          <w:lang w:val="en-US" w:eastAsia="zh-CN"/>
        </w:rPr>
        <w:t>第二十四条</w:t>
      </w:r>
      <w:r>
        <w:rPr>
          <w:rFonts w:hint="eastAsia"/>
          <w:lang w:val="en-US" w:eastAsia="zh-CN"/>
        </w:rPr>
        <w:t xml:space="preserve"> 城市管理部门应当根据本办法制定相应的配套规定和技术导则，各区政府可以根据本办法制定具体的实施方案或者细则。</w:t>
      </w:r>
    </w:p>
    <w:p>
      <w:pPr>
        <w:pStyle w:val="8"/>
        <w:bidi w:val="0"/>
        <w:rPr>
          <w:rFonts w:hint="eastAsia"/>
          <w:lang w:val="en-US" w:eastAsia="zh-CN"/>
        </w:rPr>
      </w:pPr>
      <w:r>
        <w:rPr>
          <w:rStyle w:val="12"/>
          <w:rFonts w:hint="eastAsia"/>
          <w:lang w:val="en-US" w:eastAsia="zh-CN"/>
        </w:rPr>
        <w:t>第二十五条</w:t>
      </w:r>
      <w:r>
        <w:rPr>
          <w:rFonts w:hint="eastAsia"/>
          <w:lang w:val="en-US" w:eastAsia="zh-CN"/>
        </w:rPr>
        <w:t xml:space="preserve"> 本办法所称互联网租赁自行车，是指运营企业以互联网技术为依托为用户提供分时租赁服务的非机动车。</w:t>
      </w:r>
    </w:p>
    <w:p>
      <w:pPr>
        <w:pStyle w:val="8"/>
        <w:bidi w:val="0"/>
        <w:rPr>
          <w:rFonts w:hint="eastAsia"/>
          <w:lang w:val="en-US" w:eastAsia="zh-CN"/>
        </w:rPr>
      </w:pPr>
      <w:r>
        <w:rPr>
          <w:rFonts w:hint="eastAsia"/>
          <w:lang w:val="en-US" w:eastAsia="zh-CN"/>
        </w:rPr>
        <w:t>互联网租赁自行车运营企业，是指构建网络服务平台从事自行车租赁经营服务的企业法人。</w:t>
      </w:r>
    </w:p>
    <w:p>
      <w:pPr>
        <w:pStyle w:val="8"/>
        <w:bidi w:val="0"/>
        <w:rPr>
          <w:rFonts w:hint="eastAsia"/>
          <w:lang w:val="en-US" w:eastAsia="zh-CN"/>
        </w:rPr>
      </w:pPr>
      <w:r>
        <w:rPr>
          <w:rFonts w:hint="eastAsia"/>
          <w:lang w:val="en-US" w:eastAsia="zh-CN"/>
        </w:rPr>
        <w:t>互联网租赁自行车用户，是指通过互联网支付费用使用互联网租赁自行车进行骑行的自然人。</w:t>
      </w:r>
    </w:p>
    <w:p>
      <w:pPr>
        <w:pStyle w:val="8"/>
        <w:bidi w:val="0"/>
        <w:rPr>
          <w:rFonts w:hint="eastAsia"/>
          <w:lang w:val="en-US" w:eastAsia="zh-CN"/>
        </w:rPr>
      </w:pPr>
      <w:r>
        <w:rPr>
          <w:rStyle w:val="12"/>
          <w:rFonts w:hint="eastAsia"/>
          <w:lang w:val="en-US" w:eastAsia="zh-CN"/>
        </w:rPr>
        <w:t>第二十六条</w:t>
      </w:r>
      <w:r>
        <w:rPr>
          <w:rFonts w:hint="eastAsia"/>
          <w:lang w:val="en-US" w:eastAsia="zh-CN"/>
        </w:rPr>
        <w:t xml:space="preserve"> 本办法自2020年2月1日起施行。</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珠海市人民政府发布     </w:t>
    </w:r>
  </w:p>
  <w:p>
    <w:pPr>
      <w:pStyle w:val="5"/>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珠海市人民政府规章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0E387A9D"/>
    <w:rsid w:val="152D2DCA"/>
    <w:rsid w:val="16C74E91"/>
    <w:rsid w:val="1A3C397C"/>
    <w:rsid w:val="1DEC284C"/>
    <w:rsid w:val="1E6523AC"/>
    <w:rsid w:val="1E9B1BB6"/>
    <w:rsid w:val="21A031AA"/>
    <w:rsid w:val="21AA283A"/>
    <w:rsid w:val="22440422"/>
    <w:rsid w:val="225D0766"/>
    <w:rsid w:val="2DC37C51"/>
    <w:rsid w:val="308C34FF"/>
    <w:rsid w:val="31A15F24"/>
    <w:rsid w:val="33176594"/>
    <w:rsid w:val="36D63E3F"/>
    <w:rsid w:val="395347B5"/>
    <w:rsid w:val="39A232A0"/>
    <w:rsid w:val="39E745AA"/>
    <w:rsid w:val="3B5A6BBB"/>
    <w:rsid w:val="3C793F97"/>
    <w:rsid w:val="3CF33CD6"/>
    <w:rsid w:val="3EDA13A6"/>
    <w:rsid w:val="42F058B7"/>
    <w:rsid w:val="436109F6"/>
    <w:rsid w:val="441A38D4"/>
    <w:rsid w:val="46CD455E"/>
    <w:rsid w:val="47A0737C"/>
    <w:rsid w:val="4BC77339"/>
    <w:rsid w:val="4C9236C5"/>
    <w:rsid w:val="505C172E"/>
    <w:rsid w:val="52F46F0B"/>
    <w:rsid w:val="53D8014D"/>
    <w:rsid w:val="55E064E0"/>
    <w:rsid w:val="572C6D10"/>
    <w:rsid w:val="5DC34279"/>
    <w:rsid w:val="608816D1"/>
    <w:rsid w:val="60EF4E7F"/>
    <w:rsid w:val="665233C1"/>
    <w:rsid w:val="6AD9688B"/>
    <w:rsid w:val="6D0E3F22"/>
    <w:rsid w:val="7B9F06E3"/>
    <w:rsid w:val="7C9011D9"/>
    <w:rsid w:val="7CF795E4"/>
    <w:rsid w:val="7DC651C5"/>
    <w:rsid w:val="7EFF756D"/>
    <w:rsid w:val="7FCC2834"/>
    <w:rsid w:val="BBBF1A7B"/>
    <w:rsid w:val="DFC3FECD"/>
    <w:rsid w:val="FF2C3F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正文内容"/>
    <w:basedOn w:val="1"/>
    <w:qFormat/>
    <w:uiPriority w:val="0"/>
    <w:pPr>
      <w:spacing w:line="570" w:lineRule="atLeast"/>
      <w:ind w:firstLine="420" w:firstLineChars="200"/>
    </w:pPr>
    <w:rPr>
      <w:rFonts w:hint="eastAsia" w:ascii="仿宋_GB2312" w:hAnsi="仿宋_GB2312" w:eastAsia="仿宋_GB2312" w:cs="仿宋_GB2312"/>
      <w:sz w:val="32"/>
      <w:szCs w:val="32"/>
    </w:rPr>
  </w:style>
  <w:style w:type="paragraph" w:customStyle="1" w:styleId="9">
    <w:name w:val="正文标题"/>
    <w:basedOn w:val="1"/>
    <w:link w:val="12"/>
    <w:qFormat/>
    <w:uiPriority w:val="0"/>
    <w:pPr>
      <w:spacing w:line="570" w:lineRule="atLeast"/>
      <w:ind w:firstLine="420" w:firstLineChars="200"/>
    </w:pPr>
    <w:rPr>
      <w:rFonts w:hint="eastAsia" w:ascii="黑体" w:hAnsi="黑体" w:eastAsia="黑体" w:cs="黑体"/>
      <w:sz w:val="32"/>
      <w:szCs w:val="32"/>
    </w:rPr>
  </w:style>
  <w:style w:type="paragraph" w:customStyle="1" w:styleId="10">
    <w:name w:val="大标题"/>
    <w:basedOn w:val="1"/>
    <w:next w:val="1"/>
    <w:qFormat/>
    <w:uiPriority w:val="0"/>
    <w:pPr>
      <w:keepNext/>
      <w:keepLines/>
      <w:spacing w:before="340" w:beforeLines="0" w:after="330" w:afterLines="0" w:line="570" w:lineRule="atLeast"/>
      <w:ind w:firstLine="880" w:firstLineChars="200"/>
      <w:jc w:val="center"/>
      <w:outlineLvl w:val="0"/>
    </w:pPr>
    <w:rPr>
      <w:rFonts w:hint="eastAsia" w:ascii="宋体" w:hAnsi="宋体" w:eastAsia="宋体" w:cs="宋体"/>
      <w:bCs/>
      <w:kern w:val="44"/>
      <w:sz w:val="44"/>
      <w:szCs w:val="44"/>
    </w:rPr>
  </w:style>
  <w:style w:type="paragraph" w:customStyle="1" w:styleId="11">
    <w:name w:val="副标题11"/>
    <w:basedOn w:val="1"/>
    <w:link w:val="13"/>
    <w:qFormat/>
    <w:uiPriority w:val="0"/>
    <w:pPr>
      <w:spacing w:line="570" w:lineRule="atLeast"/>
      <w:ind w:firstLine="880" w:firstLineChars="200"/>
    </w:pPr>
    <w:rPr>
      <w:rFonts w:hint="eastAsia" w:ascii="楷体_GB2312" w:hAnsi="楷体_GB2312" w:eastAsia="楷体_GB2312" w:cs="楷体_GB2312"/>
      <w:sz w:val="32"/>
      <w:szCs w:val="32"/>
    </w:rPr>
  </w:style>
  <w:style w:type="character" w:customStyle="1" w:styleId="12">
    <w:name w:val="正文标题 Char"/>
    <w:link w:val="9"/>
    <w:qFormat/>
    <w:uiPriority w:val="0"/>
    <w:rPr>
      <w:rFonts w:hint="eastAsia" w:ascii="黑体" w:hAnsi="黑体" w:eastAsia="黑体" w:cs="黑体"/>
      <w:sz w:val="32"/>
      <w:szCs w:val="32"/>
    </w:rPr>
  </w:style>
  <w:style w:type="character" w:customStyle="1" w:styleId="13">
    <w:name w:val="副标题11 Char"/>
    <w:link w:val="11"/>
    <w:qFormat/>
    <w:uiPriority w:val="0"/>
    <w:rPr>
      <w:rFonts w:hint="eastAsia" w:ascii="楷体_GB2312" w:hAnsi="楷体_GB2312" w:eastAsia="楷体_GB2312" w:cs="楷体_GB2312"/>
      <w:sz w:val="32"/>
      <w:szCs w:val="32"/>
    </w:rPr>
  </w:style>
  <w:style w:type="paragraph" w:customStyle="1" w:styleId="14">
    <w:name w:val="大标题11"/>
    <w:basedOn w:val="1"/>
    <w:qFormat/>
    <w:uiPriority w:val="0"/>
    <w:pPr>
      <w:spacing w:line="570" w:lineRule="atLeast"/>
    </w:pPr>
    <w:rPr>
      <w:rFonts w:hint="eastAsia" w:ascii="宋体" w:hAnsi="宋体" w:eastAsia="宋体" w:cs="宋体"/>
      <w:bCs/>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2968</Words>
  <Characters>2988</Characters>
  <Lines>1</Lines>
  <Paragraphs>1</Paragraphs>
  <TotalTime>0</TotalTime>
  <ScaleCrop>false</ScaleCrop>
  <LinksUpToDate>false</LinksUpToDate>
  <CharactersWithSpaces>3052</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2021-09-09T10:41:00Z</dcterms:created>
  <dc:creator>t</dc:creator>
  <cp:lastModifiedBy>kylin</cp:lastModifiedBy>
  <cp:lastPrinted>2021-10-26T11:30:00Z</cp:lastPrinted>
  <dcterms:modified xsi:type="dcterms:W3CDTF">2021-12-22T15:40:47Z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A7B153E9D77740EDAEDF4E7E4FE642FE</vt:lpwstr>
  </property>
</Properties>
</file>