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8505"/>
        </w:tabs>
        <w:autoSpaceDN w:val="0"/>
        <w:spacing w:line="579" w:lineRule="exact"/>
        <w:ind w:firstLine="6788" w:firstLineChars="2148"/>
        <w:jc w:val="both"/>
        <w:rPr>
          <w:rFonts w:hint="eastAsia" w:ascii="黑体" w:hAnsi="黑体" w:eastAsia="黑体"/>
          <w:kern w:val="2"/>
        </w:rPr>
      </w:pPr>
      <w:r>
        <w:rPr>
          <w:rFonts w:hint="eastAsia" w:ascii="黑体" w:hAnsi="黑体" w:eastAsia="黑体"/>
          <w:kern w:val="2"/>
        </w:rPr>
        <w:t>ZFGS-2015-014</w:t>
      </w:r>
    </w:p>
    <w:p>
      <w:pPr>
        <w:widowControl w:val="0"/>
        <w:autoSpaceDN w:val="0"/>
        <w:spacing w:line="579" w:lineRule="exact"/>
        <w:jc w:val="both"/>
        <w:rPr>
          <w:rFonts w:hint="eastAsia" w:ascii="仿宋_GB2312"/>
          <w:kern w:val="2"/>
        </w:rPr>
      </w:pPr>
    </w:p>
    <w:p>
      <w:pPr>
        <w:widowControl w:val="0"/>
        <w:autoSpaceDN w:val="0"/>
        <w:spacing w:line="579" w:lineRule="exact"/>
        <w:jc w:val="both"/>
        <w:rPr>
          <w:rFonts w:hint="eastAsia" w:ascii="仿宋_GB2312"/>
          <w:kern w:val="2"/>
        </w:rPr>
      </w:pPr>
    </w:p>
    <w:p>
      <w:pPr>
        <w:widowControl w:val="0"/>
        <w:autoSpaceDN w:val="0"/>
        <w:spacing w:line="579" w:lineRule="exact"/>
        <w:jc w:val="both"/>
        <w:rPr>
          <w:rFonts w:hint="eastAsia" w:ascii="仿宋_GB2312"/>
          <w:kern w:val="2"/>
        </w:rPr>
      </w:pPr>
    </w:p>
    <w:p>
      <w:pPr>
        <w:widowControl w:val="0"/>
        <w:autoSpaceDN w:val="0"/>
        <w:spacing w:line="579" w:lineRule="exact"/>
        <w:jc w:val="both"/>
        <w:rPr>
          <w:rFonts w:hint="eastAsia" w:ascii="仿宋_GB2312"/>
          <w:kern w:val="2"/>
        </w:rPr>
      </w:pPr>
    </w:p>
    <w:p>
      <w:pPr>
        <w:widowControl w:val="0"/>
        <w:autoSpaceDN w:val="0"/>
        <w:spacing w:line="579" w:lineRule="exact"/>
        <w:jc w:val="both"/>
        <w:rPr>
          <w:rFonts w:hint="eastAsia" w:ascii="仿宋_GB2312"/>
          <w:kern w:val="2"/>
        </w:rPr>
      </w:pPr>
    </w:p>
    <w:p>
      <w:pPr>
        <w:widowControl w:val="0"/>
        <w:autoSpaceDN w:val="0"/>
        <w:spacing w:line="579" w:lineRule="exact"/>
        <w:jc w:val="center"/>
        <w:rPr>
          <w:rFonts w:hint="eastAsia" w:ascii="仿宋_GB2312"/>
          <w:kern w:val="2"/>
        </w:rPr>
      </w:pPr>
      <w:r>
        <w:rPr>
          <w:rFonts w:hint="eastAsia" w:ascii="仿宋_GB2312"/>
          <w:kern w:val="2"/>
        </w:rPr>
        <w:t>珠府〔2015〕137号</w:t>
      </w:r>
    </w:p>
    <w:p>
      <w:pPr>
        <w:widowControl w:val="0"/>
        <w:autoSpaceDN w:val="0"/>
        <w:spacing w:line="579" w:lineRule="exact"/>
        <w:jc w:val="both"/>
        <w:rPr>
          <w:rFonts w:hint="eastAsia" w:ascii="仿宋_GB2312"/>
          <w:kern w:val="2"/>
        </w:rPr>
      </w:pPr>
    </w:p>
    <w:p>
      <w:pPr>
        <w:widowControl w:val="0"/>
        <w:autoSpaceDN w:val="0"/>
        <w:spacing w:line="579" w:lineRule="exact"/>
        <w:jc w:val="both"/>
        <w:rPr>
          <w:rFonts w:hint="eastAsia" w:ascii="仿宋_GB2312"/>
          <w:kern w:val="2"/>
        </w:rPr>
      </w:pPr>
    </w:p>
    <w:p>
      <w:pPr>
        <w:widowControl w:val="0"/>
        <w:autoSpaceDE w:val="0"/>
        <w:autoSpaceDN w:val="0"/>
        <w:adjustRightInd w:val="0"/>
        <w:spacing w:line="579" w:lineRule="exact"/>
        <w:jc w:val="center"/>
        <w:rPr>
          <w:rFonts w:hint="eastAsia" w:ascii="方正小标宋简体" w:eastAsia="方正小标宋简体"/>
          <w:kern w:val="2"/>
          <w:sz w:val="44"/>
        </w:rPr>
      </w:pPr>
      <w:r>
        <w:rPr>
          <w:rFonts w:hint="eastAsia" w:ascii="方正小标宋简体" w:eastAsia="方正小标宋简体"/>
          <w:kern w:val="2"/>
          <w:sz w:val="44"/>
        </w:rPr>
        <w:t>珠海市人民政府关于印发珠海市城市绿化</w:t>
      </w:r>
    </w:p>
    <w:p>
      <w:pPr>
        <w:widowControl w:val="0"/>
        <w:autoSpaceDE w:val="0"/>
        <w:autoSpaceDN w:val="0"/>
        <w:adjustRightInd w:val="0"/>
        <w:spacing w:line="579" w:lineRule="exact"/>
        <w:jc w:val="center"/>
        <w:rPr>
          <w:rFonts w:hint="eastAsia" w:ascii="方正小标宋简体" w:eastAsia="方正小标宋简体"/>
          <w:kern w:val="2"/>
          <w:sz w:val="44"/>
        </w:rPr>
      </w:pPr>
      <w:r>
        <w:rPr>
          <w:rFonts w:hint="eastAsia" w:ascii="方正小标宋简体" w:eastAsia="方正小标宋简体"/>
          <w:kern w:val="2"/>
          <w:sz w:val="44"/>
        </w:rPr>
        <w:t>补偿费和恢复绿化补偿费管理办法</w:t>
      </w:r>
    </w:p>
    <w:p>
      <w:pPr>
        <w:widowControl w:val="0"/>
        <w:autoSpaceDE w:val="0"/>
        <w:autoSpaceDN w:val="0"/>
        <w:adjustRightInd w:val="0"/>
        <w:spacing w:line="579" w:lineRule="exact"/>
        <w:jc w:val="center"/>
        <w:rPr>
          <w:rFonts w:hint="eastAsia" w:ascii="方正小标宋简体" w:eastAsia="方正小标宋简体"/>
          <w:kern w:val="2"/>
          <w:sz w:val="44"/>
        </w:rPr>
      </w:pPr>
      <w:r>
        <w:rPr>
          <w:rFonts w:hint="eastAsia" w:ascii="方正小标宋简体" w:eastAsia="方正小标宋简体"/>
          <w:kern w:val="2"/>
          <w:sz w:val="44"/>
        </w:rPr>
        <w:t>（2015年修订）的通知</w:t>
      </w:r>
    </w:p>
    <w:p>
      <w:pPr>
        <w:widowControl w:val="0"/>
        <w:autoSpaceDN w:val="0"/>
        <w:spacing w:line="579" w:lineRule="exact"/>
        <w:jc w:val="both"/>
        <w:rPr>
          <w:rFonts w:hint="eastAsia" w:ascii="仿宋_GB2312"/>
          <w:kern w:val="2"/>
          <w:sz w:val="28"/>
        </w:rPr>
      </w:pPr>
    </w:p>
    <w:p>
      <w:pPr>
        <w:widowControl w:val="0"/>
        <w:autoSpaceDN w:val="0"/>
        <w:spacing w:line="579" w:lineRule="exact"/>
        <w:jc w:val="both"/>
        <w:rPr>
          <w:rFonts w:hint="eastAsia" w:ascii="仿宋_GB2312"/>
          <w:kern w:val="2"/>
        </w:rPr>
      </w:pPr>
      <w:r>
        <w:rPr>
          <w:rFonts w:hint="eastAsia" w:ascii="仿宋_GB2312"/>
          <w:kern w:val="2"/>
        </w:rPr>
        <w:t>横琴新区管委会，各区政府（管委会），市府直属各单位：</w:t>
      </w:r>
    </w:p>
    <w:p>
      <w:pPr>
        <w:widowControl w:val="0"/>
        <w:tabs>
          <w:tab w:val="left" w:pos="7560"/>
        </w:tabs>
        <w:autoSpaceDE w:val="0"/>
        <w:autoSpaceDN w:val="0"/>
        <w:adjustRightInd w:val="0"/>
        <w:spacing w:line="579" w:lineRule="exact"/>
        <w:ind w:firstLine="632" w:firstLineChars="200"/>
        <w:jc w:val="both"/>
        <w:rPr>
          <w:rFonts w:hint="eastAsia" w:ascii="仿宋_GB2312"/>
          <w:kern w:val="2"/>
        </w:rPr>
      </w:pPr>
      <w:r>
        <w:rPr>
          <w:rFonts w:hint="eastAsia" w:ascii="仿宋_GB2312"/>
          <w:kern w:val="2"/>
        </w:rPr>
        <w:t>现将《珠海市城市绿化补偿费和恢复绿化补偿费管理办法（2015年修订）》印发给你们，请认真贯彻实施。实施过程中遇到问题，请径向市市政和林业局反映。</w:t>
      </w:r>
    </w:p>
    <w:p>
      <w:pPr>
        <w:widowControl w:val="0"/>
        <w:tabs>
          <w:tab w:val="left" w:pos="7560"/>
        </w:tabs>
        <w:autoSpaceDE w:val="0"/>
        <w:autoSpaceDN w:val="0"/>
        <w:adjustRightInd w:val="0"/>
        <w:spacing w:line="579" w:lineRule="exact"/>
        <w:ind w:firstLine="632" w:firstLineChars="200"/>
        <w:jc w:val="both"/>
        <w:rPr>
          <w:rFonts w:hint="eastAsia" w:ascii="仿宋_GB2312"/>
          <w:kern w:val="2"/>
        </w:rPr>
      </w:pPr>
    </w:p>
    <w:p>
      <w:pPr>
        <w:widowControl w:val="0"/>
        <w:autoSpaceDN w:val="0"/>
        <w:spacing w:line="579" w:lineRule="exact"/>
        <w:jc w:val="both"/>
        <w:rPr>
          <w:rFonts w:hint="eastAsia" w:ascii="仿宋_GB2312"/>
          <w:kern w:val="2"/>
        </w:rPr>
      </w:pPr>
    </w:p>
    <w:p>
      <w:pPr>
        <w:widowControl w:val="0"/>
        <w:tabs>
          <w:tab w:val="left" w:pos="7560"/>
        </w:tabs>
        <w:autoSpaceDN w:val="0"/>
        <w:spacing w:line="579" w:lineRule="exact"/>
        <w:ind w:firstLine="5217" w:firstLineChars="1651"/>
        <w:jc w:val="both"/>
        <w:rPr>
          <w:rFonts w:hint="eastAsia" w:ascii="仿宋_GB2312"/>
          <w:kern w:val="2"/>
        </w:rPr>
      </w:pPr>
      <w:r>
        <w:rPr>
          <w:rFonts w:hint="eastAsia" w:ascii="仿宋_GB2312"/>
          <w:kern w:val="2"/>
        </w:rPr>
        <w:t>珠海市人民政府</w:t>
      </w:r>
    </w:p>
    <w:p>
      <w:pPr>
        <w:widowControl w:val="0"/>
        <w:spacing w:line="579" w:lineRule="exact"/>
        <w:jc w:val="center"/>
        <w:rPr>
          <w:rFonts w:hint="eastAsia" w:ascii="仿宋_GB2312" w:hAnsi="宋体"/>
        </w:rPr>
      </w:pPr>
      <w:r>
        <w:rPr>
          <w:rFonts w:hint="eastAsia" w:ascii="仿宋_GB2312" w:hAnsi="宋体"/>
        </w:rPr>
        <w:t xml:space="preserve">                         2015年12月15日</w:t>
      </w:r>
    </w:p>
    <w:p>
      <w:pPr>
        <w:widowControl w:val="0"/>
        <w:spacing w:line="579" w:lineRule="exact"/>
        <w:jc w:val="center"/>
        <w:rPr>
          <w:rFonts w:hint="eastAsia" w:ascii="仿宋_GB2312" w:hAnsi="宋体"/>
        </w:rPr>
      </w:pPr>
    </w:p>
    <w:p>
      <w:pPr>
        <w:widowControl w:val="0"/>
        <w:spacing w:line="579"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珠海市城市绿化补偿费和恢复绿化补偿费</w:t>
      </w:r>
    </w:p>
    <w:p>
      <w:pPr>
        <w:widowControl w:val="0"/>
        <w:spacing w:line="579"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管理办法（2015年修订）</w:t>
      </w:r>
    </w:p>
    <w:p>
      <w:pPr>
        <w:widowControl w:val="0"/>
        <w:spacing w:line="579" w:lineRule="exact"/>
        <w:rPr>
          <w:rFonts w:hint="eastAsia" w:ascii="仿宋_GB2312"/>
        </w:rPr>
      </w:pPr>
    </w:p>
    <w:p>
      <w:pPr>
        <w:widowControl w:val="0"/>
        <w:spacing w:line="550" w:lineRule="exact"/>
        <w:ind w:firstLine="592" w:firstLineChars="200"/>
        <w:jc w:val="both"/>
        <w:rPr>
          <w:rFonts w:ascii="仿宋_GB2312"/>
          <w:spacing w:val="-14"/>
        </w:rPr>
      </w:pPr>
      <w:r>
        <w:rPr>
          <w:rFonts w:hint="eastAsia" w:ascii="黑体" w:eastAsia="黑体"/>
          <w:spacing w:val="-10"/>
        </w:rPr>
        <w:t>第一条</w:t>
      </w:r>
      <w:r>
        <w:rPr>
          <w:rFonts w:hint="eastAsia" w:ascii="仿宋_GB2312"/>
          <w:spacing w:val="-10"/>
        </w:rPr>
        <w:t xml:space="preserve">  </w:t>
      </w:r>
      <w:r>
        <w:rPr>
          <w:rFonts w:hint="eastAsia" w:ascii="仿宋_GB2312"/>
          <w:spacing w:val="-14"/>
        </w:rPr>
        <w:t>为巩固我市城市园林绿化成果，保护和改善城市生态环境，促进城市园林绿化事业的发展，根据《广东省城市绿化条例》、《关于城市绿化收费有关问题的通知》（粤价〔2000〕334号）和《珠海市城市绿化办法》，结合我市实际，制定本办法。</w:t>
      </w:r>
    </w:p>
    <w:p>
      <w:pPr>
        <w:widowControl w:val="0"/>
        <w:spacing w:line="550" w:lineRule="exact"/>
        <w:ind w:firstLine="632" w:firstLineChars="200"/>
        <w:jc w:val="both"/>
        <w:rPr>
          <w:rFonts w:hint="eastAsia" w:ascii="仿宋_GB2312"/>
        </w:rPr>
      </w:pPr>
      <w:r>
        <w:rPr>
          <w:rFonts w:hint="eastAsia" w:ascii="黑体" w:eastAsia="黑体"/>
        </w:rPr>
        <w:t>第二条</w:t>
      </w:r>
      <w:r>
        <w:rPr>
          <w:rFonts w:hint="eastAsia" w:ascii="仿宋_GB2312"/>
        </w:rPr>
        <w:t xml:space="preserve">  在本市城市规划区内发生的城市绿化补偿行为，适用本办法。 </w:t>
      </w:r>
    </w:p>
    <w:p>
      <w:pPr>
        <w:widowControl w:val="0"/>
        <w:spacing w:line="550" w:lineRule="exact"/>
        <w:ind w:firstLine="632" w:firstLineChars="200"/>
        <w:jc w:val="both"/>
        <w:rPr>
          <w:rFonts w:hint="eastAsia" w:ascii="仿宋_GB2312"/>
        </w:rPr>
      </w:pPr>
      <w:r>
        <w:rPr>
          <w:rFonts w:hint="eastAsia" w:ascii="黑体" w:eastAsia="黑体"/>
        </w:rPr>
        <w:t>第三条</w:t>
      </w:r>
      <w:r>
        <w:rPr>
          <w:rFonts w:hint="eastAsia" w:ascii="仿宋_GB2312"/>
        </w:rPr>
        <w:t xml:space="preserve">  凡改变城市绿地功能、占用（临时占用）城市绿地、砍伐或迁移城市树木及绿化设施的单位或个人，应按本实施办法缴纳有关费用。 </w:t>
      </w:r>
    </w:p>
    <w:p>
      <w:pPr>
        <w:widowControl w:val="0"/>
        <w:spacing w:line="550" w:lineRule="exact"/>
        <w:ind w:firstLine="632" w:firstLineChars="200"/>
        <w:jc w:val="both"/>
        <w:rPr>
          <w:rFonts w:hint="eastAsia" w:ascii="仿宋_GB2312"/>
          <w:spacing w:val="-14"/>
        </w:rPr>
      </w:pPr>
      <w:r>
        <w:rPr>
          <w:rFonts w:hint="eastAsia" w:ascii="黑体" w:eastAsia="黑体"/>
        </w:rPr>
        <w:t>第四条</w:t>
      </w:r>
      <w:r>
        <w:rPr>
          <w:rFonts w:hint="eastAsia" w:ascii="仿宋_GB2312"/>
        </w:rPr>
        <w:t xml:space="preserve">  </w:t>
      </w:r>
      <w:r>
        <w:rPr>
          <w:rFonts w:hint="eastAsia" w:ascii="仿宋_GB2312"/>
          <w:spacing w:val="-14"/>
        </w:rPr>
        <w:t>属下列情形之一的，经批准后，须缴纳绿化补偿费：</w:t>
      </w:r>
    </w:p>
    <w:p>
      <w:pPr>
        <w:widowControl w:val="0"/>
        <w:spacing w:line="550" w:lineRule="exact"/>
        <w:ind w:firstLine="632" w:firstLineChars="200"/>
        <w:jc w:val="both"/>
        <w:rPr>
          <w:rFonts w:hint="eastAsia" w:ascii="仿宋_GB2312"/>
        </w:rPr>
      </w:pPr>
      <w:r>
        <w:rPr>
          <w:rFonts w:hint="eastAsia" w:ascii="仿宋_GB2312"/>
        </w:rPr>
        <w:t>（一）由于调整城市规划，改变城市绿地功能的。</w:t>
      </w:r>
    </w:p>
    <w:p>
      <w:pPr>
        <w:widowControl w:val="0"/>
        <w:spacing w:line="550" w:lineRule="exact"/>
        <w:ind w:firstLine="632" w:firstLineChars="200"/>
        <w:jc w:val="both"/>
        <w:rPr>
          <w:rFonts w:hint="eastAsia" w:ascii="仿宋_GB2312"/>
        </w:rPr>
      </w:pPr>
      <w:r>
        <w:rPr>
          <w:rFonts w:hint="eastAsia" w:ascii="仿宋_GB2312"/>
        </w:rPr>
        <w:t>（二）新建、改（扩）建项目的配套绿化用地面积达不到《珠海市城市绿化办法》规定标准的。</w:t>
      </w:r>
    </w:p>
    <w:p>
      <w:pPr>
        <w:widowControl w:val="0"/>
        <w:spacing w:line="550" w:lineRule="exact"/>
        <w:ind w:firstLine="576" w:firstLineChars="200"/>
        <w:jc w:val="both"/>
        <w:rPr>
          <w:rFonts w:hint="eastAsia" w:ascii="仿宋_GB2312"/>
          <w:spacing w:val="-14"/>
        </w:rPr>
      </w:pPr>
      <w:r>
        <w:rPr>
          <w:rFonts w:hint="eastAsia" w:ascii="仿宋_GB2312"/>
          <w:spacing w:val="-14"/>
        </w:rPr>
        <w:t>（三）在城市干道绿化带开设机动车路口需占用城市绿地的。</w:t>
      </w:r>
    </w:p>
    <w:p>
      <w:pPr>
        <w:widowControl w:val="0"/>
        <w:spacing w:line="550" w:lineRule="exact"/>
        <w:ind w:firstLine="632" w:firstLineChars="200"/>
        <w:jc w:val="both"/>
        <w:rPr>
          <w:rFonts w:hint="eastAsia" w:ascii="仿宋_GB2312"/>
        </w:rPr>
      </w:pPr>
      <w:r>
        <w:rPr>
          <w:rFonts w:hint="eastAsia" w:ascii="仿宋_GB2312"/>
        </w:rPr>
        <w:t>（四）城市绿地改造项目，按规定办理“改变绿化规划，绿化用地使用性质”行政许可申请和“绿色图章”审批程序，涉及绿地面积减少的。</w:t>
      </w:r>
    </w:p>
    <w:p>
      <w:pPr>
        <w:widowControl w:val="0"/>
        <w:spacing w:line="550" w:lineRule="exact"/>
        <w:ind w:firstLine="632" w:firstLineChars="200"/>
        <w:jc w:val="both"/>
        <w:rPr>
          <w:rFonts w:hint="eastAsia" w:ascii="仿宋_GB2312"/>
        </w:rPr>
      </w:pPr>
      <w:r>
        <w:rPr>
          <w:rFonts w:hint="eastAsia" w:ascii="黑体" w:eastAsia="黑体"/>
        </w:rPr>
        <w:t>第五条</w:t>
      </w:r>
      <w:r>
        <w:rPr>
          <w:rFonts w:hint="eastAsia" w:ascii="仿宋_GB2312"/>
        </w:rPr>
        <w:t xml:space="preserve">  属下列情形之一的，经批准后，须缴纳恢复绿化补偿费：</w:t>
      </w:r>
    </w:p>
    <w:p>
      <w:pPr>
        <w:widowControl w:val="0"/>
        <w:spacing w:line="550" w:lineRule="exact"/>
        <w:ind w:firstLine="632" w:firstLineChars="200"/>
        <w:jc w:val="both"/>
        <w:rPr>
          <w:rFonts w:hint="eastAsia" w:ascii="仿宋_GB2312"/>
        </w:rPr>
      </w:pPr>
      <w:r>
        <w:rPr>
          <w:rFonts w:hint="eastAsia" w:ascii="仿宋_GB2312"/>
        </w:rPr>
        <w:t>（一）因在城市干道绿化带开设机动车临时路口需占用城市绿地的。</w:t>
      </w:r>
    </w:p>
    <w:p>
      <w:pPr>
        <w:widowControl w:val="0"/>
        <w:spacing w:line="550" w:lineRule="exact"/>
        <w:ind w:firstLine="632" w:firstLineChars="200"/>
        <w:jc w:val="both"/>
        <w:rPr>
          <w:rFonts w:hint="eastAsia" w:ascii="仿宋_GB2312"/>
        </w:rPr>
      </w:pPr>
      <w:r>
        <w:rPr>
          <w:rFonts w:hint="eastAsia" w:ascii="仿宋_GB2312"/>
        </w:rPr>
        <w:t>（二）临时占用城市绿地及绿化设施的。</w:t>
      </w:r>
    </w:p>
    <w:p>
      <w:pPr>
        <w:widowControl w:val="0"/>
        <w:spacing w:line="550" w:lineRule="exact"/>
        <w:ind w:firstLine="632" w:firstLineChars="200"/>
        <w:jc w:val="both"/>
        <w:rPr>
          <w:rFonts w:hint="eastAsia" w:ascii="仿宋_GB2312"/>
        </w:rPr>
      </w:pPr>
      <w:r>
        <w:rPr>
          <w:rFonts w:hint="eastAsia" w:ascii="仿宋_GB2312"/>
        </w:rPr>
        <w:t>（三）砍伐或迁移城市树木的。</w:t>
      </w:r>
    </w:p>
    <w:p>
      <w:pPr>
        <w:widowControl w:val="0"/>
        <w:spacing w:line="550" w:lineRule="exact"/>
        <w:ind w:firstLine="632" w:firstLineChars="200"/>
        <w:jc w:val="both"/>
        <w:rPr>
          <w:rFonts w:hint="eastAsia" w:ascii="仿宋_GB2312"/>
        </w:rPr>
      </w:pPr>
      <w:r>
        <w:rPr>
          <w:rFonts w:hint="eastAsia" w:ascii="黑体" w:eastAsia="黑体"/>
        </w:rPr>
        <w:t>第六条</w:t>
      </w:r>
      <w:r>
        <w:rPr>
          <w:rFonts w:hint="eastAsia" w:ascii="仿宋_GB2312"/>
        </w:rPr>
        <w:t xml:space="preserve">  有下列情形之一的，经批准后，不需缴纳绿化补偿费或恢复绿化补偿费：</w:t>
      </w:r>
    </w:p>
    <w:p>
      <w:pPr>
        <w:widowControl w:val="0"/>
        <w:spacing w:line="550" w:lineRule="exact"/>
        <w:ind w:firstLine="632" w:firstLineChars="200"/>
        <w:jc w:val="both"/>
        <w:rPr>
          <w:rFonts w:hint="eastAsia" w:ascii="仿宋_GB2312"/>
        </w:rPr>
      </w:pPr>
      <w:r>
        <w:rPr>
          <w:rFonts w:hint="eastAsia" w:ascii="仿宋_GB2312"/>
        </w:rPr>
        <w:t>（一）政府投资的公益性公共建设项目需占用（临时占用）城市绿地、砍伐或迁移城市树木及绿化设施的，不需缴纳恢复绿化补偿费。其绿化恢复由项目建设单位负责实施完成。</w:t>
      </w:r>
    </w:p>
    <w:p>
      <w:pPr>
        <w:widowControl w:val="0"/>
        <w:spacing w:line="550" w:lineRule="exact"/>
        <w:ind w:firstLine="632" w:firstLineChars="200"/>
        <w:jc w:val="both"/>
        <w:rPr>
          <w:rFonts w:hint="eastAsia" w:ascii="仿宋_GB2312"/>
        </w:rPr>
      </w:pPr>
      <w:r>
        <w:rPr>
          <w:rFonts w:hint="eastAsia" w:ascii="仿宋_GB2312"/>
        </w:rPr>
        <w:t>（二）城市绿地改造项目，按规定办理“改变绿化规划，绿化用地使用性质”行政许可申请和“绿色图章”审批程序，不涉及绿地面积减少并获得批准的，不需缴纳恢复绿化补偿费</w:t>
      </w:r>
      <w:r>
        <w:rPr>
          <w:rFonts w:hint="eastAsia" w:ascii="仿宋_GB2312"/>
          <w:bCs/>
        </w:rPr>
        <w:t>。</w:t>
      </w:r>
    </w:p>
    <w:p>
      <w:pPr>
        <w:widowControl w:val="0"/>
        <w:spacing w:line="550" w:lineRule="exact"/>
        <w:ind w:firstLine="632" w:firstLineChars="200"/>
        <w:jc w:val="both"/>
        <w:rPr>
          <w:rFonts w:hint="eastAsia" w:ascii="仿宋_GB2312"/>
        </w:rPr>
      </w:pPr>
      <w:r>
        <w:rPr>
          <w:rFonts w:hint="eastAsia" w:ascii="仿宋_GB2312"/>
        </w:rPr>
        <w:t>（三）凡不符合《城市道路绿化规范与设计规划》和《园林绿化植物种植技术规范》等行业规范或存在安全隐患的绿化植物，经审批同意迁移或砍伐，并不需再恢复种植的，不需缴纳绿化补偿费和恢复绿化补偿费。</w:t>
      </w:r>
    </w:p>
    <w:p>
      <w:pPr>
        <w:widowControl w:val="0"/>
        <w:spacing w:line="550" w:lineRule="exact"/>
        <w:ind w:firstLine="632" w:firstLineChars="200"/>
        <w:jc w:val="both"/>
        <w:rPr>
          <w:rFonts w:hint="eastAsia" w:ascii="仿宋_GB2312"/>
        </w:rPr>
      </w:pPr>
      <w:r>
        <w:rPr>
          <w:rFonts w:hint="eastAsia" w:ascii="黑体" w:eastAsia="黑体"/>
        </w:rPr>
        <w:t>第七条</w:t>
      </w:r>
      <w:r>
        <w:rPr>
          <w:rFonts w:hint="eastAsia" w:ascii="仿宋_GB2312"/>
        </w:rPr>
        <w:t xml:space="preserve">  未经批准擅自改变城市绿地功能、占用城市绿地、砍伐或迁移城市树木或破坏绿化设施行为的，除依法予以处罚外，还须缴纳恢复绿化补偿费。</w:t>
      </w:r>
    </w:p>
    <w:p>
      <w:pPr>
        <w:widowControl w:val="0"/>
        <w:spacing w:line="550" w:lineRule="exact"/>
        <w:ind w:firstLine="632" w:firstLineChars="200"/>
        <w:jc w:val="both"/>
        <w:rPr>
          <w:rFonts w:hint="eastAsia" w:ascii="仿宋_GB2312"/>
        </w:rPr>
      </w:pPr>
      <w:r>
        <w:rPr>
          <w:rFonts w:hint="eastAsia" w:ascii="黑体" w:eastAsia="黑体"/>
        </w:rPr>
        <w:t>第八条</w:t>
      </w:r>
      <w:r>
        <w:rPr>
          <w:rFonts w:hint="eastAsia" w:ascii="仿宋_GB2312"/>
        </w:rPr>
        <w:t xml:space="preserve">  我市城市绿化补偿费和恢复绿化补偿费收费标准由市城市绿化行政主管部门编制，报市物价部门批准后实施。</w:t>
      </w:r>
    </w:p>
    <w:p>
      <w:pPr>
        <w:widowControl w:val="0"/>
        <w:spacing w:line="550" w:lineRule="exact"/>
        <w:ind w:firstLine="632" w:firstLineChars="200"/>
        <w:jc w:val="both"/>
        <w:rPr>
          <w:rFonts w:hint="eastAsia" w:ascii="仿宋_GB2312"/>
        </w:rPr>
      </w:pPr>
      <w:r>
        <w:rPr>
          <w:rFonts w:hint="eastAsia" w:ascii="仿宋_GB2312"/>
        </w:rPr>
        <w:t xml:space="preserve">因交通事故等意外原因造成城市绿化植物或绿地设施损坏的，责任人应当向区城市绿化行政主管部门缴纳绿化赔偿费，绿化赔偿费标准参照恢复绿化补偿费标准执行。 </w:t>
      </w:r>
    </w:p>
    <w:p>
      <w:pPr>
        <w:widowControl w:val="0"/>
        <w:spacing w:line="550" w:lineRule="exact"/>
        <w:ind w:firstLine="632" w:firstLineChars="200"/>
        <w:jc w:val="both"/>
        <w:rPr>
          <w:rFonts w:hint="eastAsia" w:ascii="仿宋_GB2312"/>
        </w:rPr>
      </w:pPr>
      <w:r>
        <w:rPr>
          <w:rFonts w:hint="eastAsia" w:ascii="黑体" w:eastAsia="黑体"/>
        </w:rPr>
        <w:t>第九条</w:t>
      </w:r>
      <w:r>
        <w:rPr>
          <w:rFonts w:hint="eastAsia" w:ascii="仿宋_GB2312"/>
        </w:rPr>
        <w:t xml:space="preserve">  绿化补偿费和恢复绿化补偿费属行政事业性收费，统一由城市绿化行政主管部门负责收取。收费单位须到当地物价部门申领《广东省行政事业性收费许可证》，并实行收费公示，按照收费项目中的类别和标准收费。 </w:t>
      </w:r>
    </w:p>
    <w:p>
      <w:pPr>
        <w:widowControl w:val="0"/>
        <w:spacing w:line="550" w:lineRule="exact"/>
        <w:ind w:firstLine="632" w:firstLineChars="200"/>
        <w:jc w:val="both"/>
        <w:rPr>
          <w:rFonts w:hint="eastAsia" w:ascii="仿宋_GB2312"/>
        </w:rPr>
      </w:pPr>
      <w:r>
        <w:rPr>
          <w:rFonts w:hint="eastAsia" w:ascii="黑体" w:eastAsia="黑体"/>
        </w:rPr>
        <w:t>第十条</w:t>
      </w:r>
      <w:r>
        <w:rPr>
          <w:rFonts w:hint="eastAsia" w:ascii="仿宋_GB2312"/>
          <w:bCs/>
        </w:rPr>
        <w:t xml:space="preserve"> </w:t>
      </w:r>
      <w:r>
        <w:rPr>
          <w:rFonts w:hint="eastAsia" w:ascii="仿宋_GB2312"/>
        </w:rPr>
        <w:t xml:space="preserve"> 收取绿化补偿费、恢复绿化补偿费及绿化赔偿费须使用财政部门统一印制的非税收入票据，收费收入实行财政“收支两条线”管理，列入城市绿化专项资金，专款专用。恢复绿化补偿费和绿化赔偿费全额缴入区级财政，绿化补偿费全额缴入市级财政。</w:t>
      </w:r>
      <w:bookmarkStart w:id="0" w:name="_GoBack"/>
      <w:bookmarkEnd w:id="0"/>
    </w:p>
    <w:p>
      <w:pPr>
        <w:widowControl w:val="0"/>
        <w:spacing w:line="550" w:lineRule="exact"/>
        <w:ind w:firstLine="632" w:firstLineChars="200"/>
        <w:jc w:val="both"/>
        <w:rPr>
          <w:rFonts w:hint="eastAsia" w:ascii="仿宋_GB2312"/>
        </w:rPr>
      </w:pPr>
      <w:r>
        <w:rPr>
          <w:rFonts w:hint="eastAsia" w:ascii="黑体" w:eastAsia="黑体"/>
        </w:rPr>
        <w:t>第十一条</w:t>
      </w:r>
      <w:r>
        <w:rPr>
          <w:rFonts w:hint="eastAsia" w:ascii="仿宋_GB2312"/>
        </w:rPr>
        <w:t xml:space="preserve"> 市城市绿化行政主管部门可根据本市城市绿化工作的需要，将收取绿化补偿费、恢复绿化补偿费的权限依法委托给各区城市绿化行政主管部门。</w:t>
      </w:r>
    </w:p>
    <w:p>
      <w:pPr>
        <w:widowControl w:val="0"/>
        <w:spacing w:line="550" w:lineRule="exact"/>
        <w:ind w:firstLine="632" w:firstLineChars="200"/>
        <w:jc w:val="both"/>
        <w:rPr>
          <w:rFonts w:hint="eastAsia" w:ascii="仿宋_GB2312"/>
        </w:rPr>
      </w:pPr>
      <w:r>
        <w:rPr>
          <w:rFonts w:hint="eastAsia" w:ascii="黑体" w:eastAsia="黑体"/>
        </w:rPr>
        <w:t>第十二条</w:t>
      </w:r>
      <w:r>
        <w:rPr>
          <w:rFonts w:hint="eastAsia" w:ascii="仿宋_GB2312"/>
        </w:rPr>
        <w:t xml:space="preserve">  本办法由市市政和林业局负责解释。</w:t>
      </w:r>
    </w:p>
    <w:p>
      <w:pPr>
        <w:widowControl w:val="0"/>
        <w:spacing w:line="550" w:lineRule="exact"/>
        <w:ind w:firstLine="632" w:firstLineChars="200"/>
        <w:jc w:val="both"/>
      </w:pPr>
      <w:r>
        <w:rPr>
          <w:rFonts w:hint="eastAsia" w:ascii="黑体" w:eastAsia="黑体"/>
        </w:rPr>
        <w:t>第十三条</w:t>
      </w:r>
      <w:r>
        <w:rPr>
          <w:rFonts w:hint="eastAsia" w:ascii="仿宋_GB2312"/>
        </w:rPr>
        <w:t xml:space="preserve">  本办法自2016年2月1日起施行。</w:t>
      </w:r>
    </w:p>
    <w:sectPr>
      <w:headerReference r:id="rId5" w:type="first"/>
      <w:headerReference r:id="rId3" w:type="default"/>
      <w:footerReference r:id="rId6" w:type="default"/>
      <w:headerReference r:id="rId4" w:type="even"/>
      <w:footerReference r:id="rId7" w:type="even"/>
      <w:pgSz w:w="11906" w:h="16838"/>
      <w:pgMar w:top="2041" w:right="1531" w:bottom="2041" w:left="1531" w:header="851" w:footer="153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仿宋_GB2312"/>
        <w:sz w:val="32"/>
      </w:rPr>
    </w:pPr>
    <w:r>
      <w:rPr>
        <w:rFonts w:hint="eastAsia" w:ascii="仿宋_GB2312"/>
        <w:kern w:val="0"/>
        <w:sz w:val="28"/>
      </w:rPr>
      <w:t xml:space="preserve">                                                        </w:t>
    </w:r>
    <w:r>
      <w:rPr>
        <w:rFonts w:ascii="仿宋_GB2312"/>
        <w:kern w:val="0"/>
        <w:sz w:val="32"/>
      </w:rPr>
      <w:t xml:space="preserve">- </w:t>
    </w:r>
    <w:r>
      <w:rPr>
        <w:rFonts w:ascii="仿宋_GB2312"/>
        <w:kern w:val="0"/>
        <w:sz w:val="32"/>
      </w:rPr>
      <w:fldChar w:fldCharType="begin"/>
    </w:r>
    <w:r>
      <w:rPr>
        <w:rFonts w:ascii="仿宋_GB2312"/>
        <w:kern w:val="0"/>
        <w:sz w:val="32"/>
      </w:rPr>
      <w:instrText xml:space="preserve"> PAGE </w:instrText>
    </w:r>
    <w:r>
      <w:rPr>
        <w:rFonts w:ascii="仿宋_GB2312"/>
        <w:kern w:val="0"/>
        <w:sz w:val="32"/>
      </w:rPr>
      <w:fldChar w:fldCharType="separate"/>
    </w:r>
    <w:r>
      <w:rPr>
        <w:rFonts w:ascii="仿宋_GB2312"/>
        <w:kern w:val="0"/>
        <w:sz w:val="32"/>
      </w:rPr>
      <w:t>1</w:t>
    </w:r>
    <w:r>
      <w:rPr>
        <w:rFonts w:ascii="仿宋_GB2312"/>
        <w:kern w:val="0"/>
        <w:sz w:val="32"/>
      </w:rPr>
      <w:fldChar w:fldCharType="end"/>
    </w:r>
    <w:r>
      <w:rPr>
        <w:rFonts w:ascii="仿宋_GB2312"/>
        <w:kern w:val="0"/>
        <w:sz w:val="32"/>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20" w:firstLineChars="100"/>
      <w:rPr>
        <w:rFonts w:ascii="仿宋_GB2312"/>
        <w:sz w:val="32"/>
      </w:rPr>
    </w:pPr>
    <w:r>
      <w:rPr>
        <w:rFonts w:ascii="仿宋_GB2312"/>
        <w:kern w:val="0"/>
        <w:sz w:val="32"/>
      </w:rPr>
      <w:t xml:space="preserve">- </w:t>
    </w:r>
    <w:r>
      <w:rPr>
        <w:rFonts w:ascii="仿宋_GB2312"/>
        <w:kern w:val="0"/>
        <w:sz w:val="32"/>
      </w:rPr>
      <w:fldChar w:fldCharType="begin"/>
    </w:r>
    <w:r>
      <w:rPr>
        <w:rFonts w:ascii="仿宋_GB2312"/>
        <w:kern w:val="0"/>
        <w:sz w:val="32"/>
      </w:rPr>
      <w:instrText xml:space="preserve"> PAGE </w:instrText>
    </w:r>
    <w:r>
      <w:rPr>
        <w:rFonts w:ascii="仿宋_GB2312"/>
        <w:kern w:val="0"/>
        <w:sz w:val="32"/>
      </w:rPr>
      <w:fldChar w:fldCharType="separate"/>
    </w:r>
    <w:r>
      <w:rPr>
        <w:rFonts w:ascii="仿宋_GB2312"/>
        <w:kern w:val="0"/>
        <w:sz w:val="32"/>
      </w:rPr>
      <w:t>2</w:t>
    </w:r>
    <w:r>
      <w:rPr>
        <w:rFonts w:ascii="仿宋_GB2312"/>
        <w:kern w:val="0"/>
        <w:sz w:val="32"/>
      </w:rPr>
      <w:fldChar w:fldCharType="end"/>
    </w:r>
    <w:r>
      <w:rPr>
        <w:rFonts w:ascii="仿宋_GB2312"/>
        <w:kern w:val="0"/>
        <w:sz w:val="3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F2ECD"/>
    <w:rsid w:val="39BF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仿宋_GB2312" w:cs="Times New Roman"/>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pPr>
    <w:rPr>
      <w:kern w:val="2"/>
      <w:sz w:val="18"/>
      <w:lang w:eastAsia="zh-CN"/>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2021-05-13T01:32:00Z</dcterms:created>
  <dc:creator>lzzzt</dc:creator>
  <cp:lastModifiedBy>lzzzt</cp:lastModifiedBy>
  <dcterms:modified xsi:type="dcterms:W3CDTF">2021-05-13T01:34:47Z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3E460FA2095A4BBDA4A7DE2A88E826BD</vt:lpwstr>
  </property>
</Properties>
</file>