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550" w:lineRule="exact"/>
        <w:ind w:right="-4"/>
        <w:jc w:val="right"/>
        <w:rPr>
          <w:rFonts w:hint="eastAsia" w:ascii="黑体" w:hAnsi="黑体" w:eastAsia="黑体"/>
          <w:highlight w:val="none"/>
        </w:rPr>
      </w:pPr>
    </w:p>
    <w:p>
      <w:pPr>
        <w:spacing w:line="550" w:lineRule="exact"/>
        <w:rPr>
          <w:rFonts w:hint="eastAsia"/>
          <w:highlight w:val="none"/>
        </w:rPr>
      </w:pPr>
    </w:p>
    <w:p>
      <w:pPr>
        <w:spacing w:line="550" w:lineRule="exact"/>
        <w:jc w:val="right"/>
        <w:rPr>
          <w:rFonts w:hint="eastAsia" w:ascii="仿宋_GB2312" w:hAnsi="仿宋"/>
          <w:highlight w:val="none"/>
        </w:rPr>
      </w:pPr>
      <w:r>
        <w:rPr>
          <w:rFonts w:hint="eastAsia" w:ascii="仿宋_GB2312" w:hAnsi="仿宋"/>
          <w:highlight w:val="none"/>
        </w:rPr>
        <w:t>珠府函〔</w:t>
      </w:r>
      <w:r>
        <w:rPr>
          <w:rFonts w:hint="eastAsia" w:ascii="仿宋_GB2312"/>
          <w:highlight w:val="none"/>
          <w:lang w:val="en-US" w:eastAsia="zh-CN"/>
        </w:rPr>
        <w:t>2020</w:t>
      </w:r>
      <w:r>
        <w:rPr>
          <w:rFonts w:hint="eastAsia" w:ascii="仿宋_GB2312" w:hAnsi="仿宋"/>
          <w:highlight w:val="none"/>
        </w:rPr>
        <w:t>〕</w:t>
      </w:r>
      <w:r>
        <w:rPr>
          <w:rFonts w:hint="eastAsia" w:ascii="仿宋_GB2312"/>
          <w:highlight w:val="none"/>
          <w:lang w:val="en-US" w:eastAsia="zh-CN"/>
        </w:rPr>
        <w:t>189</w:t>
      </w:r>
      <w:r>
        <w:rPr>
          <w:rFonts w:hint="eastAsia" w:ascii="仿宋_GB2312" w:hAnsi="仿宋"/>
          <w:highlight w:val="none"/>
        </w:rPr>
        <w:t>号</w:t>
      </w:r>
    </w:p>
    <w:p>
      <w:pPr>
        <w:tabs>
          <w:tab w:val="left" w:pos="7584"/>
          <w:tab w:val="left" w:pos="7742"/>
        </w:tabs>
        <w:spacing w:line="550" w:lineRule="exact"/>
        <w:rPr>
          <w:rFonts w:hint="eastAsia"/>
          <w:highlight w:val="none"/>
        </w:rPr>
      </w:pPr>
    </w:p>
    <w:p>
      <w:pPr>
        <w:keepNext w:val="0"/>
        <w:keepLines w:val="0"/>
        <w:pageBreakBefore w:val="0"/>
        <w:widowControl w:val="0"/>
        <w:kinsoku/>
        <w:wordWrap/>
        <w:overflowPunct/>
        <w:topLinePunct w:val="0"/>
        <w:autoSpaceDE/>
        <w:autoSpaceDN/>
        <w:bidi w:val="0"/>
        <w:adjustRightInd/>
        <w:snapToGrid w:val="0"/>
        <w:spacing w:line="579"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珠海市人民政府关于成立珠海市农村乱占耕地建房问题整治工作领导小组的通知</w:t>
      </w:r>
    </w:p>
    <w:p>
      <w:pPr>
        <w:spacing w:line="579" w:lineRule="exact"/>
        <w:jc w:val="center"/>
        <w:rPr>
          <w:rFonts w:hint="default" w:ascii="Times New Roman" w:hAnsi="Times New Roman" w:cs="Times New Roman"/>
          <w:highlight w:val="none"/>
          <w:lang w:val="en-US" w:eastAsia="zh-CN"/>
        </w:rPr>
      </w:pPr>
    </w:p>
    <w:p>
      <w:pPr>
        <w:spacing w:line="579" w:lineRule="exact"/>
        <w:rPr>
          <w:rFonts w:hint="eastAsia" w:ascii="仿宋" w:hAnsi="仿宋" w:cs="仿宋"/>
          <w:highlight w:val="none"/>
          <w:lang w:val="en-US" w:eastAsia="zh-CN"/>
        </w:rPr>
      </w:pPr>
      <w:r>
        <w:rPr>
          <w:rFonts w:hint="eastAsia" w:ascii="仿宋" w:hAnsi="仿宋" w:cs="仿宋"/>
          <w:highlight w:val="none"/>
          <w:lang w:val="en-US" w:eastAsia="zh-CN"/>
        </w:rPr>
        <w:t>横琴新区管委会，各区政府（管委会），市政府各部门、各直属机构：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为加强我市对农村乱占耕地建房问题整治工作的组织领导，根据《广东省人民政府关于成立广东省农村乱占耕地建房问题整治工作领导小组的通知》（粤府函〔2020〕164号），决定成立珠海市农村乱占耕地建房问题整治工作领导小组(以下简称领导小组)。现就有关事项通知如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黑体" w:hAnsi="黑体" w:eastAsia="黑体" w:cs="黑体"/>
          <w:highlight w:val="none"/>
          <w:lang w:val="en-US" w:eastAsia="zh-CN"/>
        </w:rPr>
      </w:pPr>
      <w:r>
        <w:rPr>
          <w:rFonts w:hint="eastAsia" w:ascii="黑体" w:hAnsi="黑体" w:eastAsia="黑体" w:cs="黑体"/>
          <w:highlight w:val="none"/>
          <w:lang w:val="en-US" w:eastAsia="zh-CN"/>
        </w:rPr>
        <w:t>一、主要职责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贯彻落实习近平总书记重要指示批示精神，按照党中央、国务院和省委、省政府决策部署，统筹推进全市农村乱占耕地建房问题整治工作，协调解决工作中遇到的重大问题，指导督促各区、各有关部门落实各项工作任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黑体" w:hAnsi="黑体" w:eastAsia="黑体" w:cs="黑体"/>
          <w:highlight w:val="none"/>
          <w:lang w:val="en-US" w:eastAsia="zh-CN"/>
        </w:rPr>
      </w:pPr>
      <w:r>
        <w:rPr>
          <w:rFonts w:hint="eastAsia" w:ascii="黑体" w:hAnsi="黑体" w:eastAsia="黑体" w:cs="黑体"/>
          <w:highlight w:val="none"/>
          <w:lang w:val="en-US" w:eastAsia="zh-CN"/>
        </w:rPr>
        <w:t>二、组成人员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组  长：姚奕生  市委副书记、市长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副组长：龚海明  市委常委、市纪委书记、市监委主任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刘嘉文  副市长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成  员: 武  林  市政府秘书长、办公室主任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何庆明  市政府副秘书长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杨  川  横琴新区管委会主任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刘齐英  香洲区区长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赵伟媛  金湾区区长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马洪胜  斗门区区长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苏  虎  高新区管委会主任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赵  力  保税区管委会主任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吕红珍  万山区管委会主任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赵适剑  高栏港区管委会主任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陈家平  富山工</w:t>
      </w:r>
      <w:r>
        <w:rPr>
          <w:rFonts w:hint="eastAsia" w:cs="仿宋"/>
          <w:highlight w:val="none"/>
          <w:lang w:val="en-US" w:eastAsia="zh-CN"/>
        </w:rPr>
        <w:t>业园</w:t>
      </w:r>
      <w:r>
        <w:rPr>
          <w:rFonts w:hint="eastAsia" w:ascii="仿宋" w:hAnsi="仿宋" w:cs="仿宋"/>
          <w:highlight w:val="none"/>
          <w:lang w:val="en-US" w:eastAsia="zh-CN"/>
        </w:rPr>
        <w:t>管委会主任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侯军玺  市纪委副书记、市监委副主任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张  华  市委组织部副部长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闵云童  市委宣传部常务副部长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李奕根  市委统战部常务副部长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林  云  市委改革办副主任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余家惜  市委网信办副主任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孙仪波  市人大常委会法工委副主任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于思浩  市发展改革局局长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林日团  市教育局局长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沈  岩  市工业和信息化局局长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曾庆林  市公安局常务副局长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陈耀平  市民政局局长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李红平  市司法局局长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戴伟辉  市财政局局长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王朝晖  市自然资源局局长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default" w:ascii="仿宋" w:hAnsi="仿宋" w:cs="仿宋"/>
          <w:highlight w:val="none"/>
          <w:lang w:val="en-US" w:eastAsia="zh-CN"/>
        </w:rPr>
      </w:pPr>
      <w:r>
        <w:rPr>
          <w:rFonts w:hint="eastAsia" w:ascii="仿宋" w:hAnsi="仿宋" w:cs="仿宋"/>
          <w:highlight w:val="none"/>
          <w:lang w:val="en-US" w:eastAsia="zh-CN"/>
        </w:rPr>
        <w:t xml:space="preserve">        </w:t>
      </w:r>
      <w:r>
        <w:rPr>
          <w:rFonts w:hint="eastAsia" w:cs="仿宋"/>
          <w:highlight w:val="none"/>
          <w:lang w:val="en-US" w:eastAsia="zh-CN"/>
        </w:rPr>
        <w:t xml:space="preserve">彭  甦  </w:t>
      </w:r>
      <w:r>
        <w:rPr>
          <w:rFonts w:hint="eastAsia" w:ascii="仿宋" w:hAnsi="仿宋" w:cs="仿宋"/>
          <w:highlight w:val="none"/>
          <w:lang w:val="en-US" w:eastAsia="zh-CN"/>
        </w:rPr>
        <w:t>市住房城乡建设局</w:t>
      </w:r>
      <w:r>
        <w:rPr>
          <w:rFonts w:hint="eastAsia" w:cs="仿宋"/>
          <w:highlight w:val="none"/>
          <w:lang w:val="en-US" w:eastAsia="zh-CN"/>
        </w:rPr>
        <w:t>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陈振毅  市农业农村局局长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王小彬  市商务局局长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王玲萍  市文化广电旅游体育局局长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徐超龙  市卫生健康局局长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石学斌  市市场监管局局长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潘伟明  市城市管理综合执法局局长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王智斌  市中级法院常务副院长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仿宋" w:hAnsi="仿宋" w:cs="仿宋"/>
          <w:highlight w:val="none"/>
          <w:lang w:val="en-US" w:eastAsia="zh-CN"/>
        </w:rPr>
      </w:pPr>
      <w:r>
        <w:rPr>
          <w:rFonts w:hint="eastAsia" w:ascii="仿宋" w:hAnsi="仿宋" w:cs="仿宋"/>
          <w:highlight w:val="none"/>
          <w:lang w:val="en-US" w:eastAsia="zh-CN"/>
        </w:rPr>
        <w:t xml:space="preserve">        向少良  市检察院副检察长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eastAsia" w:ascii="黑体" w:hAnsi="黑体" w:eastAsia="黑体" w:cs="黑体"/>
          <w:highlight w:val="none"/>
          <w:lang w:val="en-US" w:eastAsia="zh-CN"/>
        </w:rPr>
      </w:pPr>
      <w:r>
        <w:rPr>
          <w:rFonts w:hint="eastAsia" w:ascii="黑体" w:hAnsi="黑体" w:eastAsia="黑体" w:cs="黑体"/>
          <w:highlight w:val="none"/>
          <w:lang w:val="en-US" w:eastAsia="zh-CN"/>
        </w:rPr>
        <w:t>三、工作机制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default" w:ascii="仿宋" w:hAnsi="仿宋" w:eastAsia="仿宋" w:cs="仿宋"/>
          <w:highlight w:val="none"/>
          <w:lang w:val="en-US" w:eastAsia="zh-CN"/>
        </w:rPr>
      </w:pPr>
      <w:r>
        <w:rPr>
          <w:rFonts w:hint="eastAsia" w:ascii="仿宋" w:hAnsi="仿宋" w:cs="仿宋"/>
          <w:highlight w:val="none"/>
          <w:lang w:val="en-US" w:eastAsia="zh-CN"/>
        </w:rPr>
        <w:t>领导小组不纳入市级议事协调机构管理，不刻制印章。领导小组根据工作需要不定期召开会议。领导小组办公室设在市自然资源局，办公室主任由市自然资源局主要负责同志兼任。领导小组成员因工作变动需要调整的，由所在单位向领导小组办公室提出，按程序报领导小组组长批准，并抄送市委编办。整治工作结束后，领导小组及其办公室自行撤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24" w:firstLineChars="200"/>
        <w:jc w:val="both"/>
        <w:textAlignment w:val="auto"/>
        <w:outlineLvl w:val="9"/>
        <w:rPr>
          <w:rFonts w:hint="default" w:ascii="仿宋" w:hAnsi="仿宋" w:eastAsia="仿宋" w:cs="仿宋"/>
          <w:highlight w:val="none"/>
          <w:lang w:val="en-US" w:eastAsia="zh-CN"/>
        </w:rPr>
      </w:pPr>
    </w:p>
    <w:p>
      <w:pPr>
        <w:tabs>
          <w:tab w:val="left" w:pos="7584"/>
          <w:tab w:val="left" w:pos="7742"/>
        </w:tabs>
        <w:spacing w:line="550" w:lineRule="exact"/>
        <w:rPr>
          <w:rFonts w:hint="eastAsia" w:ascii="黑体" w:hAnsi="黑体" w:eastAsia="黑体"/>
        </w:rPr>
      </w:pPr>
    </w:p>
    <w:p>
      <w:pPr>
        <w:keepNext w:val="0"/>
        <w:keepLines w:val="0"/>
        <w:pageBreakBefore w:val="0"/>
        <w:widowControl w:val="0"/>
        <w:kinsoku/>
        <w:wordWrap w:val="0"/>
        <w:overflowPunct/>
        <w:topLinePunct w:val="0"/>
        <w:autoSpaceDE/>
        <w:autoSpaceDN/>
        <w:bidi w:val="0"/>
        <w:adjustRightInd/>
        <w:snapToGrid/>
        <w:spacing w:line="579" w:lineRule="exact"/>
        <w:ind w:left="0" w:leftChars="0" w:right="0" w:rightChars="0" w:firstLine="624" w:firstLineChars="200"/>
        <w:jc w:val="right"/>
        <w:textAlignment w:val="auto"/>
        <w:outlineLvl w:val="9"/>
        <w:rPr>
          <w:rFonts w:hint="default" w:ascii="仿宋" w:hAnsi="仿宋" w:cs="仿宋"/>
          <w:highlight w:val="none"/>
          <w:lang w:val="en-US" w:eastAsia="zh-CN"/>
        </w:rPr>
      </w:pPr>
      <w:r>
        <w:rPr>
          <w:rFonts w:hint="eastAsia" w:ascii="仿宋" w:hAnsi="仿宋" w:cs="仿宋"/>
          <w:highlight w:val="none"/>
          <w:lang w:val="en-US" w:eastAsia="zh-CN"/>
        </w:rPr>
        <w:t>珠海市人民政府</w:t>
      </w:r>
      <w:r>
        <w:rPr>
          <w:rFonts w:hint="eastAsia" w:cs="仿宋"/>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9" w:lineRule="exact"/>
        <w:ind w:left="0" w:leftChars="0" w:right="0" w:rightChars="0" w:firstLine="624" w:firstLineChars="200"/>
        <w:jc w:val="right"/>
        <w:textAlignment w:val="auto"/>
        <w:outlineLvl w:val="9"/>
        <w:rPr>
          <w:rFonts w:hint="default" w:ascii="仿宋" w:hAnsi="仿宋" w:cs="仿宋"/>
          <w:highlight w:val="none"/>
          <w:lang w:val="en-US" w:eastAsia="zh-CN"/>
        </w:rPr>
      </w:pPr>
      <w:r>
        <w:rPr>
          <w:rFonts w:hint="eastAsia" w:cs="仿宋"/>
          <w:highlight w:val="none"/>
          <w:lang w:val="en-US" w:eastAsia="zh-CN"/>
        </w:rPr>
        <w:t xml:space="preserve">2020年9月29日      </w:t>
      </w:r>
    </w:p>
    <w:p>
      <w:pPr>
        <w:tabs>
          <w:tab w:val="left" w:pos="7584"/>
          <w:tab w:val="left" w:pos="7742"/>
        </w:tabs>
        <w:spacing w:line="550" w:lineRule="exact"/>
        <w:rPr>
          <w:rFonts w:hint="eastAsia" w:ascii="黑体" w:hAnsi="黑体" w:eastAsia="黑体"/>
        </w:rPr>
      </w:pPr>
    </w:p>
    <w:p>
      <w:pPr>
        <w:tabs>
          <w:tab w:val="left" w:pos="7584"/>
          <w:tab w:val="left" w:pos="7742"/>
        </w:tabs>
        <w:spacing w:line="550" w:lineRule="exact"/>
        <w:rPr>
          <w:rFonts w:hint="eastAsia" w:ascii="黑体" w:hAnsi="黑体" w:eastAsia="黑体"/>
        </w:rPr>
      </w:pPr>
    </w:p>
    <w:p>
      <w:pPr>
        <w:tabs>
          <w:tab w:val="left" w:pos="7584"/>
          <w:tab w:val="left" w:pos="7742"/>
        </w:tabs>
        <w:spacing w:line="550" w:lineRule="exact"/>
        <w:rPr>
          <w:rFonts w:hint="eastAsia" w:ascii="黑体" w:hAnsi="黑体" w:eastAsia="黑体"/>
        </w:rPr>
      </w:pPr>
    </w:p>
    <w:p>
      <w:pPr>
        <w:tabs>
          <w:tab w:val="left" w:pos="7584"/>
          <w:tab w:val="left" w:pos="7742"/>
        </w:tabs>
        <w:spacing w:line="550" w:lineRule="exact"/>
        <w:rPr>
          <w:rFonts w:hint="eastAsia" w:ascii="黑体" w:hAnsi="黑体" w:eastAsia="黑体"/>
        </w:rPr>
      </w:pPr>
    </w:p>
    <w:p>
      <w:pPr>
        <w:tabs>
          <w:tab w:val="left" w:pos="7584"/>
          <w:tab w:val="left" w:pos="7742"/>
        </w:tabs>
        <w:spacing w:line="550" w:lineRule="exact"/>
        <w:rPr>
          <w:rFonts w:hint="eastAsia" w:ascii="黑体" w:hAnsi="黑体" w:eastAsia="黑体"/>
        </w:rPr>
      </w:pPr>
    </w:p>
    <w:p>
      <w:pPr>
        <w:tabs>
          <w:tab w:val="left" w:pos="7584"/>
          <w:tab w:val="left" w:pos="7742"/>
        </w:tabs>
        <w:spacing w:line="550" w:lineRule="exact"/>
        <w:rPr>
          <w:rFonts w:hint="eastAsia" w:ascii="黑体" w:hAnsi="黑体" w:eastAsia="黑体"/>
        </w:rPr>
      </w:pPr>
    </w:p>
    <w:p>
      <w:pPr>
        <w:tabs>
          <w:tab w:val="left" w:pos="7584"/>
          <w:tab w:val="left" w:pos="7742"/>
        </w:tabs>
        <w:spacing w:line="550" w:lineRule="exact"/>
        <w:rPr>
          <w:rFonts w:hint="eastAsia" w:ascii="黑体" w:hAnsi="黑体" w:eastAsia="黑体"/>
        </w:rPr>
      </w:pPr>
    </w:p>
    <w:p>
      <w:bookmarkStart w:id="0" w:name="_GoBack"/>
      <w:bookmarkEnd w:id="0"/>
    </w:p>
    <w:sectPr>
      <w:footerReference r:id="rId3" w:type="default"/>
      <w:pgSz w:w="11907" w:h="16840"/>
      <w:pgMar w:top="2041" w:right="1531" w:bottom="2041" w:left="1531" w:header="851" w:footer="1531" w:gutter="0"/>
      <w:cols w:space="720" w:num="1"/>
      <w:rtlGutter w:val="0"/>
      <w:docGrid w:type="linesAndChars" w:linePitch="579"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82781"/>
    <w:rsid w:val="126A6097"/>
    <w:rsid w:val="161D2FF9"/>
    <w:rsid w:val="22C70358"/>
    <w:rsid w:val="27C26E2D"/>
    <w:rsid w:val="28522C72"/>
    <w:rsid w:val="443C5CCE"/>
    <w:rsid w:val="53EE0151"/>
    <w:rsid w:val="62A23ED5"/>
    <w:rsid w:val="69132389"/>
    <w:rsid w:val="6B01778F"/>
    <w:rsid w:val="74A82781"/>
    <w:rsid w:val="762866DD"/>
    <w:rsid w:val="7B41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kern w:val="2"/>
      <w:sz w:val="32"/>
      <w:szCs w:val="32"/>
      <w:lang w:val="en-US" w:eastAsia="zh-CN" w:bidi="ar-SA"/>
    </w:rPr>
  </w:style>
  <w:style w:type="character" w:default="1" w:styleId="4">
    <w:name w:val="Default Paragraph Font"/>
    <w:link w:val="5"/>
    <w:semiHidden/>
    <w:qFormat/>
    <w:uiPriority w:val="0"/>
    <w:rPr>
      <w:rFonts w:eastAsia="宋体"/>
      <w:sz w:val="21"/>
      <w:szCs w:val="20"/>
    </w:rPr>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默认段落字体 Para Char Char Char Char Char Char Char"/>
    <w:basedOn w:val="1"/>
    <w:link w:val="4"/>
    <w:qFormat/>
    <w:uiPriority w:val="0"/>
    <w:pPr>
      <w:adjustRightInd w:val="0"/>
      <w:spacing w:line="360" w:lineRule="auto"/>
    </w:pPr>
    <w:rPr>
      <w:rFonts w:eastAsia="宋体"/>
      <w:sz w:val="21"/>
      <w:szCs w:val="20"/>
    </w:rPr>
  </w:style>
  <w:style w:type="character" w:styleId="6">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Pages>
  <Words>0</Words>
  <Characters>0</Characters>
  <Lines>0</Lines>
  <Paragraphs>0</Paragraphs>
  <TotalTime>44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2020-09-25T02:32:00Z</dcterms:created>
  <dc:creator>李伦(送拟办)</dc:creator>
  <cp:lastModifiedBy>冰冻木山灰</cp:lastModifiedBy>
  <dcterms:modified xsi:type="dcterms:W3CDTF">2020-11-17T03:18:53Z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