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napToGrid w:val="0"/>
          <w:kern w:val="0"/>
          <w:sz w:val="28"/>
          <w:szCs w:val="28"/>
        </w:rPr>
      </w:pPr>
      <w:bookmarkStart w:id="0" w:name="_GoBack"/>
      <w:r>
        <w:rPr>
          <w:rFonts w:ascii="黑体" w:hAnsi="黑体" w:eastAsia="黑体"/>
          <w:bCs/>
          <w:snapToGrid w:val="0"/>
          <w:kern w:val="0"/>
          <w:sz w:val="28"/>
          <w:szCs w:val="28"/>
        </w:rPr>
        <w:t>附件3</w:t>
      </w:r>
    </w:p>
    <w:bookmarkEnd w:id="0"/>
    <w:p>
      <w:pPr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珠海市物业服务企业失信信息评分标准</w:t>
      </w:r>
    </w:p>
    <w:tbl>
      <w:tblPr>
        <w:tblStyle w:val="3"/>
        <w:tblW w:w="14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35"/>
        <w:gridCol w:w="4926"/>
        <w:gridCol w:w="5048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失信信息分类</w:t>
            </w:r>
          </w:p>
        </w:tc>
        <w:tc>
          <w:tcPr>
            <w:tcW w:w="49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失信信息内容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评分内容与标准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1</w:t>
            </w: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违法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违规类</w:t>
            </w: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经司法生效判决认定构成单位犯罪的信息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每一案件扣100分。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具备法律效力的文书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2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列入失信被执行名单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每一例扣100分。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具备法律效力的文书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3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被国家住房城乡建设部、省、市、区物业主管部门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及其它行政部门</w:t>
            </w: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因物业服务事项下达行政处罚决定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每一例分别扣25、20、15分。可累计扣分，最多可扣50分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。特别说明：其中未履行生活垃圾分类管理责任，被下达行政处罚决定的，每一例扣25分。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行政处罚决定书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4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对市、区物业主管部门的监管政策拒不执行的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每一例15分。可累计扣分，最多可扣45分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5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对市、区物业主管部门下达的整改通知书，拒不整改或整改不到位的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每一例扣15分。可累计扣分，最多可扣45分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整改通知书及有关证明文件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6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对物业管理区域内发生的违法违规行为或损害公共利益的禁止行为，未履行发现、劝阻、报告职责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每一例扣5分。可累计扣分，最多可扣15分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以调查核实情况为准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7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国家、省、市规定的其他严重失信行为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每一例扣15分。可累计扣分，最多可扣30分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具备法律效力的文书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8</w:t>
            </w: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违反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物业服务合同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约定类</w:t>
            </w: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因管理失职，造成受委托服务物业项目人员伤亡或财产损失等安全责任事故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每一起扣15分。可累计扣分，最多可扣30分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具备法律效力的文书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9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违反物业服务合同约定，降低物业服务标准，被业主投诉、媒体曝光，经查证属实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每一例扣10分。可累计扣分，最多可扣30分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以调查核实情况为准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10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拒不接受政府部门依法监督检查的，或者因物业服务不到位引发业主集访、多次信访或者因物业服务不到位，被市、区物业管理行政主管部门约谈的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市、区，分别按20、10扣分。可累计扣分，最多可扣50分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以调查核实情况为准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11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snapToGrid w:val="0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" w:cs="Times New Roman"/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</w:rPr>
              <w:t>行业协会给予通报批评等处理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国家、省级、市级协会，分别按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20</w:t>
            </w: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10</w:t>
            </w: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扣分。可累计扣分，最多可扣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20</w:t>
            </w: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有关证明文件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12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snapToGrid w:val="0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" w:cs="Times New Roman"/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</w:rPr>
              <w:t>国家、省及本市规定的其他失信信息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每一例扣10分。可累计扣分，最多可扣30分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有关证明文件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13</w:t>
            </w: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snapToGrid w:val="0"/>
              </w:rPr>
            </w:pPr>
          </w:p>
        </w:tc>
        <w:tc>
          <w:tcPr>
            <w:tcW w:w="4926" w:type="dxa"/>
            <w:noWrap w:val="0"/>
            <w:vAlign w:val="center"/>
          </w:tcPr>
          <w:p>
            <w:pPr>
              <w:pStyle w:val="2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" w:cs="Times New Roman"/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</w:rPr>
              <w:t>区级以上物业管理行政主管部门认定可记录的其他失信信息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每一例扣10分。可累计扣分，最多可扣30分</w:t>
            </w: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snapToGrid w:val="0"/>
                <w:kern w:val="0"/>
                <w:sz w:val="24"/>
              </w:rPr>
              <w:t>特别说明：未完全履行生活垃圾分类管理责任的，经核查属实，每一例扣15分。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"/>
                <w:snapToGrid w:val="0"/>
                <w:kern w:val="0"/>
                <w:sz w:val="24"/>
              </w:rPr>
              <w:t>有关证明文件</w:t>
            </w:r>
          </w:p>
        </w:tc>
      </w:tr>
    </w:tbl>
    <w:p>
      <w:pPr>
        <w:spacing w:line="50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评分说明：1．同一失信信息有多个扣分情形的，按最高扣分标准扣。</w:t>
      </w:r>
    </w:p>
    <w:p>
      <w:pPr>
        <w:spacing w:line="500" w:lineRule="exact"/>
        <w:ind w:left="1599" w:leftChars="400" w:hanging="319" w:hangingChars="133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2．</w:t>
      </w:r>
      <w:r>
        <w:rPr>
          <w:rFonts w:ascii="Times New Roman" w:hAnsi="Times New Roman" w:eastAsia="仿宋"/>
          <w:sz w:val="24"/>
        </w:rPr>
        <w:t>已超过记分范围的失信信息，载入信用档案，不予记分。</w:t>
      </w:r>
    </w:p>
    <w:p/>
    <w:sectPr>
      <w:pgSz w:w="16838" w:h="11906" w:orient="landscape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2020-08-27T10:53:09Z</dcterms:created>
  <dc:creator>Administrator</dc:creator>
  <cp:lastModifiedBy>邝玉英</cp:lastModifiedBy>
  <dcterms:modified xsi:type="dcterms:W3CDTF">2020-08-27T10:56:08Z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