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bCs/>
          <w:snapToGrid w:val="0"/>
          <w:kern w:val="0"/>
          <w:sz w:val="28"/>
          <w:szCs w:val="28"/>
        </w:rPr>
      </w:pPr>
      <w:r>
        <w:rPr>
          <w:rFonts w:ascii="黑体" w:hAnsi="黑体" w:eastAsia="黑体"/>
          <w:bCs/>
          <w:snapToGrid w:val="0"/>
          <w:kern w:val="0"/>
          <w:sz w:val="28"/>
          <w:szCs w:val="28"/>
        </w:rPr>
        <w:t>附件2</w:t>
      </w:r>
    </w:p>
    <w:p>
      <w:pPr>
        <w:spacing w:line="600" w:lineRule="exact"/>
        <w:jc w:val="center"/>
        <w:rPr>
          <w:rFonts w:ascii="Times New Roman" w:hAnsi="Times New Roman" w:eastAsia="方正小标宋简体"/>
          <w:snapToGrid w:val="0"/>
          <w:color w:val="FF0000"/>
          <w:kern w:val="0"/>
          <w:sz w:val="44"/>
          <w:szCs w:val="44"/>
        </w:rPr>
      </w:pPr>
      <w:r>
        <w:rPr>
          <w:rFonts w:ascii="Times New Roman" w:hAnsi="Times New Roman" w:eastAsia="方正小标宋简体"/>
          <w:snapToGrid w:val="0"/>
          <w:kern w:val="0"/>
          <w:sz w:val="44"/>
          <w:szCs w:val="44"/>
        </w:rPr>
        <w:t>珠海市物业服务企业优良信息评分标准</w:t>
      </w:r>
    </w:p>
    <w:tbl>
      <w:tblPr>
        <w:tblStyle w:val="2"/>
        <w:tblW w:w="1402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8"/>
        <w:gridCol w:w="2705"/>
        <w:gridCol w:w="7996"/>
        <w:gridCol w:w="26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36" w:hRule="atLeast"/>
          <w:jc w:val="center"/>
        </w:trPr>
        <w:tc>
          <w:tcPr>
            <w:tcW w:w="688" w:type="dxa"/>
            <w:noWrap w:val="0"/>
            <w:vAlign w:val="center"/>
          </w:tcPr>
          <w:p>
            <w:pPr>
              <w:spacing w:line="400" w:lineRule="exact"/>
              <w:jc w:val="center"/>
              <w:rPr>
                <w:rFonts w:ascii="Times New Roman" w:hAnsi="Times New Roman" w:eastAsia="仿宋"/>
                <w:snapToGrid w:val="0"/>
                <w:kern w:val="0"/>
                <w:sz w:val="24"/>
              </w:rPr>
            </w:pPr>
            <w:r>
              <w:rPr>
                <w:rFonts w:ascii="Times New Roman" w:hAnsi="Times New Roman" w:eastAsia="仿宋"/>
                <w:snapToGrid w:val="0"/>
                <w:kern w:val="0"/>
                <w:sz w:val="21"/>
                <w:szCs w:val="21"/>
              </w:rPr>
              <w:t>序号</w:t>
            </w:r>
          </w:p>
        </w:tc>
        <w:tc>
          <w:tcPr>
            <w:tcW w:w="2705" w:type="dxa"/>
            <w:noWrap w:val="0"/>
            <w:vAlign w:val="center"/>
          </w:tcPr>
          <w:p>
            <w:pPr>
              <w:spacing w:line="40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信息类别</w:t>
            </w:r>
          </w:p>
        </w:tc>
        <w:tc>
          <w:tcPr>
            <w:tcW w:w="7996" w:type="dxa"/>
            <w:noWrap w:val="0"/>
            <w:vAlign w:val="center"/>
          </w:tcPr>
          <w:p>
            <w:pPr>
              <w:spacing w:line="40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评分内容与标准</w:t>
            </w:r>
          </w:p>
        </w:tc>
        <w:tc>
          <w:tcPr>
            <w:tcW w:w="2640" w:type="dxa"/>
            <w:noWrap w:val="0"/>
            <w:vAlign w:val="center"/>
          </w:tcPr>
          <w:p>
            <w:pPr>
              <w:spacing w:line="40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评分依据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688" w:type="dxa"/>
            <w:noWrap w:val="0"/>
            <w:vAlign w:val="center"/>
          </w:tcPr>
          <w:p>
            <w:pPr>
              <w:tabs>
                <w:tab w:val="center" w:pos="4153"/>
                <w:tab w:val="right" w:pos="8306"/>
              </w:tabs>
              <w:snapToGrid w:val="0"/>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1</w:t>
            </w:r>
          </w:p>
        </w:tc>
        <w:tc>
          <w:tcPr>
            <w:tcW w:w="2705" w:type="dxa"/>
            <w:noWrap w:val="0"/>
            <w:vAlign w:val="center"/>
          </w:tcPr>
          <w:p>
            <w:pPr>
              <w:tabs>
                <w:tab w:val="center" w:pos="4153"/>
                <w:tab w:val="right" w:pos="8306"/>
              </w:tabs>
              <w:snapToGrid w:val="0"/>
              <w:spacing w:line="300" w:lineRule="exact"/>
              <w:rPr>
                <w:rFonts w:hint="eastAsia" w:ascii="仿宋" w:hAnsi="仿宋" w:eastAsia="仿宋" w:cs="仿宋"/>
                <w:snapToGrid w:val="0"/>
                <w:kern w:val="0"/>
                <w:sz w:val="24"/>
              </w:rPr>
            </w:pPr>
            <w:r>
              <w:rPr>
                <w:rFonts w:hint="eastAsia" w:ascii="仿宋" w:hAnsi="仿宋" w:eastAsia="仿宋" w:cs="仿宋"/>
                <w:snapToGrid w:val="0"/>
                <w:kern w:val="0"/>
                <w:sz w:val="24"/>
              </w:rPr>
              <w:t>建立健全党组织</w:t>
            </w:r>
          </w:p>
        </w:tc>
        <w:tc>
          <w:tcPr>
            <w:tcW w:w="7996" w:type="dxa"/>
            <w:noWrap w:val="0"/>
            <w:vAlign w:val="center"/>
          </w:tcPr>
          <w:p>
            <w:pPr>
              <w:tabs>
                <w:tab w:val="center" w:pos="4153"/>
                <w:tab w:val="right" w:pos="8306"/>
              </w:tabs>
              <w:snapToGrid w:val="0"/>
              <w:spacing w:line="300" w:lineRule="exact"/>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经上级党组织批准，物业服务企业已单独建成立党组织的，得10分。</w:t>
            </w:r>
          </w:p>
          <w:p>
            <w:pPr>
              <w:tabs>
                <w:tab w:val="center" w:pos="4153"/>
                <w:tab w:val="right" w:pos="8306"/>
              </w:tabs>
              <w:snapToGrid w:val="0"/>
              <w:spacing w:line="300" w:lineRule="exact"/>
              <w:rPr>
                <w:rFonts w:hint="eastAsia" w:ascii="仿宋" w:hAnsi="仿宋" w:eastAsia="仿宋" w:cs="仿宋"/>
                <w:snapToGrid w:val="0"/>
                <w:kern w:val="0"/>
                <w:sz w:val="24"/>
              </w:rPr>
            </w:pPr>
            <w:r>
              <w:rPr>
                <w:rFonts w:hint="eastAsia" w:ascii="仿宋" w:hAnsi="仿宋" w:eastAsia="仿宋" w:cs="仿宋"/>
                <w:snapToGrid w:val="0"/>
                <w:color w:val="000000"/>
                <w:kern w:val="0"/>
                <w:sz w:val="24"/>
              </w:rPr>
              <w:t>物业服务企业建立联合党支部的得5分，物业服务企业（法人）负责人同时兼任该企业党组织负责人的，得10分。</w:t>
            </w:r>
          </w:p>
        </w:tc>
        <w:tc>
          <w:tcPr>
            <w:tcW w:w="2640" w:type="dxa"/>
            <w:noWrap w:val="0"/>
            <w:vAlign w:val="center"/>
          </w:tcPr>
          <w:p>
            <w:pPr>
              <w:tabs>
                <w:tab w:val="center" w:pos="4153"/>
                <w:tab w:val="right" w:pos="8306"/>
              </w:tabs>
              <w:snapToGrid w:val="0"/>
              <w:spacing w:line="300" w:lineRule="exact"/>
              <w:rPr>
                <w:rFonts w:hint="eastAsia" w:ascii="仿宋" w:hAnsi="仿宋" w:eastAsia="仿宋" w:cs="仿宋"/>
                <w:snapToGrid w:val="0"/>
                <w:kern w:val="0"/>
                <w:sz w:val="24"/>
              </w:rPr>
            </w:pPr>
            <w:r>
              <w:rPr>
                <w:rFonts w:hint="eastAsia" w:ascii="仿宋" w:hAnsi="仿宋" w:eastAsia="仿宋" w:cs="仿宋"/>
                <w:snapToGrid w:val="0"/>
                <w:color w:val="666666"/>
                <w:kern w:val="0"/>
                <w:sz w:val="24"/>
              </w:rPr>
              <w:t>上级党组织批准文件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688" w:type="dxa"/>
            <w:noWrap w:val="0"/>
            <w:vAlign w:val="center"/>
          </w:tcPr>
          <w:p>
            <w:pPr>
              <w:tabs>
                <w:tab w:val="center" w:pos="4153"/>
                <w:tab w:val="right" w:pos="8306"/>
              </w:tabs>
              <w:snapToGrid w:val="0"/>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2</w:t>
            </w:r>
          </w:p>
        </w:tc>
        <w:tc>
          <w:tcPr>
            <w:tcW w:w="2705" w:type="dxa"/>
            <w:noWrap w:val="0"/>
            <w:vAlign w:val="center"/>
          </w:tcPr>
          <w:p>
            <w:pPr>
              <w:tabs>
                <w:tab w:val="center" w:pos="4153"/>
                <w:tab w:val="right" w:pos="8306"/>
              </w:tabs>
              <w:snapToGrid w:val="0"/>
              <w:spacing w:line="300" w:lineRule="exact"/>
              <w:rPr>
                <w:rFonts w:hint="eastAsia" w:ascii="仿宋" w:hAnsi="仿宋" w:eastAsia="仿宋" w:cs="仿宋"/>
                <w:snapToGrid w:val="0"/>
                <w:kern w:val="0"/>
                <w:sz w:val="24"/>
              </w:rPr>
            </w:pPr>
            <w:r>
              <w:rPr>
                <w:rFonts w:hint="eastAsia" w:ascii="仿宋" w:hAnsi="仿宋" w:eastAsia="仿宋" w:cs="仿宋"/>
                <w:snapToGrid w:val="0"/>
                <w:kern w:val="0"/>
                <w:sz w:val="24"/>
              </w:rPr>
              <w:t>各级党组织表彰奖励</w:t>
            </w:r>
          </w:p>
        </w:tc>
        <w:tc>
          <w:tcPr>
            <w:tcW w:w="7996" w:type="dxa"/>
            <w:noWrap w:val="0"/>
            <w:vAlign w:val="center"/>
          </w:tcPr>
          <w:p>
            <w:pPr>
              <w:tabs>
                <w:tab w:val="center" w:pos="4153"/>
                <w:tab w:val="right" w:pos="8306"/>
              </w:tabs>
              <w:snapToGrid w:val="0"/>
              <w:spacing w:line="300" w:lineRule="exact"/>
              <w:rPr>
                <w:rFonts w:hint="eastAsia" w:ascii="仿宋" w:hAnsi="仿宋" w:eastAsia="仿宋" w:cs="仿宋"/>
                <w:snapToGrid w:val="0"/>
                <w:color w:val="000000"/>
                <w:kern w:val="0"/>
                <w:sz w:val="24"/>
              </w:rPr>
            </w:pPr>
            <w:r>
              <w:rPr>
                <w:rFonts w:ascii="仿宋" w:hAnsi="仿宋" w:eastAsia="仿宋" w:cs="仿宋"/>
                <w:snapToGrid w:val="0"/>
                <w:color w:val="000000"/>
                <w:kern w:val="0"/>
                <w:sz w:val="24"/>
              </w:rPr>
              <w:t>分别获得中央、省级、市级、区级、镇街党建工作荣誉表彰的企业或项目，每项分别得40、30、20、10、5分奖励。可累计得分，最高不超过100分。</w:t>
            </w:r>
          </w:p>
        </w:tc>
        <w:tc>
          <w:tcPr>
            <w:tcW w:w="2640" w:type="dxa"/>
            <w:noWrap w:val="0"/>
            <w:vAlign w:val="center"/>
          </w:tcPr>
          <w:p>
            <w:pPr>
              <w:tabs>
                <w:tab w:val="center" w:pos="4153"/>
                <w:tab w:val="right" w:pos="8306"/>
              </w:tabs>
              <w:snapToGrid w:val="0"/>
              <w:spacing w:line="300" w:lineRule="exact"/>
              <w:rPr>
                <w:rFonts w:hint="eastAsia" w:ascii="仿宋" w:hAnsi="仿宋" w:eastAsia="仿宋" w:cs="仿宋"/>
                <w:snapToGrid w:val="0"/>
                <w:kern w:val="0"/>
                <w:sz w:val="24"/>
              </w:rPr>
            </w:pPr>
            <w:r>
              <w:rPr>
                <w:rFonts w:hint="eastAsia" w:ascii="仿宋" w:hAnsi="仿宋" w:eastAsia="仿宋" w:cs="仿宋"/>
                <w:snapToGrid w:val="0"/>
                <w:kern w:val="0"/>
                <w:sz w:val="24"/>
              </w:rPr>
              <w:t>具备法律效力的文书或者其他有效证明文件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81" w:hRule="atLeast"/>
          <w:jc w:val="center"/>
        </w:trPr>
        <w:tc>
          <w:tcPr>
            <w:tcW w:w="688" w:type="dxa"/>
            <w:noWrap w:val="0"/>
            <w:vAlign w:val="center"/>
          </w:tcPr>
          <w:p>
            <w:pPr>
              <w:tabs>
                <w:tab w:val="center" w:pos="4153"/>
                <w:tab w:val="right" w:pos="8306"/>
              </w:tabs>
              <w:snapToGrid w:val="0"/>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3</w:t>
            </w:r>
          </w:p>
        </w:tc>
        <w:tc>
          <w:tcPr>
            <w:tcW w:w="2705" w:type="dxa"/>
            <w:noWrap w:val="0"/>
            <w:vAlign w:val="center"/>
          </w:tcPr>
          <w:p>
            <w:pPr>
              <w:tabs>
                <w:tab w:val="center" w:pos="4153"/>
                <w:tab w:val="right" w:pos="8306"/>
              </w:tabs>
              <w:snapToGrid w:val="0"/>
              <w:spacing w:line="300" w:lineRule="exact"/>
              <w:rPr>
                <w:rFonts w:hint="eastAsia" w:ascii="仿宋" w:hAnsi="仿宋" w:eastAsia="仿宋" w:cs="仿宋"/>
                <w:snapToGrid w:val="0"/>
                <w:kern w:val="0"/>
                <w:sz w:val="24"/>
              </w:rPr>
            </w:pPr>
          </w:p>
          <w:p>
            <w:pPr>
              <w:tabs>
                <w:tab w:val="center" w:pos="4153"/>
                <w:tab w:val="right" w:pos="8306"/>
              </w:tabs>
              <w:snapToGrid w:val="0"/>
              <w:spacing w:line="300" w:lineRule="exact"/>
              <w:rPr>
                <w:rFonts w:hint="eastAsia" w:ascii="仿宋" w:hAnsi="仿宋" w:eastAsia="仿宋" w:cs="仿宋"/>
                <w:snapToGrid w:val="0"/>
                <w:kern w:val="0"/>
                <w:sz w:val="24"/>
              </w:rPr>
            </w:pPr>
            <w:r>
              <w:rPr>
                <w:rFonts w:hint="eastAsia" w:ascii="仿宋" w:hAnsi="仿宋" w:eastAsia="仿宋" w:cs="仿宋"/>
                <w:snapToGrid w:val="0"/>
                <w:kern w:val="0"/>
                <w:sz w:val="24"/>
              </w:rPr>
              <w:t>各级国家机关表彰奖励</w:t>
            </w:r>
          </w:p>
        </w:tc>
        <w:tc>
          <w:tcPr>
            <w:tcW w:w="7996" w:type="dxa"/>
            <w:noWrap w:val="0"/>
            <w:vAlign w:val="center"/>
          </w:tcPr>
          <w:p>
            <w:pPr>
              <w:tabs>
                <w:tab w:val="center" w:pos="4153"/>
                <w:tab w:val="right" w:pos="8306"/>
              </w:tabs>
              <w:snapToGrid w:val="0"/>
              <w:spacing w:line="300" w:lineRule="exact"/>
              <w:rPr>
                <w:rFonts w:hint="eastAsia" w:ascii="仿宋" w:hAnsi="仿宋" w:eastAsia="仿宋" w:cs="仿宋"/>
                <w:snapToGrid w:val="0"/>
                <w:kern w:val="0"/>
                <w:sz w:val="24"/>
              </w:rPr>
            </w:pPr>
            <w:r>
              <w:rPr>
                <w:rFonts w:hint="eastAsia" w:ascii="仿宋" w:hAnsi="仿宋" w:eastAsia="仿宋" w:cs="仿宋"/>
                <w:snapToGrid w:val="0"/>
                <w:kern w:val="0"/>
                <w:sz w:val="24"/>
              </w:rPr>
              <w:t>国家、省级（部委）、市级、区级、镇街表彰企业的，每一项分别得40、30、20、10、5分；表彰法定代表人（负责人）、物业项目负责人的，企业按减半得分。可累计得分，最高不超过100分。</w:t>
            </w:r>
          </w:p>
        </w:tc>
        <w:tc>
          <w:tcPr>
            <w:tcW w:w="2640" w:type="dxa"/>
            <w:noWrap w:val="0"/>
            <w:vAlign w:val="center"/>
          </w:tcPr>
          <w:p>
            <w:pPr>
              <w:tabs>
                <w:tab w:val="center" w:pos="4153"/>
                <w:tab w:val="right" w:pos="8306"/>
              </w:tabs>
              <w:snapToGrid w:val="0"/>
              <w:spacing w:line="300" w:lineRule="exact"/>
              <w:rPr>
                <w:rFonts w:hint="eastAsia" w:ascii="仿宋" w:hAnsi="仿宋" w:eastAsia="仿宋" w:cs="仿宋"/>
                <w:snapToGrid w:val="0"/>
                <w:kern w:val="0"/>
                <w:sz w:val="24"/>
              </w:rPr>
            </w:pPr>
            <w:r>
              <w:rPr>
                <w:rFonts w:hint="eastAsia" w:ascii="仿宋" w:hAnsi="仿宋" w:eastAsia="仿宋" w:cs="仿宋"/>
                <w:snapToGrid w:val="0"/>
                <w:kern w:val="0"/>
                <w:sz w:val="24"/>
              </w:rPr>
              <w:t>具备法律效力的文书或者其他有效证明文件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50" w:hRule="atLeast"/>
          <w:jc w:val="center"/>
        </w:trPr>
        <w:tc>
          <w:tcPr>
            <w:tcW w:w="688" w:type="dxa"/>
            <w:noWrap w:val="0"/>
            <w:vAlign w:val="center"/>
          </w:tcPr>
          <w:p>
            <w:pPr>
              <w:tabs>
                <w:tab w:val="center" w:pos="4153"/>
                <w:tab w:val="right" w:pos="8306"/>
              </w:tabs>
              <w:snapToGrid w:val="0"/>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4</w:t>
            </w:r>
          </w:p>
        </w:tc>
        <w:tc>
          <w:tcPr>
            <w:tcW w:w="2705" w:type="dxa"/>
            <w:noWrap w:val="0"/>
            <w:vAlign w:val="center"/>
          </w:tcPr>
          <w:p>
            <w:pPr>
              <w:tabs>
                <w:tab w:val="center" w:pos="4153"/>
                <w:tab w:val="right" w:pos="8306"/>
              </w:tabs>
              <w:snapToGrid w:val="0"/>
              <w:spacing w:line="300" w:lineRule="exact"/>
              <w:rPr>
                <w:rFonts w:hint="eastAsia" w:ascii="仿宋" w:hAnsi="仿宋" w:eastAsia="仿宋" w:cs="仿宋"/>
                <w:snapToGrid w:val="0"/>
                <w:kern w:val="0"/>
                <w:sz w:val="24"/>
              </w:rPr>
            </w:pPr>
            <w:r>
              <w:rPr>
                <w:rFonts w:hint="eastAsia" w:ascii="仿宋" w:hAnsi="仿宋" w:eastAsia="仿宋" w:cs="仿宋"/>
                <w:snapToGrid w:val="0"/>
                <w:kern w:val="0"/>
                <w:sz w:val="24"/>
              </w:rPr>
              <w:t>各级行业协会表彰奖励</w:t>
            </w:r>
          </w:p>
        </w:tc>
        <w:tc>
          <w:tcPr>
            <w:tcW w:w="7996" w:type="dxa"/>
            <w:noWrap w:val="0"/>
            <w:vAlign w:val="center"/>
          </w:tcPr>
          <w:p>
            <w:pPr>
              <w:tabs>
                <w:tab w:val="center" w:pos="4153"/>
                <w:tab w:val="right" w:pos="8306"/>
              </w:tabs>
              <w:snapToGrid w:val="0"/>
              <w:spacing w:line="300" w:lineRule="exact"/>
              <w:rPr>
                <w:rFonts w:hint="eastAsia" w:ascii="仿宋" w:hAnsi="仿宋" w:eastAsia="仿宋" w:cs="仿宋"/>
                <w:snapToGrid w:val="0"/>
                <w:kern w:val="0"/>
                <w:sz w:val="24"/>
              </w:rPr>
            </w:pPr>
            <w:r>
              <w:rPr>
                <w:rFonts w:hint="eastAsia" w:ascii="仿宋" w:hAnsi="仿宋" w:eastAsia="仿宋" w:cs="仿宋"/>
                <w:snapToGrid w:val="0"/>
                <w:kern w:val="0"/>
                <w:sz w:val="24"/>
              </w:rPr>
              <w:t>国家、省、市物业协会表彰企业的，每一项按15、10、5得分；表彰物业服务项目或法定代表人（负责人）、物业项目负责人的，企业按减半得分。可累计得分，最高不超过40分。</w:t>
            </w:r>
          </w:p>
        </w:tc>
        <w:tc>
          <w:tcPr>
            <w:tcW w:w="2640" w:type="dxa"/>
            <w:noWrap w:val="0"/>
            <w:vAlign w:val="center"/>
          </w:tcPr>
          <w:p>
            <w:pPr>
              <w:spacing w:line="300" w:lineRule="exact"/>
              <w:rPr>
                <w:rFonts w:hint="eastAsia" w:ascii="仿宋" w:hAnsi="仿宋" w:eastAsia="仿宋" w:cs="仿宋"/>
                <w:snapToGrid w:val="0"/>
                <w:kern w:val="0"/>
                <w:sz w:val="24"/>
              </w:rPr>
            </w:pPr>
            <w:r>
              <w:rPr>
                <w:rFonts w:hint="eastAsia" w:ascii="仿宋" w:hAnsi="仿宋" w:eastAsia="仿宋" w:cs="仿宋"/>
                <w:snapToGrid w:val="0"/>
                <w:kern w:val="0"/>
                <w:sz w:val="24"/>
              </w:rPr>
              <w:t>具备法律效力的文书或者其他有效证明文件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9" w:hRule="atLeast"/>
          <w:jc w:val="center"/>
        </w:trPr>
        <w:tc>
          <w:tcPr>
            <w:tcW w:w="688" w:type="dxa"/>
            <w:noWrap w:val="0"/>
            <w:vAlign w:val="center"/>
          </w:tcPr>
          <w:p>
            <w:pPr>
              <w:tabs>
                <w:tab w:val="center" w:pos="4153"/>
                <w:tab w:val="right" w:pos="8306"/>
              </w:tabs>
              <w:snapToGrid w:val="0"/>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5</w:t>
            </w:r>
          </w:p>
        </w:tc>
        <w:tc>
          <w:tcPr>
            <w:tcW w:w="2705" w:type="dxa"/>
            <w:noWrap w:val="0"/>
            <w:vAlign w:val="center"/>
          </w:tcPr>
          <w:p>
            <w:pPr>
              <w:widowControl/>
              <w:spacing w:line="300" w:lineRule="exact"/>
              <w:rPr>
                <w:rFonts w:hint="eastAsia" w:ascii="仿宋" w:hAnsi="仿宋" w:eastAsia="仿宋" w:cs="仿宋"/>
                <w:snapToGrid w:val="0"/>
                <w:kern w:val="0"/>
                <w:sz w:val="24"/>
              </w:rPr>
            </w:pPr>
            <w:r>
              <w:rPr>
                <w:rFonts w:hint="eastAsia" w:ascii="仿宋" w:hAnsi="仿宋" w:eastAsia="仿宋" w:cs="仿宋"/>
                <w:snapToGrid w:val="0"/>
                <w:kern w:val="0"/>
                <w:sz w:val="24"/>
              </w:rPr>
              <w:t>国家、省及本市规定的其他优良信息</w:t>
            </w:r>
          </w:p>
        </w:tc>
        <w:tc>
          <w:tcPr>
            <w:tcW w:w="7996" w:type="dxa"/>
            <w:noWrap w:val="0"/>
            <w:vAlign w:val="center"/>
          </w:tcPr>
          <w:p>
            <w:pPr>
              <w:tabs>
                <w:tab w:val="center" w:pos="4153"/>
                <w:tab w:val="right" w:pos="8306"/>
              </w:tabs>
              <w:snapToGrid w:val="0"/>
              <w:spacing w:line="300" w:lineRule="exact"/>
              <w:rPr>
                <w:rFonts w:hint="eastAsia" w:ascii="仿宋" w:hAnsi="仿宋" w:eastAsia="仿宋" w:cs="仿宋"/>
                <w:snapToGrid w:val="0"/>
                <w:kern w:val="0"/>
                <w:sz w:val="24"/>
              </w:rPr>
            </w:pPr>
            <w:r>
              <w:rPr>
                <w:rFonts w:hint="eastAsia" w:ascii="仿宋" w:hAnsi="仿宋" w:eastAsia="仿宋" w:cs="仿宋"/>
                <w:snapToGrid w:val="0"/>
                <w:kern w:val="0"/>
                <w:sz w:val="24"/>
              </w:rPr>
              <w:t>市级（含）以上，每一例得15分；市级以下，得10分。可累计得分，最高不超过50分。</w:t>
            </w:r>
          </w:p>
        </w:tc>
        <w:tc>
          <w:tcPr>
            <w:tcW w:w="2640" w:type="dxa"/>
            <w:noWrap w:val="0"/>
            <w:vAlign w:val="center"/>
          </w:tcPr>
          <w:p>
            <w:pPr>
              <w:spacing w:line="300" w:lineRule="exact"/>
              <w:rPr>
                <w:rFonts w:hint="eastAsia" w:ascii="仿宋" w:hAnsi="仿宋" w:eastAsia="仿宋" w:cs="仿宋"/>
                <w:snapToGrid w:val="0"/>
                <w:kern w:val="0"/>
                <w:sz w:val="24"/>
              </w:rPr>
            </w:pPr>
            <w:r>
              <w:rPr>
                <w:rFonts w:hint="eastAsia" w:ascii="仿宋" w:hAnsi="仿宋" w:eastAsia="仿宋" w:cs="仿宋"/>
                <w:snapToGrid w:val="0"/>
                <w:kern w:val="0"/>
                <w:sz w:val="24"/>
              </w:rPr>
              <w:t>具备法律效力的文书或者其他有效证明文件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1" w:hRule="atLeast"/>
          <w:jc w:val="center"/>
        </w:trPr>
        <w:tc>
          <w:tcPr>
            <w:tcW w:w="688" w:type="dxa"/>
            <w:noWrap w:val="0"/>
            <w:vAlign w:val="center"/>
          </w:tcPr>
          <w:p>
            <w:pPr>
              <w:tabs>
                <w:tab w:val="center" w:pos="4153"/>
                <w:tab w:val="right" w:pos="8306"/>
              </w:tabs>
              <w:snapToGrid w:val="0"/>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6</w:t>
            </w:r>
          </w:p>
        </w:tc>
        <w:tc>
          <w:tcPr>
            <w:tcW w:w="2705" w:type="dxa"/>
            <w:noWrap w:val="0"/>
            <w:vAlign w:val="center"/>
          </w:tcPr>
          <w:p>
            <w:pPr>
              <w:widowControl/>
              <w:spacing w:line="300" w:lineRule="exact"/>
              <w:rPr>
                <w:rFonts w:hint="eastAsia" w:ascii="仿宋" w:hAnsi="仿宋" w:eastAsia="仿宋" w:cs="仿宋"/>
                <w:snapToGrid w:val="0"/>
                <w:kern w:val="0"/>
                <w:sz w:val="24"/>
              </w:rPr>
            </w:pPr>
            <w:r>
              <w:rPr>
                <w:rFonts w:hint="eastAsia" w:ascii="仿宋" w:hAnsi="仿宋" w:eastAsia="仿宋" w:cs="仿宋"/>
                <w:snapToGrid w:val="0"/>
                <w:kern w:val="0"/>
                <w:sz w:val="24"/>
              </w:rPr>
              <w:t>区物业主管部门及镇街认定的其他优良信息</w:t>
            </w:r>
          </w:p>
        </w:tc>
        <w:tc>
          <w:tcPr>
            <w:tcW w:w="7996" w:type="dxa"/>
            <w:noWrap w:val="0"/>
            <w:vAlign w:val="center"/>
          </w:tcPr>
          <w:p>
            <w:pPr>
              <w:tabs>
                <w:tab w:val="center" w:pos="4153"/>
                <w:tab w:val="right" w:pos="8306"/>
              </w:tabs>
              <w:snapToGrid w:val="0"/>
              <w:spacing w:line="300" w:lineRule="exact"/>
              <w:rPr>
                <w:rFonts w:hint="eastAsia" w:ascii="仿宋" w:hAnsi="仿宋" w:eastAsia="仿宋" w:cs="仿宋"/>
                <w:snapToGrid w:val="0"/>
                <w:kern w:val="0"/>
                <w:sz w:val="24"/>
              </w:rPr>
            </w:pPr>
            <w:r>
              <w:rPr>
                <w:rFonts w:hint="eastAsia" w:ascii="仿宋" w:hAnsi="仿宋" w:eastAsia="仿宋" w:cs="仿宋"/>
                <w:snapToGrid w:val="0"/>
                <w:kern w:val="0"/>
                <w:sz w:val="24"/>
              </w:rPr>
              <w:t>每一例可得5分。可累计得分，最高不超过40分。</w:t>
            </w:r>
          </w:p>
        </w:tc>
        <w:tc>
          <w:tcPr>
            <w:tcW w:w="2640" w:type="dxa"/>
            <w:noWrap w:val="0"/>
            <w:vAlign w:val="center"/>
          </w:tcPr>
          <w:p>
            <w:pPr>
              <w:spacing w:line="300" w:lineRule="exact"/>
              <w:rPr>
                <w:rFonts w:hint="eastAsia" w:ascii="仿宋" w:hAnsi="仿宋" w:eastAsia="仿宋" w:cs="仿宋"/>
                <w:snapToGrid w:val="0"/>
                <w:kern w:val="0"/>
                <w:sz w:val="24"/>
              </w:rPr>
            </w:pPr>
            <w:r>
              <w:rPr>
                <w:rFonts w:hint="eastAsia" w:ascii="仿宋" w:hAnsi="仿宋" w:eastAsia="仿宋" w:cs="仿宋"/>
                <w:snapToGrid w:val="0"/>
                <w:kern w:val="0"/>
                <w:sz w:val="24"/>
              </w:rPr>
              <w:t>具备法律效力的文书或者其他有效证明文件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688" w:type="dxa"/>
            <w:noWrap w:val="0"/>
            <w:vAlign w:val="center"/>
          </w:tcPr>
          <w:p>
            <w:pPr>
              <w:tabs>
                <w:tab w:val="center" w:pos="4153"/>
                <w:tab w:val="right" w:pos="8306"/>
              </w:tabs>
              <w:snapToGrid w:val="0"/>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7</w:t>
            </w:r>
          </w:p>
        </w:tc>
        <w:tc>
          <w:tcPr>
            <w:tcW w:w="2705" w:type="dxa"/>
            <w:noWrap w:val="0"/>
            <w:vAlign w:val="center"/>
          </w:tcPr>
          <w:p>
            <w:pPr>
              <w:widowControl/>
              <w:spacing w:line="300" w:lineRule="exact"/>
              <w:rPr>
                <w:rFonts w:hint="eastAsia" w:ascii="仿宋" w:hAnsi="仿宋" w:eastAsia="仿宋" w:cs="仿宋"/>
                <w:snapToGrid w:val="0"/>
                <w:kern w:val="0"/>
                <w:sz w:val="24"/>
              </w:rPr>
            </w:pPr>
            <w:r>
              <w:rPr>
                <w:rFonts w:hint="eastAsia" w:ascii="仿宋" w:hAnsi="仿宋" w:eastAsia="仿宋" w:cs="仿宋"/>
                <w:snapToGrid w:val="0"/>
                <w:kern w:val="0"/>
                <w:sz w:val="24"/>
              </w:rPr>
              <w:t>物业服务企业主动承担社会责任或参与公益活动，获得认可的</w:t>
            </w:r>
          </w:p>
        </w:tc>
        <w:tc>
          <w:tcPr>
            <w:tcW w:w="7996" w:type="dxa"/>
            <w:noWrap w:val="0"/>
            <w:vAlign w:val="center"/>
          </w:tcPr>
          <w:p>
            <w:pPr>
              <w:tabs>
                <w:tab w:val="center" w:pos="4153"/>
                <w:tab w:val="right" w:pos="8306"/>
              </w:tabs>
              <w:snapToGrid w:val="0"/>
              <w:spacing w:line="300" w:lineRule="exact"/>
              <w:rPr>
                <w:rFonts w:hint="eastAsia" w:ascii="仿宋" w:hAnsi="仿宋" w:eastAsia="仿宋" w:cs="仿宋"/>
                <w:snapToGrid w:val="0"/>
                <w:kern w:val="0"/>
                <w:sz w:val="24"/>
              </w:rPr>
            </w:pPr>
            <w:r>
              <w:rPr>
                <w:rFonts w:hint="eastAsia" w:ascii="仿宋" w:hAnsi="仿宋" w:eastAsia="仿宋" w:cs="仿宋"/>
                <w:snapToGrid w:val="0"/>
                <w:kern w:val="0"/>
                <w:sz w:val="24"/>
              </w:rPr>
              <w:t>被中央、省级、市级、区级主要媒体正面报道的，每一例分别得20、15、10、5分。可累计得分，最高不超过40分。</w:t>
            </w:r>
          </w:p>
        </w:tc>
        <w:tc>
          <w:tcPr>
            <w:tcW w:w="2640" w:type="dxa"/>
            <w:noWrap w:val="0"/>
            <w:vAlign w:val="center"/>
          </w:tcPr>
          <w:p>
            <w:pPr>
              <w:spacing w:line="300" w:lineRule="exact"/>
              <w:rPr>
                <w:rFonts w:hint="eastAsia" w:ascii="仿宋" w:hAnsi="仿宋" w:eastAsia="仿宋" w:cs="仿宋"/>
                <w:snapToGrid w:val="0"/>
                <w:kern w:val="0"/>
                <w:sz w:val="24"/>
              </w:rPr>
            </w:pPr>
            <w:r>
              <w:rPr>
                <w:rFonts w:hint="eastAsia" w:ascii="仿宋" w:hAnsi="仿宋" w:eastAsia="仿宋" w:cs="仿宋"/>
                <w:snapToGrid w:val="0"/>
                <w:kern w:val="0"/>
                <w:sz w:val="24"/>
              </w:rPr>
              <w:t>具备法律效力的文书、有效证明文件或媒体报道记录</w:t>
            </w:r>
          </w:p>
        </w:tc>
      </w:tr>
    </w:tbl>
    <w:p>
      <w:pPr>
        <w:spacing w:line="300" w:lineRule="exact"/>
        <w:rPr>
          <w:rFonts w:ascii="Times New Roman" w:hAnsi="Times New Roman" w:eastAsia="仿宋"/>
          <w:sz w:val="24"/>
        </w:rPr>
      </w:pPr>
      <w:r>
        <w:rPr>
          <w:rFonts w:ascii="Times New Roman" w:hAnsi="Times New Roman" w:eastAsia="仿宋"/>
          <w:snapToGrid w:val="0"/>
          <w:kern w:val="0"/>
          <w:szCs w:val="32"/>
        </w:rPr>
        <w:t xml:space="preserve"> </w:t>
      </w:r>
      <w:r>
        <w:rPr>
          <w:rFonts w:ascii="Times New Roman" w:hAnsi="Times New Roman" w:eastAsia="仿宋"/>
          <w:szCs w:val="32"/>
        </w:rPr>
        <w:t xml:space="preserve"> </w:t>
      </w:r>
      <w:r>
        <w:rPr>
          <w:rFonts w:ascii="Times New Roman" w:hAnsi="Times New Roman" w:eastAsia="仿宋"/>
          <w:sz w:val="24"/>
        </w:rPr>
        <w:t>评分标准说明：</w:t>
      </w:r>
    </w:p>
    <w:p>
      <w:pPr>
        <w:spacing w:line="300" w:lineRule="exact"/>
        <w:ind w:firstLine="720" w:firstLineChars="300"/>
        <w:rPr>
          <w:rFonts w:ascii="Times New Roman" w:hAnsi="Times New Roman" w:eastAsia="仿宋"/>
          <w:sz w:val="24"/>
        </w:rPr>
      </w:pPr>
      <w:r>
        <w:rPr>
          <w:rFonts w:ascii="Times New Roman" w:hAnsi="Times New Roman" w:eastAsia="仿宋"/>
          <w:sz w:val="24"/>
        </w:rPr>
        <w:t>1．本评分标准中最高得分均指一个信用记录周期内，同一信息类别最高累计得分。</w:t>
      </w:r>
    </w:p>
    <w:p>
      <w:pPr>
        <w:spacing w:line="300" w:lineRule="exact"/>
        <w:ind w:firstLine="720" w:firstLineChars="300"/>
        <w:rPr>
          <w:rFonts w:ascii="Times New Roman" w:hAnsi="Times New Roman" w:eastAsia="仿宋"/>
          <w:sz w:val="24"/>
        </w:rPr>
      </w:pPr>
      <w:r>
        <w:rPr>
          <w:rFonts w:ascii="Times New Roman" w:hAnsi="Times New Roman" w:eastAsia="仿宋"/>
          <w:sz w:val="24"/>
        </w:rPr>
        <w:t>2．已超过记分范围的优良信息，载入信用档案，不予记分。</w:t>
      </w:r>
    </w:p>
    <w:p>
      <w:pPr>
        <w:spacing w:line="300" w:lineRule="exact"/>
        <w:ind w:firstLine="720" w:firstLineChars="300"/>
        <w:rPr>
          <w:rFonts w:ascii="Times New Roman" w:hAnsi="Times New Roman" w:eastAsia="仿宋"/>
          <w:sz w:val="24"/>
        </w:rPr>
      </w:pPr>
      <w:r>
        <w:rPr>
          <w:rFonts w:ascii="Times New Roman" w:hAnsi="Times New Roman" w:eastAsia="仿宋"/>
          <w:sz w:val="24"/>
        </w:rPr>
        <w:t>3．同一事项获得多个奖励的，按最高级别奖励计算。</w:t>
      </w:r>
    </w:p>
    <w:p>
      <w:pPr>
        <w:spacing w:line="300" w:lineRule="exact"/>
        <w:ind w:firstLine="720" w:firstLineChars="300"/>
      </w:pPr>
      <w:r>
        <w:rPr>
          <w:rFonts w:ascii="Times New Roman" w:hAnsi="Times New Roman" w:eastAsia="仿宋"/>
          <w:sz w:val="24"/>
        </w:rPr>
        <w:t>4．街镇和各级行业协会颁发的与物业服务业务无直接关系的表彰不予记分。</w:t>
      </w:r>
      <w:bookmarkStart w:id="0" w:name="_GoBack"/>
      <w:bookmarkEnd w:id="0"/>
    </w:p>
    <w:sectPr>
      <w:pgSz w:w="16838" w:h="11906" w:orient="landscape"/>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AD53F6"/>
    <w:rsid w:val="796F4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2020-08-27T10:49:00Z</dcterms:created>
  <dc:creator>Administrator</dc:creator>
  <cp:lastModifiedBy>邝玉英</cp:lastModifiedBy>
  <dcterms:modified xsi:type="dcterms:W3CDTF">2020-08-27T10:54:31Z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