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snapToGrid w:val="0"/>
          <w:kern w:val="0"/>
          <w:sz w:val="28"/>
          <w:szCs w:val="28"/>
        </w:rPr>
      </w:pPr>
      <w:r>
        <w:rPr>
          <w:rFonts w:ascii="黑体" w:hAnsi="黑体" w:eastAsia="黑体"/>
          <w:bCs/>
          <w:snapToGrid w:val="0"/>
          <w:kern w:val="0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珠海市物业服务企业基础信息分数标准</w:t>
      </w:r>
    </w:p>
    <w:tbl>
      <w:tblPr>
        <w:tblStyle w:val="2"/>
        <w:tblW w:w="13162" w:type="dxa"/>
        <w:tblInd w:w="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370"/>
        <w:gridCol w:w="7584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基础信息内容</w:t>
            </w:r>
          </w:p>
        </w:tc>
        <w:tc>
          <w:tcPr>
            <w:tcW w:w="75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内容与标准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企业注册信息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7584" w:type="dxa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按珠海市智慧物业管理服务平台设置，主要包括企业登记注册信息、物业服务规模等反映企业身份的信息，企业注册填报及时、完整、准确。每缺一项信息扣5分，发现一项虚假信息按5分标准双倍扣减。可累计扣分，最多可扣20分。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以调查核实为准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8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物业项目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负责人信息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7584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按珠海市智慧物业管理服务平台设置，主要包括物业项目负责人姓名、身份证明、上岗记录及其他有关履历的信息。每缺一项信息扣5分，发现一项虚假信息按5分标准双倍扣减。可累计扣分，最多可扣15分。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以调查核实为准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8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物业项目信息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7584" w:type="dxa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按珠海市智慧物业管理服务平台设置，主要包括物业管理面积、类型、从业人员总数等。每缺一项信息扣3分，发现一项虚假信息按3分标准双倍扣减。可累计扣分，最多可扣12分。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8"/>
                <w:szCs w:val="28"/>
              </w:rPr>
              <w:t>以调查核实为准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D3189"/>
    <w:rsid w:val="4F3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2020-08-27T10:48:00Z</dcterms:created>
  <dc:creator>Administrator</dc:creator>
  <cp:lastModifiedBy>邝玉英</cp:lastModifiedBy>
  <dcterms:modified xsi:type="dcterms:W3CDTF">2020-08-27T10:56:49Z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