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hAnsi="方正小标宋简体" w:eastAsia="方正小标宋简体" w:cs="方正小标宋简体"/>
          <w:color w:val="000000"/>
          <w:kern w:val="0"/>
          <w:sz w:val="44"/>
          <w:szCs w:val="44"/>
        </w:rPr>
      </w:pPr>
      <w:bookmarkStart w:id="0" w:name="OLE_LINK1"/>
      <w:r>
        <w:rPr>
          <w:rFonts w:hint="eastAsia" w:ascii="黑体" w:hAnsi="黑体" w:eastAsia="黑体" w:cs="黑体"/>
          <w:sz w:val="32"/>
          <w:szCs w:val="32"/>
        </w:rPr>
        <w:t>附件</w:t>
      </w:r>
    </w:p>
    <w:p>
      <w:pPr>
        <w:jc w:val="center"/>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横琴自贸试验片区第四批可在全市复制推广的改革创新措施</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
        <w:gridCol w:w="1172"/>
        <w:gridCol w:w="940"/>
        <w:gridCol w:w="6339"/>
        <w:gridCol w:w="4776"/>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3" w:hRule="atLeast"/>
          <w:tblHeader/>
          <w:jc w:val="center"/>
        </w:trPr>
        <w:tc>
          <w:tcPr>
            <w:tcW w:w="433" w:type="dxa"/>
            <w:noWrap w:val="0"/>
            <w:vAlign w:val="center"/>
          </w:tcPr>
          <w:p>
            <w:pPr>
              <w:spacing w:line="240" w:lineRule="auto"/>
              <w:jc w:val="center"/>
              <w:rPr>
                <w:rFonts w:hint="eastAsia" w:ascii="黑体" w:hAnsi="黑体" w:eastAsia="黑体"/>
                <w:b w:val="0"/>
                <w:bCs/>
                <w:color w:val="000000"/>
                <w:sz w:val="24"/>
                <w:szCs w:val="24"/>
              </w:rPr>
            </w:pPr>
            <w:r>
              <w:rPr>
                <w:rFonts w:hint="eastAsia" w:ascii="黑体" w:hAnsi="黑体" w:eastAsia="黑体"/>
                <w:b w:val="0"/>
                <w:bCs/>
                <w:color w:val="000000"/>
                <w:sz w:val="24"/>
                <w:szCs w:val="24"/>
              </w:rPr>
              <w:t>序号</w:t>
            </w:r>
          </w:p>
        </w:tc>
        <w:tc>
          <w:tcPr>
            <w:tcW w:w="1172" w:type="dxa"/>
            <w:noWrap w:val="0"/>
            <w:vAlign w:val="center"/>
          </w:tcPr>
          <w:p>
            <w:pPr>
              <w:spacing w:line="240" w:lineRule="auto"/>
              <w:jc w:val="center"/>
              <w:rPr>
                <w:rFonts w:hint="eastAsia" w:ascii="黑体" w:hAnsi="黑体" w:eastAsia="黑体"/>
                <w:b w:val="0"/>
                <w:bCs/>
                <w:color w:val="000000"/>
                <w:sz w:val="24"/>
                <w:szCs w:val="24"/>
              </w:rPr>
            </w:pPr>
            <w:r>
              <w:rPr>
                <w:rFonts w:hint="eastAsia" w:ascii="黑体" w:hAnsi="黑体" w:eastAsia="黑体"/>
                <w:b w:val="0"/>
                <w:bCs/>
                <w:color w:val="000000"/>
                <w:sz w:val="24"/>
                <w:szCs w:val="24"/>
              </w:rPr>
              <w:t>项目</w:t>
            </w:r>
          </w:p>
          <w:p>
            <w:pPr>
              <w:spacing w:line="240" w:lineRule="auto"/>
              <w:jc w:val="center"/>
              <w:rPr>
                <w:rFonts w:hint="eastAsia" w:ascii="黑体" w:hAnsi="黑体" w:eastAsia="黑体"/>
                <w:b w:val="0"/>
                <w:bCs/>
                <w:color w:val="000000"/>
                <w:sz w:val="24"/>
                <w:szCs w:val="24"/>
              </w:rPr>
            </w:pPr>
            <w:r>
              <w:rPr>
                <w:rFonts w:hint="eastAsia" w:ascii="黑体" w:hAnsi="黑体" w:eastAsia="黑体"/>
                <w:b w:val="0"/>
                <w:bCs/>
                <w:color w:val="000000"/>
                <w:sz w:val="24"/>
                <w:szCs w:val="24"/>
              </w:rPr>
              <w:t>名称</w:t>
            </w:r>
          </w:p>
        </w:tc>
        <w:tc>
          <w:tcPr>
            <w:tcW w:w="940" w:type="dxa"/>
            <w:noWrap w:val="0"/>
            <w:vAlign w:val="center"/>
          </w:tcPr>
          <w:p>
            <w:pPr>
              <w:tabs>
                <w:tab w:val="left" w:pos="490"/>
              </w:tabs>
              <w:spacing w:line="240" w:lineRule="auto"/>
              <w:jc w:val="center"/>
              <w:rPr>
                <w:rFonts w:hint="eastAsia" w:ascii="黑体" w:hAnsi="黑体" w:eastAsia="黑体"/>
                <w:b w:val="0"/>
                <w:bCs/>
                <w:color w:val="000000"/>
                <w:sz w:val="24"/>
                <w:szCs w:val="24"/>
              </w:rPr>
            </w:pPr>
            <w:r>
              <w:rPr>
                <w:rFonts w:hint="eastAsia" w:ascii="黑体" w:hAnsi="黑体" w:eastAsia="黑体"/>
                <w:b w:val="0"/>
                <w:bCs/>
                <w:color w:val="000000"/>
                <w:sz w:val="24"/>
                <w:szCs w:val="24"/>
              </w:rPr>
              <w:t>牵头</w:t>
            </w:r>
          </w:p>
          <w:p>
            <w:pPr>
              <w:tabs>
                <w:tab w:val="left" w:pos="490"/>
              </w:tabs>
              <w:spacing w:line="240" w:lineRule="auto"/>
              <w:jc w:val="center"/>
              <w:rPr>
                <w:rFonts w:hint="eastAsia" w:ascii="黑体" w:hAnsi="黑体" w:eastAsia="黑体"/>
                <w:b w:val="0"/>
                <w:bCs/>
                <w:color w:val="000000"/>
                <w:sz w:val="24"/>
                <w:szCs w:val="24"/>
              </w:rPr>
            </w:pPr>
            <w:r>
              <w:rPr>
                <w:rFonts w:hint="eastAsia" w:ascii="黑体" w:hAnsi="黑体" w:eastAsia="黑体"/>
                <w:b w:val="0"/>
                <w:bCs/>
                <w:color w:val="000000"/>
                <w:sz w:val="24"/>
                <w:szCs w:val="24"/>
              </w:rPr>
              <w:t>部门</w:t>
            </w:r>
          </w:p>
        </w:tc>
        <w:tc>
          <w:tcPr>
            <w:tcW w:w="6339" w:type="dxa"/>
            <w:noWrap w:val="0"/>
            <w:vAlign w:val="center"/>
          </w:tcPr>
          <w:p>
            <w:pPr>
              <w:spacing w:line="240" w:lineRule="auto"/>
              <w:jc w:val="center"/>
              <w:rPr>
                <w:rFonts w:hint="eastAsia" w:ascii="黑体" w:hAnsi="黑体" w:eastAsia="黑体"/>
                <w:b w:val="0"/>
                <w:bCs/>
                <w:color w:val="000000"/>
                <w:sz w:val="24"/>
                <w:szCs w:val="24"/>
              </w:rPr>
            </w:pPr>
            <w:r>
              <w:rPr>
                <w:rFonts w:hint="eastAsia" w:ascii="黑体" w:hAnsi="黑体" w:eastAsia="黑体"/>
                <w:b w:val="0"/>
                <w:bCs/>
                <w:color w:val="000000"/>
                <w:sz w:val="24"/>
                <w:szCs w:val="24"/>
              </w:rPr>
              <w:t>项目内容</w:t>
            </w:r>
          </w:p>
        </w:tc>
        <w:tc>
          <w:tcPr>
            <w:tcW w:w="4776" w:type="dxa"/>
            <w:noWrap w:val="0"/>
            <w:vAlign w:val="center"/>
          </w:tcPr>
          <w:p>
            <w:pPr>
              <w:spacing w:line="240" w:lineRule="auto"/>
              <w:jc w:val="center"/>
              <w:rPr>
                <w:rFonts w:hint="eastAsia" w:ascii="黑体" w:hAnsi="黑体" w:eastAsia="黑体"/>
                <w:b w:val="0"/>
                <w:bCs/>
                <w:color w:val="000000"/>
                <w:sz w:val="24"/>
                <w:szCs w:val="24"/>
              </w:rPr>
            </w:pPr>
            <w:r>
              <w:rPr>
                <w:rFonts w:hint="eastAsia" w:ascii="黑体" w:hAnsi="黑体" w:eastAsia="黑体"/>
                <w:b w:val="0"/>
                <w:bCs/>
                <w:color w:val="000000"/>
                <w:sz w:val="24"/>
                <w:szCs w:val="24"/>
              </w:rPr>
              <w:t>项目的</w:t>
            </w:r>
          </w:p>
          <w:p>
            <w:pPr>
              <w:spacing w:line="240" w:lineRule="auto"/>
              <w:jc w:val="center"/>
              <w:rPr>
                <w:rFonts w:hint="eastAsia" w:ascii="黑体" w:hAnsi="黑体" w:eastAsia="黑体"/>
                <w:b w:val="0"/>
                <w:bCs/>
                <w:color w:val="000000"/>
                <w:sz w:val="24"/>
                <w:szCs w:val="24"/>
              </w:rPr>
            </w:pPr>
            <w:r>
              <w:rPr>
                <w:rFonts w:hint="eastAsia" w:ascii="黑体" w:hAnsi="黑体" w:eastAsia="黑体"/>
                <w:b w:val="0"/>
                <w:bCs/>
                <w:color w:val="000000"/>
                <w:sz w:val="24"/>
                <w:szCs w:val="24"/>
              </w:rPr>
              <w:t>率先性或示范性</w:t>
            </w:r>
          </w:p>
        </w:tc>
        <w:tc>
          <w:tcPr>
            <w:tcW w:w="1209" w:type="dxa"/>
            <w:noWrap w:val="0"/>
            <w:vAlign w:val="center"/>
          </w:tcPr>
          <w:p>
            <w:pPr>
              <w:spacing w:line="240" w:lineRule="auto"/>
              <w:jc w:val="center"/>
              <w:rPr>
                <w:rFonts w:hint="eastAsia" w:ascii="黑体" w:hAnsi="黑体" w:eastAsia="黑体"/>
                <w:b w:val="0"/>
                <w:bCs/>
                <w:color w:val="000000"/>
                <w:sz w:val="24"/>
                <w:szCs w:val="24"/>
              </w:rPr>
            </w:pPr>
            <w:r>
              <w:rPr>
                <w:rFonts w:hint="eastAsia" w:ascii="黑体" w:hAnsi="黑体" w:eastAsia="黑体"/>
                <w:b w:val="0"/>
                <w:bCs/>
                <w:color w:val="000000"/>
                <w:sz w:val="24"/>
                <w:szCs w:val="24"/>
              </w:rPr>
              <w:t>项目可复制可推广区域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6" w:hRule="atLeast"/>
          <w:jc w:val="center"/>
        </w:trPr>
        <w:tc>
          <w:tcPr>
            <w:tcW w:w="43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p>
        </w:tc>
        <w:tc>
          <w:tcPr>
            <w:tcW w:w="117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_GB2312" w:hAnsi="仿宋_GB2312" w:eastAsia="仿宋_GB2312" w:cs="仿宋_GB2312"/>
                <w:b/>
                <w:bCs/>
                <w:color w:val="000000"/>
                <w:kern w:val="0"/>
                <w:szCs w:val="21"/>
                <w:lang w:val="zh-CN" w:bidi="ar"/>
              </w:rPr>
            </w:pPr>
            <w:r>
              <w:rPr>
                <w:rFonts w:hint="eastAsia" w:ascii="仿宋_GB2312" w:hAnsi="仿宋_GB2312" w:eastAsia="仿宋_GB2312" w:cs="仿宋_GB2312"/>
                <w:b/>
                <w:bCs/>
                <w:color w:val="000000"/>
                <w:kern w:val="0"/>
                <w:szCs w:val="21"/>
                <w:lang w:bidi="ar"/>
              </w:rPr>
              <w:t>首创澳门居民参加内地基本医疗保险新模式</w:t>
            </w:r>
          </w:p>
        </w:tc>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市医疗保障局</w:t>
            </w:r>
          </w:p>
        </w:tc>
        <w:tc>
          <w:tcPr>
            <w:tcW w:w="63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val="0"/>
              <w:bidi w:val="0"/>
              <w:adjustRightInd/>
              <w:snapToGrid/>
              <w:spacing w:line="240" w:lineRule="auto"/>
              <w:ind w:left="0" w:leftChars="0" w:right="0" w:rightChars="0" w:firstLine="420" w:firstLineChars="200"/>
              <w:jc w:val="left"/>
              <w:textAlignment w:val="center"/>
              <w:outlineLvl w:val="9"/>
              <w:rPr>
                <w:rFonts w:hint="eastAsia" w:ascii="仿宋_GB2312" w:hAnsi="仿宋_GB2312" w:eastAsia="仿宋_GB2312" w:cs="仿宋_GB2312"/>
                <w:color w:val="000000"/>
                <w:szCs w:val="20"/>
              </w:rPr>
            </w:pPr>
            <w:r>
              <w:rPr>
                <w:rFonts w:hint="eastAsia" w:ascii="仿宋_GB2312" w:hAnsi="仿宋_GB2312" w:eastAsia="仿宋_GB2312" w:cs="仿宋_GB2312"/>
                <w:color w:val="000000"/>
                <w:szCs w:val="20"/>
              </w:rPr>
              <w:t>市</w:t>
            </w:r>
            <w:r>
              <w:rPr>
                <w:rFonts w:hint="eastAsia" w:ascii="仿宋_GB2312" w:hAnsi="仿宋_GB2312" w:eastAsia="仿宋_GB2312" w:cs="仿宋_GB2312"/>
                <w:color w:val="000000"/>
                <w:szCs w:val="20"/>
                <w:lang w:eastAsia="zh-CN"/>
              </w:rPr>
              <w:t>人民</w:t>
            </w:r>
            <w:r>
              <w:rPr>
                <w:rFonts w:hint="eastAsia" w:ascii="仿宋_GB2312" w:hAnsi="仿宋_GB2312" w:eastAsia="仿宋_GB2312" w:cs="仿宋_GB2312"/>
                <w:color w:val="000000"/>
                <w:szCs w:val="20"/>
              </w:rPr>
              <w:t>政府</w:t>
            </w:r>
            <w:r>
              <w:rPr>
                <w:rFonts w:hint="eastAsia" w:ascii="仿宋_GB2312" w:hAnsi="仿宋_GB2312" w:eastAsia="仿宋_GB2312" w:cs="仿宋_GB2312"/>
                <w:color w:val="000000"/>
                <w:szCs w:val="20"/>
                <w:lang w:eastAsia="zh-CN"/>
              </w:rPr>
              <w:t>出台</w:t>
            </w:r>
            <w:r>
              <w:rPr>
                <w:rFonts w:hint="eastAsia" w:ascii="仿宋_GB2312" w:hAnsi="仿宋_GB2312" w:eastAsia="仿宋_GB2312" w:cs="仿宋_GB2312"/>
                <w:color w:val="000000"/>
                <w:szCs w:val="20"/>
              </w:rPr>
              <w:t>《关于常住横琴的澳门居民参加珠海市基本医疗保险试点有关问题的通知》（珠府函〔</w:t>
            </w:r>
            <w:r>
              <w:rPr>
                <w:rFonts w:ascii="仿宋_GB2312" w:hAnsi="仿宋_GB2312" w:eastAsia="仿宋_GB2312" w:cs="仿宋_GB2312"/>
                <w:color w:val="000000"/>
                <w:szCs w:val="20"/>
              </w:rPr>
              <w:t>2019</w:t>
            </w:r>
            <w:r>
              <w:rPr>
                <w:rFonts w:hint="eastAsia" w:ascii="仿宋_GB2312" w:hAnsi="仿宋_GB2312" w:eastAsia="仿宋_GB2312" w:cs="仿宋_GB2312"/>
                <w:color w:val="000000"/>
                <w:szCs w:val="20"/>
              </w:rPr>
              <w:t>〕</w:t>
            </w:r>
            <w:r>
              <w:rPr>
                <w:rFonts w:ascii="仿宋_GB2312" w:hAnsi="仿宋_GB2312" w:eastAsia="仿宋_GB2312" w:cs="仿宋_GB2312"/>
                <w:color w:val="000000"/>
                <w:szCs w:val="20"/>
              </w:rPr>
              <w:t>266</w:t>
            </w:r>
            <w:r>
              <w:rPr>
                <w:rFonts w:hint="eastAsia" w:ascii="仿宋_GB2312" w:hAnsi="仿宋_GB2312" w:eastAsia="仿宋_GB2312" w:cs="仿宋_GB2312"/>
                <w:color w:val="000000"/>
                <w:szCs w:val="20"/>
              </w:rPr>
              <w:t>号），自</w:t>
            </w:r>
            <w:r>
              <w:rPr>
                <w:rFonts w:hint="eastAsia" w:ascii="仿宋_GB2312" w:hAnsi="仿宋_GB2312" w:eastAsia="仿宋_GB2312" w:cs="仿宋_GB2312"/>
                <w:color w:val="000000"/>
                <w:szCs w:val="20"/>
                <w:lang w:val="en-US" w:eastAsia="zh-CN"/>
              </w:rPr>
              <w:t>2019年</w:t>
            </w:r>
            <w:r>
              <w:rPr>
                <w:rFonts w:hint="eastAsia" w:ascii="仿宋_GB2312" w:hAnsi="仿宋_GB2312" w:eastAsia="仿宋_GB2312" w:cs="仿宋_GB2312"/>
                <w:color w:val="000000"/>
                <w:szCs w:val="20"/>
              </w:rPr>
              <w:t>7月1日起施行常住横琴（含横琴、保税区、洪湾一体化区域）的澳门居民，可凭居住证或房产证、租房合同等参加珠海市基本医疗保险，享受同等报销待遇。</w:t>
            </w:r>
          </w:p>
        </w:tc>
        <w:tc>
          <w:tcPr>
            <w:tcW w:w="47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val="0"/>
              <w:bidi w:val="0"/>
              <w:adjustRightInd/>
              <w:snapToGrid/>
              <w:spacing w:line="240" w:lineRule="auto"/>
              <w:ind w:left="0" w:leftChars="0" w:right="0" w:rightChars="0" w:firstLine="420" w:firstLineChars="200"/>
              <w:textAlignment w:val="center"/>
              <w:outlineLvl w:val="9"/>
              <w:rPr>
                <w:rFonts w:hint="eastAsia" w:ascii="仿宋_GB2312" w:hAnsi="仿宋_GB2312" w:eastAsia="仿宋_GB2312" w:cs="仿宋_GB2312"/>
                <w:color w:val="000000"/>
                <w:kern w:val="0"/>
                <w:szCs w:val="21"/>
                <w:lang w:val="zh-CN" w:bidi="ar"/>
              </w:rPr>
            </w:pPr>
            <w:r>
              <w:rPr>
                <w:rFonts w:hint="eastAsia" w:ascii="仿宋_GB2312" w:hAnsi="仿宋_GB2312" w:eastAsia="仿宋_GB2312" w:cs="仿宋_GB2312"/>
                <w:color w:val="000000"/>
                <w:kern w:val="0"/>
                <w:szCs w:val="21"/>
                <w:lang w:bidi="ar"/>
              </w:rPr>
              <w:t>探索首创澳门居民参加内地医保，将更好地吸引港澳人才参与内地经济建设。同时，为大湾区城市群之间实现跨境医疗、养老、就业、教育等更多社会政策的协同创新提供经验。</w:t>
            </w:r>
          </w:p>
        </w:tc>
        <w:tc>
          <w:tcPr>
            <w:tcW w:w="12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sz w:val="24"/>
              </w:rPr>
              <w:t>全市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4" w:hRule="atLeast"/>
          <w:jc w:val="center"/>
        </w:trPr>
        <w:tc>
          <w:tcPr>
            <w:tcW w:w="43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2</w:t>
            </w:r>
          </w:p>
        </w:tc>
        <w:tc>
          <w:tcPr>
            <w:tcW w:w="117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_GB2312" w:hAnsi="仿宋_GB2312" w:eastAsia="仿宋_GB2312" w:cs="仿宋_GB2312"/>
                <w:b/>
                <w:bCs/>
                <w:color w:val="000000"/>
                <w:kern w:val="0"/>
                <w:szCs w:val="21"/>
                <w:lang w:bidi="ar"/>
              </w:rPr>
            </w:pPr>
            <w:r>
              <w:rPr>
                <w:rFonts w:hint="eastAsia" w:ascii="仿宋_GB2312" w:hAnsi="仿宋_GB2312" w:eastAsia="仿宋_GB2312" w:cs="仿宋_GB2312"/>
                <w:b/>
                <w:bCs/>
                <w:color w:val="000000"/>
                <w:kern w:val="0"/>
                <w:szCs w:val="21"/>
                <w:lang w:bidi="ar"/>
              </w:rPr>
              <w:t>以信息化方式实现招商项目全生命周期管理新模式</w:t>
            </w:r>
          </w:p>
        </w:tc>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szCs w:val="20"/>
              </w:rPr>
              <w:t>市商务局</w:t>
            </w:r>
          </w:p>
        </w:tc>
        <w:tc>
          <w:tcPr>
            <w:tcW w:w="63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val="0"/>
              <w:bidi w:val="0"/>
              <w:adjustRightInd/>
              <w:snapToGrid/>
              <w:spacing w:line="240" w:lineRule="auto"/>
              <w:ind w:left="0" w:leftChars="0" w:right="0" w:rightChars="0" w:firstLine="420" w:firstLineChars="200"/>
              <w:jc w:val="left"/>
              <w:textAlignment w:val="center"/>
              <w:outlineLvl w:val="9"/>
              <w:rPr>
                <w:rFonts w:hint="eastAsia" w:ascii="仿宋_GB2312" w:hAnsi="仿宋_GB2312" w:eastAsia="仿宋_GB2312" w:cs="仿宋_GB2312"/>
                <w:color w:val="000000"/>
                <w:szCs w:val="20"/>
              </w:rPr>
            </w:pPr>
            <w:r>
              <w:rPr>
                <w:rFonts w:hint="eastAsia" w:ascii="仿宋_GB2312" w:hAnsi="仿宋_GB2312" w:eastAsia="仿宋_GB2312" w:cs="仿宋_GB2312"/>
                <w:color w:val="000000"/>
                <w:szCs w:val="20"/>
              </w:rPr>
              <w:t>创新招商引资项目管理模式，推出专门APP，实现移动化、信息化招商引资。可辅助外出拜访、现场推介和招商会议展示，结合GIS地图，在</w:t>
            </w:r>
            <w:r>
              <w:rPr>
                <w:rFonts w:hint="eastAsia" w:ascii="仿宋_GB2312" w:hAnsi="仿宋_GB2312" w:eastAsia="仿宋_GB2312" w:cs="仿宋_GB2312"/>
                <w:color w:val="000000"/>
                <w:kern w:val="0"/>
                <w:szCs w:val="21"/>
                <w:lang w:bidi="ar"/>
              </w:rPr>
              <w:t>招商引资实地考察时可向投资者动态介绍相关情况，同时全面掌握招商引资项目全过程信息，为招商引资决策提供更科学、更准确、更直观的产业数据支持。</w:t>
            </w:r>
          </w:p>
        </w:tc>
        <w:tc>
          <w:tcPr>
            <w:tcW w:w="47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val="0"/>
              <w:bidi w:val="0"/>
              <w:adjustRightInd/>
              <w:snapToGrid/>
              <w:spacing w:line="240" w:lineRule="auto"/>
              <w:ind w:left="0" w:leftChars="0" w:right="0" w:rightChars="0" w:firstLine="420" w:firstLineChars="200"/>
              <w:textAlignment w:val="center"/>
              <w:outlineLvl w:val="9"/>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szCs w:val="20"/>
              </w:rPr>
              <w:t>该项创新通过信息化手段，形成对招商引资项目全生命周期管理，完整记录了项目从前期洽谈、签约，中期协同审批、管理服务，后期经营情况、统计分析等全过程信息，构建了招商引资和政务服务的信息化联动机制。</w:t>
            </w:r>
          </w:p>
        </w:tc>
        <w:tc>
          <w:tcPr>
            <w:tcW w:w="120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Cs w:val="21"/>
                <w:lang w:bidi="ar"/>
              </w:rPr>
              <w:t>全市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1" w:hRule="atLeast"/>
          <w:jc w:val="center"/>
        </w:trPr>
        <w:tc>
          <w:tcPr>
            <w:tcW w:w="43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3</w:t>
            </w:r>
          </w:p>
        </w:tc>
        <w:tc>
          <w:tcPr>
            <w:tcW w:w="117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_GB2312" w:hAnsi="仿宋_GB2312" w:eastAsia="仿宋_GB2312" w:cs="仿宋_GB2312"/>
                <w:b/>
                <w:bCs/>
                <w:color w:val="000000"/>
                <w:kern w:val="0"/>
                <w:szCs w:val="21"/>
                <w:lang w:bidi="ar"/>
              </w:rPr>
            </w:pPr>
            <w:r>
              <w:rPr>
                <w:rFonts w:hint="eastAsia" w:ascii="仿宋_GB2312" w:hAnsi="仿宋_GB2312" w:eastAsia="仿宋_GB2312" w:cs="仿宋_GB2312"/>
                <w:b/>
                <w:bCs/>
                <w:color w:val="000000"/>
                <w:kern w:val="0"/>
                <w:szCs w:val="21"/>
                <w:lang w:bidi="ar"/>
              </w:rPr>
              <w:t>创新纳税便利化指数评价体系</w:t>
            </w:r>
          </w:p>
        </w:tc>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珠海税务局</w:t>
            </w:r>
          </w:p>
        </w:tc>
        <w:tc>
          <w:tcPr>
            <w:tcW w:w="63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val="0"/>
              <w:bidi w:val="0"/>
              <w:adjustRightInd/>
              <w:snapToGrid/>
              <w:spacing w:line="240" w:lineRule="auto"/>
              <w:ind w:left="0" w:leftChars="0" w:right="0" w:rightChars="0" w:firstLine="420" w:firstLineChars="200"/>
              <w:jc w:val="left"/>
              <w:textAlignment w:val="center"/>
              <w:outlineLvl w:val="9"/>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1.对标借鉴澳大利亚、英国、新西兰、新加坡等发达国家及港澳地区做法，将其税务服务考评和满意度指标说明作为重要参考，科学编制纳税便利化指数。</w:t>
            </w:r>
          </w:p>
          <w:p>
            <w:pPr>
              <w:keepNext w:val="0"/>
              <w:keepLines w:val="0"/>
              <w:pageBreakBefore w:val="0"/>
              <w:widowControl/>
              <w:kinsoku/>
              <w:wordWrap/>
              <w:overflowPunct/>
              <w:topLinePunct w:val="0"/>
              <w:autoSpaceDE/>
              <w:autoSpaceDN w:val="0"/>
              <w:bidi w:val="0"/>
              <w:adjustRightInd/>
              <w:snapToGrid/>
              <w:spacing w:line="240" w:lineRule="auto"/>
              <w:ind w:left="0" w:leftChars="0" w:right="0" w:rightChars="0" w:firstLine="420" w:firstLineChars="200"/>
              <w:jc w:val="left"/>
              <w:textAlignment w:val="center"/>
              <w:outlineLvl w:val="9"/>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全面梳理涉税业务办理事项和流程，精准定位纳税人需求，提取对纳税人便利纳税影响最大普遍性、代表性的要素，设计包含5个一级指标和22个二级指标的纳税便利指数的指标体系，以直观、清晰的数据量化体现纳税便利度，精准定位纳税人需求。</w:t>
            </w:r>
          </w:p>
          <w:p>
            <w:pPr>
              <w:keepNext w:val="0"/>
              <w:keepLines w:val="0"/>
              <w:pageBreakBefore w:val="0"/>
              <w:widowControl/>
              <w:kinsoku/>
              <w:wordWrap/>
              <w:overflowPunct/>
              <w:topLinePunct w:val="0"/>
              <w:autoSpaceDE/>
              <w:autoSpaceDN w:val="0"/>
              <w:bidi w:val="0"/>
              <w:adjustRightInd/>
              <w:snapToGrid/>
              <w:spacing w:line="240" w:lineRule="auto"/>
              <w:ind w:left="0" w:leftChars="0" w:right="0" w:rightChars="0" w:firstLine="420" w:firstLineChars="200"/>
              <w:jc w:val="left"/>
              <w:textAlignment w:val="center"/>
              <w:outlineLvl w:val="9"/>
              <w:rPr>
                <w:rFonts w:hint="eastAsia" w:ascii="仿宋_GB2312" w:hAnsi="仿宋_GB2312" w:eastAsia="仿宋_GB2312" w:cs="仿宋_GB2312"/>
                <w:color w:val="000000"/>
                <w:szCs w:val="20"/>
              </w:rPr>
            </w:pPr>
            <w:r>
              <w:rPr>
                <w:rFonts w:hint="eastAsia" w:ascii="仿宋_GB2312" w:hAnsi="仿宋_GB2312" w:eastAsia="仿宋_GB2312" w:cs="仿宋_GB2312"/>
                <w:color w:val="000000"/>
                <w:kern w:val="0"/>
                <w:szCs w:val="21"/>
                <w:lang w:bidi="ar"/>
              </w:rPr>
              <w:t>3.结合客观的数据比对及问卷调查等形式，使税务部门获得更全面、多维度的数据结果，更有效分析纳税人的需求。</w:t>
            </w:r>
          </w:p>
        </w:tc>
        <w:tc>
          <w:tcPr>
            <w:tcW w:w="47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val="0"/>
              <w:bidi w:val="0"/>
              <w:adjustRightInd/>
              <w:snapToGrid/>
              <w:spacing w:line="240" w:lineRule="auto"/>
              <w:ind w:left="0" w:leftChars="0" w:right="0" w:rightChars="0" w:firstLine="420" w:firstLineChars="200"/>
              <w:textAlignment w:val="center"/>
              <w:outlineLvl w:val="9"/>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该指数评价体系是对部分发达国家和地区做法的重新梳理及应用，可以量化展示，使办税人有更直观了解。通过应用和数据积累，实现横向和纵向对比分析，有助于扬长补短，持续改进，不断营造更为国际化、便利化的税收营商环境。</w:t>
            </w:r>
          </w:p>
        </w:tc>
        <w:tc>
          <w:tcPr>
            <w:tcW w:w="120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sz w:val="24"/>
              </w:rPr>
              <w:t>全市</w:t>
            </w:r>
          </w:p>
        </w:tc>
      </w:tr>
    </w:tbl>
    <w:p>
      <w:pPr>
        <w:spacing w:line="240" w:lineRule="auto"/>
        <w:jc w:val="center"/>
        <w:rPr>
          <w:rFonts w:ascii="仿宋_GB2312" w:hAnsi="仿宋_GB2312" w:eastAsia="仿宋_GB2312" w:cs="仿宋_GB2312"/>
          <w:color w:val="000000"/>
          <w:szCs w:val="21"/>
        </w:rPr>
        <w:sectPr>
          <w:footerReference r:id="rId5" w:type="first"/>
          <w:footerReference r:id="rId3" w:type="default"/>
          <w:footerReference r:id="rId4" w:type="even"/>
          <w:pgSz w:w="16838" w:h="11906" w:orient="landscape"/>
          <w:pgMar w:top="1134" w:right="850" w:bottom="1134" w:left="850" w:header="567" w:footer="567" w:gutter="0"/>
          <w:pgNumType w:fmt="decimal"/>
          <w:cols w:space="720" w:num="1"/>
          <w:titlePg/>
          <w:rtlGutter w:val="0"/>
          <w:docGrid w:linePitch="312" w:charSpace="0"/>
        </w:sect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
        <w:gridCol w:w="1172"/>
        <w:gridCol w:w="955"/>
        <w:gridCol w:w="6210"/>
        <w:gridCol w:w="4890"/>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3" w:hRule="atLeast"/>
          <w:tblHeader/>
          <w:jc w:val="center"/>
        </w:trPr>
        <w:tc>
          <w:tcPr>
            <w:tcW w:w="433" w:type="dxa"/>
            <w:noWrap w:val="0"/>
            <w:vAlign w:val="center"/>
          </w:tcPr>
          <w:p>
            <w:pPr>
              <w:spacing w:line="240" w:lineRule="auto"/>
              <w:jc w:val="center"/>
              <w:rPr>
                <w:rFonts w:hint="eastAsia" w:ascii="黑体" w:hAnsi="黑体" w:eastAsia="黑体"/>
                <w:b w:val="0"/>
                <w:bCs/>
                <w:color w:val="000000"/>
                <w:sz w:val="24"/>
                <w:szCs w:val="24"/>
              </w:rPr>
            </w:pPr>
            <w:r>
              <w:rPr>
                <w:rFonts w:hint="eastAsia" w:ascii="黑体" w:hAnsi="黑体" w:eastAsia="黑体"/>
                <w:b w:val="0"/>
                <w:bCs/>
                <w:color w:val="000000"/>
                <w:sz w:val="24"/>
                <w:szCs w:val="24"/>
              </w:rPr>
              <w:t>序号</w:t>
            </w:r>
          </w:p>
        </w:tc>
        <w:tc>
          <w:tcPr>
            <w:tcW w:w="1172" w:type="dxa"/>
            <w:noWrap w:val="0"/>
            <w:vAlign w:val="center"/>
          </w:tcPr>
          <w:p>
            <w:pPr>
              <w:spacing w:line="240" w:lineRule="auto"/>
              <w:jc w:val="center"/>
              <w:rPr>
                <w:rFonts w:hint="eastAsia" w:ascii="黑体" w:hAnsi="黑体" w:eastAsia="黑体"/>
                <w:b w:val="0"/>
                <w:bCs/>
                <w:color w:val="000000"/>
                <w:sz w:val="24"/>
                <w:szCs w:val="24"/>
              </w:rPr>
            </w:pPr>
            <w:r>
              <w:rPr>
                <w:rFonts w:hint="eastAsia" w:ascii="黑体" w:hAnsi="黑体" w:eastAsia="黑体"/>
                <w:b w:val="0"/>
                <w:bCs/>
                <w:color w:val="000000"/>
                <w:sz w:val="24"/>
                <w:szCs w:val="24"/>
              </w:rPr>
              <w:t>项目</w:t>
            </w:r>
          </w:p>
          <w:p>
            <w:pPr>
              <w:spacing w:line="240" w:lineRule="auto"/>
              <w:jc w:val="center"/>
              <w:rPr>
                <w:rFonts w:hint="eastAsia" w:ascii="黑体" w:hAnsi="黑体" w:eastAsia="黑体"/>
                <w:b w:val="0"/>
                <w:bCs/>
                <w:color w:val="000000"/>
                <w:sz w:val="24"/>
                <w:szCs w:val="24"/>
              </w:rPr>
            </w:pPr>
            <w:r>
              <w:rPr>
                <w:rFonts w:hint="eastAsia" w:ascii="黑体" w:hAnsi="黑体" w:eastAsia="黑体"/>
                <w:b w:val="0"/>
                <w:bCs/>
                <w:color w:val="000000"/>
                <w:sz w:val="24"/>
                <w:szCs w:val="24"/>
              </w:rPr>
              <w:t>名称</w:t>
            </w:r>
          </w:p>
        </w:tc>
        <w:tc>
          <w:tcPr>
            <w:tcW w:w="955" w:type="dxa"/>
            <w:noWrap w:val="0"/>
            <w:vAlign w:val="center"/>
          </w:tcPr>
          <w:p>
            <w:pPr>
              <w:tabs>
                <w:tab w:val="left" w:pos="490"/>
              </w:tabs>
              <w:spacing w:line="240" w:lineRule="auto"/>
              <w:jc w:val="center"/>
              <w:rPr>
                <w:rFonts w:hint="eastAsia" w:ascii="黑体" w:hAnsi="黑体" w:eastAsia="黑体"/>
                <w:b w:val="0"/>
                <w:bCs/>
                <w:color w:val="000000"/>
                <w:sz w:val="24"/>
                <w:szCs w:val="24"/>
              </w:rPr>
            </w:pPr>
            <w:r>
              <w:rPr>
                <w:rFonts w:hint="eastAsia" w:ascii="黑体" w:hAnsi="黑体" w:eastAsia="黑体"/>
                <w:b w:val="0"/>
                <w:bCs/>
                <w:color w:val="000000"/>
                <w:sz w:val="24"/>
                <w:szCs w:val="24"/>
              </w:rPr>
              <w:t>牵头</w:t>
            </w:r>
          </w:p>
          <w:p>
            <w:pPr>
              <w:tabs>
                <w:tab w:val="left" w:pos="490"/>
              </w:tabs>
              <w:spacing w:line="240" w:lineRule="auto"/>
              <w:jc w:val="center"/>
              <w:rPr>
                <w:rFonts w:hint="eastAsia" w:ascii="黑体" w:hAnsi="黑体" w:eastAsia="黑体"/>
                <w:b w:val="0"/>
                <w:bCs/>
                <w:color w:val="000000"/>
                <w:sz w:val="24"/>
                <w:szCs w:val="24"/>
              </w:rPr>
            </w:pPr>
            <w:r>
              <w:rPr>
                <w:rFonts w:hint="eastAsia" w:ascii="黑体" w:hAnsi="黑体" w:eastAsia="黑体"/>
                <w:b w:val="0"/>
                <w:bCs/>
                <w:color w:val="000000"/>
                <w:sz w:val="24"/>
                <w:szCs w:val="24"/>
              </w:rPr>
              <w:t>部门</w:t>
            </w:r>
          </w:p>
        </w:tc>
        <w:tc>
          <w:tcPr>
            <w:tcW w:w="6210" w:type="dxa"/>
            <w:noWrap w:val="0"/>
            <w:vAlign w:val="center"/>
          </w:tcPr>
          <w:p>
            <w:pPr>
              <w:spacing w:line="240" w:lineRule="auto"/>
              <w:jc w:val="center"/>
              <w:rPr>
                <w:rFonts w:hint="eastAsia" w:ascii="黑体" w:hAnsi="黑体" w:eastAsia="黑体"/>
                <w:b w:val="0"/>
                <w:bCs/>
                <w:color w:val="000000"/>
                <w:sz w:val="24"/>
                <w:szCs w:val="24"/>
              </w:rPr>
            </w:pPr>
            <w:r>
              <w:rPr>
                <w:rFonts w:hint="eastAsia" w:ascii="黑体" w:hAnsi="黑体" w:eastAsia="黑体"/>
                <w:b w:val="0"/>
                <w:bCs/>
                <w:color w:val="000000"/>
                <w:sz w:val="24"/>
                <w:szCs w:val="24"/>
              </w:rPr>
              <w:t>项目内容</w:t>
            </w:r>
          </w:p>
        </w:tc>
        <w:tc>
          <w:tcPr>
            <w:tcW w:w="4890" w:type="dxa"/>
            <w:noWrap w:val="0"/>
            <w:vAlign w:val="center"/>
          </w:tcPr>
          <w:p>
            <w:pPr>
              <w:spacing w:line="240" w:lineRule="auto"/>
              <w:jc w:val="center"/>
              <w:rPr>
                <w:rFonts w:hint="eastAsia" w:ascii="黑体" w:hAnsi="黑体" w:eastAsia="黑体"/>
                <w:b w:val="0"/>
                <w:bCs/>
                <w:color w:val="000000"/>
                <w:sz w:val="24"/>
                <w:szCs w:val="24"/>
              </w:rPr>
            </w:pPr>
            <w:r>
              <w:rPr>
                <w:rFonts w:hint="eastAsia" w:ascii="黑体" w:hAnsi="黑体" w:eastAsia="黑体"/>
                <w:b w:val="0"/>
                <w:bCs/>
                <w:color w:val="000000"/>
                <w:sz w:val="24"/>
                <w:szCs w:val="24"/>
              </w:rPr>
              <w:t>项目的</w:t>
            </w:r>
          </w:p>
          <w:p>
            <w:pPr>
              <w:spacing w:line="240" w:lineRule="auto"/>
              <w:jc w:val="center"/>
              <w:rPr>
                <w:rFonts w:hint="eastAsia" w:ascii="黑体" w:hAnsi="黑体" w:eastAsia="黑体"/>
                <w:b w:val="0"/>
                <w:bCs/>
                <w:color w:val="000000"/>
                <w:sz w:val="24"/>
                <w:szCs w:val="24"/>
              </w:rPr>
            </w:pPr>
            <w:r>
              <w:rPr>
                <w:rFonts w:hint="eastAsia" w:ascii="黑体" w:hAnsi="黑体" w:eastAsia="黑体"/>
                <w:b w:val="0"/>
                <w:bCs/>
                <w:color w:val="000000"/>
                <w:sz w:val="24"/>
                <w:szCs w:val="24"/>
              </w:rPr>
              <w:t>率先性或示范性</w:t>
            </w:r>
          </w:p>
        </w:tc>
        <w:tc>
          <w:tcPr>
            <w:tcW w:w="1209" w:type="dxa"/>
            <w:noWrap w:val="0"/>
            <w:vAlign w:val="center"/>
          </w:tcPr>
          <w:p>
            <w:pPr>
              <w:spacing w:line="240" w:lineRule="auto"/>
              <w:jc w:val="center"/>
              <w:rPr>
                <w:rFonts w:hint="eastAsia" w:ascii="黑体" w:hAnsi="黑体" w:eastAsia="黑体"/>
                <w:b w:val="0"/>
                <w:bCs/>
                <w:color w:val="000000"/>
                <w:sz w:val="24"/>
                <w:szCs w:val="24"/>
              </w:rPr>
            </w:pPr>
            <w:r>
              <w:rPr>
                <w:rFonts w:hint="eastAsia" w:ascii="黑体" w:hAnsi="黑体" w:eastAsia="黑体"/>
                <w:b w:val="0"/>
                <w:bCs/>
                <w:color w:val="000000"/>
                <w:sz w:val="24"/>
                <w:szCs w:val="24"/>
              </w:rPr>
              <w:t>项目可复制可推广区域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8" w:hRule="atLeast"/>
          <w:jc w:val="center"/>
        </w:trPr>
        <w:tc>
          <w:tcPr>
            <w:tcW w:w="43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4</w:t>
            </w:r>
          </w:p>
        </w:tc>
        <w:tc>
          <w:tcPr>
            <w:tcW w:w="1172" w:type="dxa"/>
            <w:tcBorders>
              <w:left w:val="single" w:color="auto" w:sz="4" w:space="0"/>
              <w:right w:val="single" w:color="auto" w:sz="4" w:space="0"/>
            </w:tcBorders>
            <w:noWrap w:val="0"/>
            <w:vAlign w:val="center"/>
          </w:tcPr>
          <w:p>
            <w:pPr>
              <w:widowControl/>
              <w:jc w:val="left"/>
              <w:textAlignment w:val="center"/>
              <w:rPr>
                <w:rFonts w:hint="eastAsia" w:ascii="仿宋_GB2312" w:hAnsi="仿宋_GB2312" w:eastAsia="仿宋_GB2312" w:cs="仿宋_GB2312"/>
                <w:b/>
                <w:bCs/>
                <w:color w:val="000000"/>
                <w:kern w:val="0"/>
                <w:szCs w:val="21"/>
                <w:lang w:val="zh-CN" w:bidi="ar"/>
              </w:rPr>
            </w:pPr>
            <w:r>
              <w:rPr>
                <w:rFonts w:hint="eastAsia" w:ascii="仿宋_GB2312" w:hAnsi="仿宋_GB2312" w:eastAsia="仿宋_GB2312" w:cs="仿宋_GB2312"/>
                <w:b/>
                <w:bCs/>
                <w:color w:val="000000"/>
                <w:kern w:val="0"/>
                <w:szCs w:val="21"/>
                <w:lang w:bidi="ar"/>
              </w:rPr>
              <w:t>税务逾期申报及简易处罚网上办理新模式</w:t>
            </w:r>
          </w:p>
        </w:tc>
        <w:tc>
          <w:tcPr>
            <w:tcW w:w="955" w:type="dxa"/>
            <w:tcBorders>
              <w:left w:val="single" w:color="auto" w:sz="4" w:space="0"/>
              <w:right w:val="single" w:color="auto" w:sz="4" w:space="0"/>
            </w:tcBorders>
            <w:noWrap w:val="0"/>
            <w:vAlign w:val="center"/>
          </w:tcPr>
          <w:p>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珠海税务局</w:t>
            </w:r>
          </w:p>
        </w:tc>
        <w:tc>
          <w:tcPr>
            <w:tcW w:w="6210"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val="0"/>
              <w:bidi w:val="0"/>
              <w:adjustRightInd/>
              <w:snapToGrid/>
              <w:spacing w:line="240" w:lineRule="auto"/>
              <w:ind w:left="0" w:leftChars="0" w:right="0" w:rightChars="0" w:firstLine="420" w:firstLineChars="200"/>
              <w:jc w:val="left"/>
              <w:textAlignment w:val="center"/>
              <w:outlineLvl w:val="9"/>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通过运用信息技术手段，对税务业务办理流程进行深度优化，自动判断并智能归集相应的逾期申报及违法违章信息，便于纳税人补申报及处理违法违章；优化表单设计，对批量零申报，可一步确认即可完成；简化办理流程，对简易处罚无异议的，一次确认即可完成送达及签收；增加微信、支付宝等便捷缴纳方式。</w:t>
            </w:r>
          </w:p>
        </w:tc>
        <w:tc>
          <w:tcPr>
            <w:tcW w:w="4890"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val="0"/>
              <w:bidi w:val="0"/>
              <w:adjustRightInd/>
              <w:snapToGrid/>
              <w:spacing w:line="240" w:lineRule="auto"/>
              <w:ind w:left="0" w:leftChars="0" w:right="0" w:rightChars="0" w:firstLine="420" w:firstLineChars="200"/>
              <w:textAlignment w:val="center"/>
              <w:outlineLvl w:val="9"/>
              <w:rPr>
                <w:rFonts w:hint="eastAsia" w:ascii="仿宋_GB2312" w:hAnsi="仿宋_GB2312" w:eastAsia="仿宋_GB2312" w:cs="仿宋_GB2312"/>
                <w:color w:val="000000"/>
                <w:kern w:val="0"/>
                <w:szCs w:val="21"/>
                <w:lang w:val="zh-CN" w:bidi="ar"/>
              </w:rPr>
            </w:pPr>
            <w:r>
              <w:rPr>
                <w:rFonts w:hint="eastAsia" w:ascii="仿宋_GB2312" w:hAnsi="仿宋_GB2312" w:eastAsia="仿宋_GB2312" w:cs="仿宋_GB2312"/>
                <w:color w:val="000000"/>
                <w:kern w:val="0"/>
                <w:szCs w:val="21"/>
                <w:lang w:bidi="ar"/>
              </w:rPr>
              <w:t>优化纳税人办税体验，提升纳税人办税效率。同时，有效分流办税服务厅业务，缓解业务高峰期拥堵情况，使行政资源高效运行。</w:t>
            </w:r>
          </w:p>
        </w:tc>
        <w:tc>
          <w:tcPr>
            <w:tcW w:w="1209" w:type="dxa"/>
            <w:tcBorders>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sz w:val="24"/>
              </w:rPr>
              <w:t>全市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3" w:hRule="atLeast"/>
          <w:jc w:val="center"/>
        </w:trPr>
        <w:tc>
          <w:tcPr>
            <w:tcW w:w="43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5</w:t>
            </w:r>
          </w:p>
        </w:tc>
        <w:tc>
          <w:tcPr>
            <w:tcW w:w="1172" w:type="dxa"/>
            <w:tcBorders>
              <w:left w:val="single" w:color="auto" w:sz="4" w:space="0"/>
              <w:right w:val="single" w:color="auto" w:sz="4" w:space="0"/>
            </w:tcBorders>
            <w:noWrap w:val="0"/>
            <w:vAlign w:val="center"/>
          </w:tcPr>
          <w:p>
            <w:pPr>
              <w:widowControl/>
              <w:jc w:val="left"/>
              <w:textAlignment w:val="center"/>
              <w:rPr>
                <w:rFonts w:hint="eastAsia" w:ascii="仿宋_GB2312" w:hAnsi="仿宋_GB2312" w:eastAsia="仿宋_GB2312" w:cs="仿宋_GB2312"/>
                <w:b/>
                <w:bCs/>
                <w:color w:val="000000"/>
                <w:kern w:val="0"/>
                <w:szCs w:val="21"/>
                <w:lang w:val="zh-CN" w:bidi="ar"/>
              </w:rPr>
            </w:pPr>
            <w:r>
              <w:rPr>
                <w:rFonts w:hint="eastAsia" w:ascii="仿宋_GB2312" w:hAnsi="仿宋_GB2312" w:eastAsia="仿宋_GB2312" w:cs="仿宋_GB2312"/>
                <w:b/>
                <w:bCs/>
                <w:color w:val="000000"/>
                <w:kern w:val="0"/>
                <w:szCs w:val="21"/>
                <w:lang w:bidi="ar"/>
              </w:rPr>
              <w:t>减税降费“掌上”办理新模式</w:t>
            </w:r>
          </w:p>
        </w:tc>
        <w:tc>
          <w:tcPr>
            <w:tcW w:w="955" w:type="dxa"/>
            <w:tcBorders>
              <w:left w:val="single" w:color="auto" w:sz="4" w:space="0"/>
              <w:right w:val="single" w:color="auto" w:sz="4" w:space="0"/>
            </w:tcBorders>
            <w:noWrap w:val="0"/>
            <w:vAlign w:val="center"/>
          </w:tcPr>
          <w:p>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珠海税务局</w:t>
            </w:r>
          </w:p>
        </w:tc>
        <w:tc>
          <w:tcPr>
            <w:tcW w:w="6210"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val="0"/>
              <w:bidi w:val="0"/>
              <w:adjustRightInd/>
              <w:snapToGrid/>
              <w:spacing w:line="240" w:lineRule="auto"/>
              <w:ind w:left="0" w:leftChars="0" w:right="0" w:rightChars="0" w:firstLine="420" w:firstLineChars="200"/>
              <w:jc w:val="left"/>
              <w:textAlignment w:val="center"/>
              <w:outlineLvl w:val="9"/>
              <w:rPr>
                <w:rFonts w:hint="eastAsia" w:ascii="仿宋_GB2312" w:hAnsi="仿宋_GB2312" w:eastAsia="仿宋_GB2312" w:cs="仿宋_GB2312"/>
                <w:color w:val="000000"/>
                <w:szCs w:val="20"/>
              </w:rPr>
            </w:pPr>
            <w:r>
              <w:rPr>
                <w:rFonts w:hint="eastAsia" w:ascii="仿宋_GB2312" w:hAnsi="仿宋_GB2312" w:eastAsia="仿宋_GB2312" w:cs="仿宋_GB2312"/>
                <w:color w:val="000000"/>
                <w:kern w:val="0"/>
                <w:szCs w:val="21"/>
                <w:lang w:bidi="ar"/>
              </w:rPr>
              <w:t>推出减税降费微信小程序，实现可视化咨询、估算优惠税额、优惠政策快查等功能，并根据内地和港澳纳税人的阅读习惯分别设有简繁两种字体版本，为广大纳税人和缴费人提供一个实在、便捷、触手可及的“掌上”税收政策服务平台。</w:t>
            </w:r>
          </w:p>
        </w:tc>
        <w:tc>
          <w:tcPr>
            <w:tcW w:w="4890"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zCs w:val="20"/>
              </w:rPr>
            </w:pPr>
            <w:r>
              <w:rPr>
                <w:rFonts w:hint="eastAsia" w:ascii="仿宋_GB2312" w:hAnsi="仿宋_GB2312" w:eastAsia="仿宋_GB2312" w:cs="仿宋_GB2312"/>
                <w:color w:val="000000"/>
                <w:szCs w:val="20"/>
              </w:rPr>
              <w:t>1.政策咨询更“舒心”，“一键可视”面对面解决涉税疑难，拓展纳税人线上咨询渠道。</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zCs w:val="20"/>
              </w:rPr>
            </w:pPr>
            <w:r>
              <w:rPr>
                <w:rFonts w:hint="eastAsia" w:ascii="仿宋_GB2312" w:hAnsi="仿宋_GB2312" w:eastAsia="仿宋_GB2312" w:cs="仿宋_GB2312"/>
                <w:color w:val="000000"/>
                <w:szCs w:val="20"/>
              </w:rPr>
              <w:t>2.政策推送更“贴心”，“一键绑定”打造企业专属政策库，实现企业已减免税额、享受优惠种类等个性化优惠信息数据“一手掌握”。</w:t>
            </w:r>
          </w:p>
          <w:p>
            <w:pPr>
              <w:widowControl/>
              <w:autoSpaceDN/>
              <w:ind w:firstLine="0" w:firstLineChars="0"/>
              <w:textAlignment w:val="auto"/>
              <w:rPr>
                <w:rFonts w:hint="eastAsia" w:ascii="仿宋_GB2312" w:hAnsi="仿宋_GB2312" w:eastAsia="仿宋_GB2312" w:cs="仿宋_GB2312"/>
                <w:color w:val="000000"/>
                <w:kern w:val="0"/>
                <w:szCs w:val="21"/>
                <w:lang w:val="zh-CN" w:bidi="ar"/>
              </w:rPr>
            </w:pPr>
            <w:r>
              <w:rPr>
                <w:rFonts w:hint="eastAsia" w:ascii="仿宋_GB2312" w:hAnsi="仿宋_GB2312" w:eastAsia="仿宋_GB2312" w:cs="仿宋_GB2312"/>
                <w:color w:val="000000"/>
                <w:szCs w:val="20"/>
              </w:rPr>
              <w:t>3.政策估算更“省心”，“一键算账”直观感受优惠效果。纳税人只要按提示输入金额，就可快捷计算出享受减免后的应纳税额估算结果。</w:t>
            </w:r>
          </w:p>
        </w:tc>
        <w:tc>
          <w:tcPr>
            <w:tcW w:w="1209" w:type="dxa"/>
            <w:tcBorders>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6" w:hRule="atLeast"/>
          <w:jc w:val="center"/>
        </w:trPr>
        <w:tc>
          <w:tcPr>
            <w:tcW w:w="43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6</w:t>
            </w:r>
          </w:p>
        </w:tc>
        <w:tc>
          <w:tcPr>
            <w:tcW w:w="1172" w:type="dxa"/>
            <w:tcBorders>
              <w:left w:val="single" w:color="auto" w:sz="4" w:space="0"/>
              <w:right w:val="single" w:color="auto" w:sz="4" w:space="0"/>
            </w:tcBorders>
            <w:noWrap w:val="0"/>
            <w:vAlign w:val="center"/>
          </w:tcPr>
          <w:p>
            <w:pPr>
              <w:widowControl/>
              <w:jc w:val="left"/>
              <w:textAlignment w:val="center"/>
              <w:rPr>
                <w:rFonts w:hint="eastAsia" w:ascii="仿宋_GB2312" w:hAnsi="仿宋_GB2312" w:eastAsia="仿宋_GB2312" w:cs="仿宋_GB2312"/>
                <w:b/>
                <w:bCs/>
                <w:color w:val="000000"/>
                <w:kern w:val="0"/>
                <w:szCs w:val="21"/>
                <w:lang w:val="zh-CN" w:bidi="ar"/>
              </w:rPr>
            </w:pPr>
            <w:r>
              <w:rPr>
                <w:rFonts w:hint="eastAsia" w:ascii="仿宋_GB2312" w:hAnsi="仿宋_GB2312" w:eastAsia="仿宋_GB2312" w:cs="仿宋_GB2312"/>
                <w:b/>
                <w:bCs/>
                <w:color w:val="000000"/>
                <w:kern w:val="0"/>
                <w:szCs w:val="21"/>
                <w:lang w:bidi="ar"/>
              </w:rPr>
              <w:t>政</w:t>
            </w:r>
            <w:bookmarkStart w:id="1" w:name="_GoBack"/>
            <w:bookmarkEnd w:id="1"/>
            <w:r>
              <w:rPr>
                <w:rFonts w:hint="eastAsia" w:ascii="仿宋_GB2312" w:hAnsi="仿宋_GB2312" w:eastAsia="仿宋_GB2312" w:cs="仿宋_GB2312"/>
                <w:b/>
                <w:bCs/>
                <w:color w:val="000000"/>
                <w:kern w:val="0"/>
                <w:szCs w:val="21"/>
                <w:lang w:bidi="ar"/>
              </w:rPr>
              <w:t>府购买不动产继承、受遗赠公证服务</w:t>
            </w:r>
          </w:p>
        </w:tc>
        <w:tc>
          <w:tcPr>
            <w:tcW w:w="955" w:type="dxa"/>
            <w:tcBorders>
              <w:left w:val="single" w:color="auto" w:sz="4" w:space="0"/>
              <w:right w:val="single" w:color="auto" w:sz="4" w:space="0"/>
            </w:tcBorders>
            <w:noWrap w:val="0"/>
            <w:vAlign w:val="center"/>
          </w:tcPr>
          <w:p>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市不动产登记中心、珠海公证处</w:t>
            </w:r>
          </w:p>
        </w:tc>
        <w:tc>
          <w:tcPr>
            <w:tcW w:w="6210"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val="0"/>
              <w:bidi w:val="0"/>
              <w:adjustRightInd/>
              <w:snapToGrid/>
              <w:spacing w:line="240" w:lineRule="auto"/>
              <w:ind w:left="0" w:leftChars="0" w:right="0" w:rightChars="0" w:firstLine="420" w:firstLineChars="200"/>
              <w:jc w:val="left"/>
              <w:textAlignment w:val="center"/>
              <w:outlineLvl w:val="9"/>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在综合服务中心不动产登记服务区域设置不动产继承、受遗赠登记专窗，通过政府购买服务方式，向公证机构购买横琴新区辖区内不动产继承、受遗赠公证咨询登记服务，实现办事一次提交、一窗受理，登记和公证机构内部结果互认、信息共享。同时优化缴费方式,对依法需要缴纳相关登记费的，积极推广网上支付等方式缴纳，实现让群众少跑路或“只跑一次”。</w:t>
            </w:r>
          </w:p>
        </w:tc>
        <w:tc>
          <w:tcPr>
            <w:tcW w:w="4890" w:type="dxa"/>
            <w:tcBorders>
              <w:left w:val="single" w:color="auto" w:sz="4" w:space="0"/>
              <w:right w:val="single" w:color="auto" w:sz="4" w:space="0"/>
            </w:tcBorders>
            <w:noWrap w:val="0"/>
            <w:vAlign w:val="center"/>
          </w:tcPr>
          <w:p>
            <w:pPr>
              <w:widowControl/>
              <w:autoSpaceDN w:val="0"/>
              <w:ind w:firstLine="420" w:firstLineChars="200"/>
              <w:textAlignment w:val="center"/>
              <w:outlineLvl w:val="9"/>
              <w:rPr>
                <w:rFonts w:hint="eastAsia" w:ascii="仿宋_GB2312" w:hAnsi="仿宋_GB2312" w:eastAsia="仿宋_GB2312" w:cs="仿宋_GB2312"/>
                <w:color w:val="000000"/>
                <w:szCs w:val="20"/>
                <w:lang w:val="zh-CN"/>
              </w:rPr>
            </w:pPr>
            <w:r>
              <w:rPr>
                <w:rFonts w:hint="eastAsia" w:ascii="仿宋_GB2312" w:hAnsi="仿宋_GB2312" w:eastAsia="仿宋_GB2312" w:cs="仿宋_GB2312"/>
                <w:color w:val="000000"/>
                <w:szCs w:val="20"/>
              </w:rPr>
              <w:t>“不动产登记+购买公证服务”的实施，一方面可以发挥公证机构的专业优势，确保不动产登记安全，保护权利人的财产利益；另一方面通过设置服务专窗统一受理登记、公证申请，减轻群众负担，让办事群众“只跑一趟”，大大提高办理继承、受遗赠登记的效率，切实做到惠民、便民，增加人民群众的获得感和满意度。</w:t>
            </w:r>
          </w:p>
        </w:tc>
        <w:tc>
          <w:tcPr>
            <w:tcW w:w="1209" w:type="dxa"/>
            <w:tcBorders>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sz w:val="24"/>
              </w:rPr>
              <w:t>全市</w:t>
            </w:r>
          </w:p>
        </w:tc>
      </w:tr>
      <w:bookmarkEnd w:id="0"/>
    </w:tbl>
    <w:p/>
    <w:sectPr>
      <w:footerReference r:id="rId6"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t>1</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qODK4BAABLAwAADgAAAGRycy9lMm9Eb2MueG1srVPNThsxEL5X4h0s&#10;34mXC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Bmo4MrgEAAEsD&#10;AAAOAAAAAAAAAAEAIAAAAB4BAABkcnMvZTJvRG9jLnhtbFBLBQYAAAAABgAGAFkBAAA+BQAAAAA=&#10;">
              <v:path/>
              <v:fill on="f" focussize="0,0"/>
              <v:stroke on="f"/>
              <v:imagedata o:title=""/>
              <o:lock v:ext="edit" aspectratio="f"/>
              <v:textbox inset="0mm,0mm,0mm,0mm" style="mso-fit-shape-to-text:t;">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w5O64BAABLAwAADgAAAGRycy9lMm9Eb2MueG1srVPNThsxEL5X4h0s&#10;34mXSFT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x/Dk7rgEAAEsD&#10;AAAOAAAAAAAAAAEAIAAAAB4BAABkcnMvZTJvRG9jLnhtbFBLBQYAAAAABgAGAFkBAAA+BQAAAAA=&#10;">
              <v:path/>
              <v:fill on="f" focussize="0,0"/>
              <v:stroke on="f"/>
              <v:imagedata o:title=""/>
              <o:lock v:ext="edit" aspectratio="f"/>
              <v:textbox inset="0mm,0mm,0mm,0mm" style="mso-fit-shape-to-text:t;">
                <w:txbxContent>
                  <w:p>
                    <w:pP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6432" behindDoc="0" locked="0" layoutInCell="1" allowOverlap="1">
              <wp:simplePos x="0" y="0"/>
              <wp:positionH relativeFrom="margin">
                <wp:posOffset>4525645</wp:posOffset>
              </wp:positionH>
              <wp:positionV relativeFrom="paragraph">
                <wp:posOffset>-199390</wp:posOffset>
              </wp:positionV>
              <wp:extent cx="1009650" cy="33337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009650" cy="333375"/>
                      </a:xfrm>
                      <a:prstGeom prst="rect">
                        <a:avLst/>
                      </a:prstGeom>
                      <a:noFill/>
                      <a:ln>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3</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lIns="0" tIns="0" rIns="0" bIns="0" upright="0"/>
                  </wps:wsp>
                </a:graphicData>
              </a:graphic>
            </wp:anchor>
          </w:drawing>
        </mc:Choice>
        <mc:Fallback>
          <w:pict>
            <v:shape id="_x0000_s1026" o:spid="_x0000_s1026" o:spt="202" type="#_x0000_t202" style="position:absolute;left:0pt;margin-left:356.35pt;margin-top:-15.7pt;height:26.25pt;width:79.5pt;mso-position-horizontal-relative:margin;z-index:251666432;mso-width-relative:page;mso-height-relative:page;" filled="f" stroked="f" coordsize="21600,21600" o:gfxdata="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MEJnMHZAAAACgEAAA8AAAAAAAAA&#10;AQAgAAAAIgAAAGRycy9kb3ducmV2LnhtbFBLAQIUABQAAAAIAIdO4kDkKz6angEAACQDAAAOAAAA&#10;AAAAAAEAIAAAACgBAABkcnMvZTJvRG9jLnhtbFBLBQYAAAAABgAGAFkBAAA4BQAAAAA=&#10;">
              <v:path/>
              <v:fill on="f" focussize="0,0"/>
              <v:stroke on="f"/>
              <v:imagedata o:title=""/>
              <o:lock v:ext="edit" aspectratio="f"/>
              <v:textbox inset="0mm,0mm,0mm,0mm">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3</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t>1</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v:path/>
              <v:fill on="f" focussize="0,0"/>
              <v:stroke on="f"/>
              <v:imagedata o:title=""/>
              <o:lock v:ext="edit" aspectratio="f"/>
              <v:textbox inset="0mm,0mm,0mm,0mm" style="mso-fit-shape-to-text:t;">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766B90"/>
    <w:rsid w:val="3F766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unhideWhenUsed/>
    <w:uiPriority w:val="99"/>
    <w:pPr>
      <w:spacing w:after="120"/>
    </w:pPr>
    <w:rPr>
      <w:rFonts w:ascii="Times New Roman" w:hAnsi="Times New Roman"/>
    </w:rPr>
  </w:style>
  <w:style w:type="paragraph" w:styleId="3">
    <w:name w:val="footer"/>
    <w:basedOn w:val="1"/>
    <w:unhideWhenUsed/>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2020-01-22T07:11:00Z</dcterms:created>
  <dc:creator>wenzhi</dc:creator>
  <cp:lastModifiedBy>wenzhi</cp:lastModifiedBy>
  <dcterms:modified xsi:type="dcterms:W3CDTF">2020-01-22T07:14:35Z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