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outlineLvl w:val="0"/>
        <w:rPr>
          <w:rFonts w:ascii="黑体" w:hAnsi="黑体" w:eastAsia="黑体"/>
          <w:bCs/>
          <w:sz w:val="32"/>
        </w:rPr>
      </w:pPr>
      <w:r>
        <w:rPr>
          <w:rFonts w:hint="eastAsia" w:ascii="黑体" w:hAnsi="黑体" w:eastAsia="黑体"/>
          <w:bCs/>
          <w:sz w:val="32"/>
        </w:rPr>
        <w:t>附件</w:t>
      </w:r>
      <w:r>
        <w:rPr>
          <w:rFonts w:ascii="黑体" w:hAnsi="黑体" w:eastAsia="黑体"/>
          <w:bCs/>
          <w:sz w:val="32"/>
        </w:rPr>
        <w:t>2</w:t>
      </w:r>
    </w:p>
    <w:p>
      <w:pPr>
        <w:pStyle w:val="5"/>
        <w:spacing w:line="560" w:lineRule="exact"/>
        <w:outlineLvl w:val="0"/>
        <w:rPr>
          <w:rFonts w:eastAsia="黑体"/>
          <w:bCs/>
          <w:sz w:val="32"/>
        </w:rPr>
      </w:pPr>
    </w:p>
    <w:p>
      <w:pPr>
        <w:pStyle w:val="5"/>
        <w:spacing w:line="560" w:lineRule="exact"/>
        <w:jc w:val="center"/>
        <w:outlineLvl w:val="0"/>
        <w:rPr>
          <w:rFonts w:ascii="方正小标宋简体" w:hAnsi="方正小标宋简体" w:eastAsia="方正小标宋简体"/>
          <w:bCs/>
          <w:sz w:val="44"/>
        </w:rPr>
      </w:pPr>
      <w:bookmarkStart w:id="0" w:name="_GoBack"/>
      <w:r>
        <w:rPr>
          <w:rFonts w:hint="eastAsia" w:ascii="方正小标宋简体" w:hAnsi="方正小标宋简体" w:eastAsia="方正小标宋简体"/>
          <w:bCs/>
          <w:sz w:val="44"/>
        </w:rPr>
        <w:t>2019年度珠海市政府网站与政务新媒体考评指标及评分细则</w:t>
      </w:r>
      <w:bookmarkEnd w:id="0"/>
    </w:p>
    <w:p>
      <w:pPr>
        <w:pStyle w:val="5"/>
        <w:spacing w:line="560" w:lineRule="exact"/>
        <w:rPr>
          <w:rFonts w:ascii="仿宋" w:hAnsi="仿宋" w:eastAsia="仿宋"/>
          <w:b/>
          <w:bCs/>
          <w:sz w:val="32"/>
        </w:rPr>
      </w:pPr>
    </w:p>
    <w:p>
      <w:pPr>
        <w:pStyle w:val="5"/>
        <w:spacing w:line="560" w:lineRule="exact"/>
        <w:rPr>
          <w:rFonts w:ascii="黑体" w:hAnsi="黑体" w:eastAsia="黑体"/>
          <w:bCs/>
          <w:sz w:val="32"/>
        </w:rPr>
      </w:pPr>
      <w:r>
        <w:rPr>
          <w:rFonts w:hint="eastAsia" w:ascii="黑体" w:hAnsi="黑体" w:eastAsia="黑体"/>
          <w:bCs/>
          <w:sz w:val="32"/>
        </w:rPr>
        <w:t>指标说明：</w:t>
      </w:r>
    </w:p>
    <w:p>
      <w:pPr>
        <w:pStyle w:val="5"/>
        <w:spacing w:line="560" w:lineRule="exact"/>
        <w:ind w:firstLine="480" w:firstLineChars="200"/>
        <w:rPr>
          <w:rFonts w:ascii="仿宋" w:hAnsi="仿宋" w:eastAsia="仿宋"/>
          <w:sz w:val="24"/>
          <w:szCs w:val="24"/>
        </w:rPr>
      </w:pPr>
      <w:r>
        <w:rPr>
          <w:rFonts w:hint="eastAsia" w:ascii="仿宋" w:hAnsi="仿宋" w:eastAsia="仿宋"/>
          <w:sz w:val="24"/>
          <w:szCs w:val="24"/>
        </w:rPr>
        <w:t>本指标分为三部分，第一部分为单项否决指标，适用于各区政府（管委会）政府门户网站及政务新媒体、市直各单位政府网站及政务新媒体，其中监管工作指标仅适用于各区政府（管委会）；第二部分为扣分指标，第三部分为加分指标，适用于各区政府（管委会）政府门户网站及市直各单位政府网站。扣分指标分值为100分，加分指标分值为25分。扣分指标采用倒扣制，指标对应的分值扣完为止。</w:t>
      </w:r>
    </w:p>
    <w:p>
      <w:pPr>
        <w:pStyle w:val="5"/>
        <w:spacing w:line="560" w:lineRule="exact"/>
        <w:ind w:firstLine="480" w:firstLineChars="200"/>
        <w:rPr>
          <w:rFonts w:ascii="仿宋" w:hAnsi="仿宋" w:eastAsia="仿宋"/>
          <w:sz w:val="24"/>
          <w:szCs w:val="24"/>
        </w:rPr>
      </w:pPr>
      <w:r>
        <w:rPr>
          <w:rFonts w:hint="eastAsia" w:ascii="仿宋" w:hAnsi="仿宋" w:eastAsia="仿宋"/>
          <w:sz w:val="24"/>
          <w:szCs w:val="24"/>
        </w:rPr>
        <w:t>对政府网站检查时，如网站出现单项否决指标中的任意一种情形，即判定为不合格网站，不再对其他指标进行评分。如网站不存在单项否决问题，则对扣分指标进行评分，如评分结果低于60分，判定为不合格网站；高于80分，则进入加分指标评分环节，最后得分为第二、三部分得分之和。其中，采用扣分方式评分的，单项指标扣分之和不超过本项指标总分值。对于不考核办事服务指标的单位，不检查其网站涉及办事服务的指标，对扣分指标评分时以</w:t>
      </w:r>
      <w:r>
        <w:rPr>
          <w:rFonts w:ascii="仿宋" w:hAnsi="仿宋" w:eastAsia="仿宋"/>
          <w:sz w:val="24"/>
          <w:szCs w:val="24"/>
        </w:rPr>
        <w:t>80</w:t>
      </w:r>
      <w:r>
        <w:rPr>
          <w:rFonts w:hint="eastAsia" w:ascii="仿宋" w:hAnsi="仿宋" w:eastAsia="仿宋"/>
          <w:sz w:val="24"/>
          <w:szCs w:val="24"/>
        </w:rPr>
        <w:t>分为满分，结果乘以5/</w:t>
      </w:r>
      <w:r>
        <w:rPr>
          <w:rFonts w:ascii="仿宋" w:hAnsi="仿宋" w:eastAsia="仿宋"/>
          <w:sz w:val="24"/>
          <w:szCs w:val="24"/>
        </w:rPr>
        <w:t>4</w:t>
      </w:r>
      <w:r>
        <w:rPr>
          <w:rFonts w:hint="eastAsia" w:ascii="仿宋" w:hAnsi="仿宋" w:eastAsia="仿宋"/>
          <w:sz w:val="24"/>
          <w:szCs w:val="24"/>
        </w:rPr>
        <w:t>为第二部分得分。</w:t>
      </w:r>
    </w:p>
    <w:p>
      <w:pPr>
        <w:pStyle w:val="5"/>
        <w:spacing w:line="560" w:lineRule="exact"/>
        <w:ind w:firstLine="480" w:firstLineChars="200"/>
        <w:rPr>
          <w:rFonts w:ascii="仿宋" w:hAnsi="仿宋" w:eastAsia="仿宋"/>
          <w:sz w:val="24"/>
          <w:szCs w:val="24"/>
        </w:rPr>
      </w:pPr>
      <w:r>
        <w:rPr>
          <w:rFonts w:hint="eastAsia" w:ascii="仿宋" w:hAnsi="仿宋" w:eastAsia="仿宋"/>
          <w:sz w:val="24"/>
          <w:szCs w:val="24"/>
        </w:rPr>
        <w:t>对政务新媒体检查时，如政务新媒体出现单项否决指标中的任意一种情形，则判定为不合格。</w:t>
      </w:r>
    </w:p>
    <w:p>
      <w:pPr>
        <w:pStyle w:val="5"/>
        <w:spacing w:line="560" w:lineRule="exact"/>
        <w:ind w:firstLine="640" w:firstLineChars="200"/>
        <w:outlineLvl w:val="0"/>
        <w:rPr>
          <w:rFonts w:eastAsia="黑体"/>
          <w:bCs/>
          <w:sz w:val="32"/>
        </w:rPr>
      </w:pPr>
      <w:r>
        <w:rPr>
          <w:rFonts w:hint="eastAsia" w:eastAsia="黑体"/>
          <w:bCs/>
          <w:sz w:val="32"/>
        </w:rPr>
        <w:t>一、单项否决指标</w:t>
      </w:r>
    </w:p>
    <w:tbl>
      <w:tblPr>
        <w:tblStyle w:val="2"/>
        <w:tblW w:w="0" w:type="auto"/>
        <w:tblInd w:w="0" w:type="dxa"/>
        <w:tblLayout w:type="fixed"/>
        <w:tblCellMar>
          <w:top w:w="0" w:type="dxa"/>
          <w:left w:w="108" w:type="dxa"/>
          <w:bottom w:w="0" w:type="dxa"/>
          <w:right w:w="108" w:type="dxa"/>
        </w:tblCellMar>
      </w:tblPr>
      <w:tblGrid>
        <w:gridCol w:w="1637"/>
        <w:gridCol w:w="1733"/>
        <w:gridCol w:w="9603"/>
      </w:tblGrid>
      <w:tr>
        <w:tblPrEx>
          <w:tblCellMar>
            <w:top w:w="0" w:type="dxa"/>
            <w:left w:w="108" w:type="dxa"/>
            <w:bottom w:w="0" w:type="dxa"/>
            <w:right w:w="108" w:type="dxa"/>
          </w:tblCellMar>
        </w:tblPrEx>
        <w:trPr>
          <w:cantSplit/>
          <w:trHeight w:val="20" w:hRule="atLeast"/>
          <w:tblHeader/>
        </w:trPr>
        <w:tc>
          <w:tcPr>
            <w:tcW w:w="16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检查对象</w:t>
            </w:r>
          </w:p>
        </w:tc>
        <w:tc>
          <w:tcPr>
            <w:tcW w:w="1733"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指标</w:t>
            </w:r>
          </w:p>
        </w:tc>
        <w:tc>
          <w:tcPr>
            <w:tcW w:w="9603"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评分细则</w:t>
            </w:r>
          </w:p>
        </w:tc>
      </w:tr>
      <w:tr>
        <w:tblPrEx>
          <w:tblCellMar>
            <w:top w:w="0" w:type="dxa"/>
            <w:left w:w="108" w:type="dxa"/>
            <w:bottom w:w="0" w:type="dxa"/>
            <w:right w:w="108" w:type="dxa"/>
          </w:tblCellMar>
        </w:tblPrEx>
        <w:trPr>
          <w:cantSplit/>
          <w:trHeight w:val="20" w:hRule="atLeast"/>
        </w:trPr>
        <w:tc>
          <w:tcPr>
            <w:tcW w:w="1637" w:type="dxa"/>
            <w:vMerge w:val="restart"/>
            <w:tcBorders>
              <w:top w:val="nil"/>
              <w:left w:val="single" w:color="auto" w:sz="4" w:space="0"/>
              <w:right w:val="single" w:color="auto" w:sz="4" w:space="0"/>
            </w:tcBorders>
            <w:shd w:val="clear" w:color="000000" w:fill="FFFFFF"/>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政府网站</w:t>
            </w:r>
          </w:p>
        </w:tc>
        <w:tc>
          <w:tcPr>
            <w:tcW w:w="1733"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安全、泄密事故等严重问题</w:t>
            </w:r>
          </w:p>
        </w:tc>
        <w:tc>
          <w:tcPr>
            <w:tcW w:w="96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kern w:val="0"/>
                <w:sz w:val="24"/>
                <w:szCs w:val="24"/>
              </w:rPr>
            </w:pPr>
            <w:r>
              <w:rPr>
                <w:rFonts w:ascii="仿宋" w:hAnsi="仿宋" w:eastAsia="仿宋" w:cs="宋体"/>
                <w:kern w:val="0"/>
                <w:sz w:val="24"/>
                <w:szCs w:val="24"/>
              </w:rPr>
              <w:t>1.出现严重表述错误。</w:t>
            </w:r>
          </w:p>
          <w:p>
            <w:pPr>
              <w:widowControl/>
              <w:rPr>
                <w:rFonts w:ascii="仿宋" w:hAnsi="仿宋" w:eastAsia="仿宋" w:cs="宋体"/>
                <w:kern w:val="0"/>
                <w:sz w:val="24"/>
                <w:szCs w:val="24"/>
              </w:rPr>
            </w:pPr>
            <w:r>
              <w:rPr>
                <w:rFonts w:ascii="仿宋" w:hAnsi="仿宋" w:eastAsia="仿宋" w:cs="宋体"/>
                <w:kern w:val="0"/>
                <w:sz w:val="24"/>
                <w:szCs w:val="24"/>
              </w:rPr>
              <w:t>2.泄露国家秘密。</w:t>
            </w:r>
          </w:p>
          <w:p>
            <w:pPr>
              <w:widowControl/>
              <w:rPr>
                <w:rFonts w:ascii="仿宋" w:hAnsi="仿宋" w:eastAsia="仿宋" w:cs="宋体"/>
                <w:kern w:val="0"/>
                <w:sz w:val="24"/>
                <w:szCs w:val="24"/>
              </w:rPr>
            </w:pPr>
            <w:r>
              <w:rPr>
                <w:rFonts w:ascii="仿宋" w:hAnsi="仿宋" w:eastAsia="仿宋" w:cs="宋体"/>
                <w:kern w:val="0"/>
                <w:sz w:val="24"/>
                <w:szCs w:val="24"/>
              </w:rPr>
              <w:t>3.发布或链接反动、暴力、色情等内容。</w:t>
            </w:r>
          </w:p>
          <w:p>
            <w:pPr>
              <w:widowControl/>
              <w:rPr>
                <w:rFonts w:ascii="仿宋" w:hAnsi="仿宋" w:eastAsia="仿宋" w:cs="宋体"/>
                <w:kern w:val="0"/>
                <w:sz w:val="24"/>
                <w:szCs w:val="24"/>
              </w:rPr>
            </w:pPr>
            <w:r>
              <w:rPr>
                <w:rFonts w:ascii="仿宋" w:hAnsi="仿宋" w:eastAsia="仿宋" w:cs="宋体"/>
                <w:kern w:val="0"/>
                <w:sz w:val="24"/>
                <w:szCs w:val="24"/>
              </w:rPr>
              <w:t>4.对安全攻击（如页面被挂马、内容被篡改等）没有及时有效处置造成严重安全事故。</w:t>
            </w:r>
          </w:p>
          <w:p>
            <w:pPr>
              <w:widowControl/>
              <w:rPr>
                <w:rFonts w:ascii="仿宋" w:hAnsi="仿宋" w:eastAsia="仿宋" w:cs="宋体"/>
                <w:kern w:val="0"/>
                <w:sz w:val="24"/>
                <w:szCs w:val="24"/>
              </w:rPr>
            </w:pPr>
            <w:r>
              <w:rPr>
                <w:rFonts w:ascii="仿宋" w:hAnsi="仿宋" w:eastAsia="仿宋" w:cs="宋体"/>
                <w:kern w:val="0"/>
                <w:sz w:val="24"/>
                <w:szCs w:val="24"/>
              </w:rPr>
              <w:t>5.存在弄虚作假行为（如伪造发稿日期等）。</w:t>
            </w:r>
          </w:p>
          <w:p>
            <w:pPr>
              <w:widowControl/>
              <w:rPr>
                <w:rFonts w:ascii="仿宋" w:hAnsi="仿宋" w:eastAsia="仿宋" w:cs="宋体"/>
                <w:kern w:val="0"/>
                <w:sz w:val="24"/>
                <w:szCs w:val="24"/>
              </w:rPr>
            </w:pPr>
            <w:r>
              <w:rPr>
                <w:rFonts w:ascii="仿宋" w:hAnsi="仿宋" w:eastAsia="仿宋" w:cs="宋体"/>
                <w:kern w:val="0"/>
                <w:sz w:val="24"/>
                <w:szCs w:val="24"/>
              </w:rPr>
              <w:t>6.因网站建设管理工作不当引发严重负面舆情。</w:t>
            </w:r>
          </w:p>
          <w:p>
            <w:pPr>
              <w:widowControl/>
              <w:rPr>
                <w:rFonts w:ascii="仿宋" w:hAnsi="仿宋" w:eastAsia="仿宋" w:cs="宋体"/>
                <w:kern w:val="0"/>
                <w:sz w:val="24"/>
                <w:szCs w:val="24"/>
              </w:rPr>
            </w:pPr>
            <w:r>
              <w:rPr>
                <w:rFonts w:hint="eastAsia" w:ascii="仿宋" w:hAnsi="仿宋" w:eastAsia="仿宋" w:cs="宋体"/>
                <w:kern w:val="0"/>
                <w:sz w:val="24"/>
                <w:szCs w:val="24"/>
              </w:rPr>
              <w:t>上述情况出现任意一种，即单项否决。</w:t>
            </w:r>
          </w:p>
        </w:tc>
      </w:tr>
      <w:tr>
        <w:tblPrEx>
          <w:tblCellMar>
            <w:top w:w="0" w:type="dxa"/>
            <w:left w:w="108" w:type="dxa"/>
            <w:bottom w:w="0" w:type="dxa"/>
            <w:right w:w="108" w:type="dxa"/>
          </w:tblCellMar>
        </w:tblPrEx>
        <w:trPr>
          <w:cantSplit/>
          <w:trHeight w:val="20" w:hRule="atLeast"/>
        </w:trPr>
        <w:tc>
          <w:tcPr>
            <w:tcW w:w="1637" w:type="dxa"/>
            <w:vMerge w:val="continue"/>
            <w:tcBorders>
              <w:left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24"/>
                <w:szCs w:val="24"/>
              </w:rPr>
            </w:pPr>
          </w:p>
        </w:tc>
        <w:tc>
          <w:tcPr>
            <w:tcW w:w="1733"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站点无法访问</w:t>
            </w:r>
          </w:p>
        </w:tc>
        <w:tc>
          <w:tcPr>
            <w:tcW w:w="96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监测</w:t>
            </w:r>
            <w:r>
              <w:rPr>
                <w:rFonts w:ascii="仿宋" w:hAnsi="仿宋" w:eastAsia="仿宋" w:cs="宋体"/>
                <w:kern w:val="0"/>
                <w:sz w:val="24"/>
                <w:szCs w:val="24"/>
              </w:rPr>
              <w:t>1周，每天间隔性访问20次以上，超过（含）15秒</w:t>
            </w:r>
            <w:r>
              <w:rPr>
                <w:rFonts w:hint="eastAsia" w:ascii="仿宋" w:hAnsi="仿宋" w:eastAsia="仿宋" w:cs="宋体"/>
                <w:kern w:val="0"/>
                <w:sz w:val="24"/>
                <w:szCs w:val="24"/>
              </w:rPr>
              <w:t>网站仍打不开的次数累计占比超过（含）</w:t>
            </w:r>
            <w:r>
              <w:rPr>
                <w:rFonts w:ascii="仿宋" w:hAnsi="仿宋" w:eastAsia="仿宋" w:cs="宋体"/>
                <w:kern w:val="0"/>
                <w:sz w:val="24"/>
                <w:szCs w:val="24"/>
              </w:rPr>
              <w:t>5%，即单项否决。</w:t>
            </w:r>
          </w:p>
        </w:tc>
      </w:tr>
      <w:tr>
        <w:tblPrEx>
          <w:tblCellMar>
            <w:top w:w="0" w:type="dxa"/>
            <w:left w:w="108" w:type="dxa"/>
            <w:bottom w:w="0" w:type="dxa"/>
            <w:right w:w="108" w:type="dxa"/>
          </w:tblCellMar>
        </w:tblPrEx>
        <w:trPr>
          <w:cantSplit/>
          <w:trHeight w:val="20" w:hRule="atLeast"/>
        </w:trPr>
        <w:tc>
          <w:tcPr>
            <w:tcW w:w="1637" w:type="dxa"/>
            <w:vMerge w:val="continue"/>
            <w:tcBorders>
              <w:left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24"/>
                <w:szCs w:val="24"/>
              </w:rPr>
            </w:pPr>
          </w:p>
        </w:tc>
        <w:tc>
          <w:tcPr>
            <w:tcW w:w="1733"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首页不更新</w:t>
            </w:r>
          </w:p>
        </w:tc>
        <w:tc>
          <w:tcPr>
            <w:tcW w:w="9603" w:type="dxa"/>
            <w:tcBorders>
              <w:top w:val="nil"/>
              <w:left w:val="nil"/>
              <w:bottom w:val="single" w:color="auto" w:sz="4" w:space="0"/>
              <w:right w:val="single" w:color="auto" w:sz="4" w:space="0"/>
            </w:tcBorders>
            <w:shd w:val="clear" w:color="000000" w:fill="FFFFFF"/>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eastAsia="仿宋" w:cs="宋体"/>
                <w:kern w:val="0"/>
                <w:sz w:val="24"/>
                <w:szCs w:val="24"/>
              </w:rPr>
            </w:pPr>
            <w:r>
              <w:rPr>
                <w:rFonts w:hint="eastAsia" w:ascii="仿宋" w:hAnsi="仿宋" w:eastAsia="仿宋" w:cs="宋体"/>
                <w:kern w:val="0"/>
                <w:sz w:val="24"/>
                <w:szCs w:val="24"/>
              </w:rPr>
              <w:t>监测</w:t>
            </w:r>
            <w:r>
              <w:rPr>
                <w:rFonts w:ascii="仿宋" w:hAnsi="仿宋" w:eastAsia="仿宋" w:cs="宋体"/>
                <w:kern w:val="0"/>
                <w:sz w:val="24"/>
                <w:szCs w:val="24"/>
              </w:rPr>
              <w:t>2周，首页无信息更新的，即单项否决。</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eastAsia="仿宋" w:cs="宋体"/>
                <w:kern w:val="0"/>
                <w:sz w:val="24"/>
                <w:szCs w:val="24"/>
              </w:rPr>
            </w:pPr>
            <w:r>
              <w:rPr>
                <w:rFonts w:hint="eastAsia" w:ascii="仿宋" w:hAnsi="仿宋" w:eastAsia="仿宋" w:cs="宋体"/>
                <w:kern w:val="0"/>
                <w:sz w:val="24"/>
                <w:szCs w:val="24"/>
              </w:rPr>
              <w:t>如首页仅为网站栏目导航入口，所有二级页面无信息更新的，即单项否决。</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eastAsia="仿宋" w:cs="宋体"/>
                <w:kern w:val="0"/>
                <w:sz w:val="24"/>
                <w:szCs w:val="24"/>
              </w:rPr>
            </w:pPr>
            <w:r>
              <w:rPr>
                <w:rFonts w:hint="eastAsia" w:ascii="仿宋" w:hAnsi="仿宋" w:eastAsia="仿宋" w:cs="宋体"/>
                <w:kern w:val="0"/>
                <w:sz w:val="24"/>
                <w:szCs w:val="24"/>
              </w:rPr>
              <w:t>（注：稿件发布页未注明发布时间的视为不更新，下同。）</w:t>
            </w:r>
          </w:p>
        </w:tc>
      </w:tr>
      <w:tr>
        <w:tblPrEx>
          <w:tblCellMar>
            <w:top w:w="0" w:type="dxa"/>
            <w:left w:w="108" w:type="dxa"/>
            <w:bottom w:w="0" w:type="dxa"/>
            <w:right w:w="108" w:type="dxa"/>
          </w:tblCellMar>
        </w:tblPrEx>
        <w:trPr>
          <w:cantSplit/>
          <w:trHeight w:val="20" w:hRule="atLeast"/>
        </w:trPr>
        <w:tc>
          <w:tcPr>
            <w:tcW w:w="1637" w:type="dxa"/>
            <w:vMerge w:val="continue"/>
            <w:tcBorders>
              <w:left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24"/>
                <w:szCs w:val="24"/>
              </w:rPr>
            </w:pPr>
          </w:p>
        </w:tc>
        <w:tc>
          <w:tcPr>
            <w:tcW w:w="1733"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栏目不更新</w:t>
            </w:r>
          </w:p>
        </w:tc>
        <w:tc>
          <w:tcPr>
            <w:tcW w:w="96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kern w:val="0"/>
                <w:sz w:val="24"/>
                <w:szCs w:val="24"/>
              </w:rPr>
            </w:pPr>
            <w:r>
              <w:rPr>
                <w:rFonts w:ascii="仿宋" w:hAnsi="仿宋" w:eastAsia="仿宋" w:cs="宋体"/>
                <w:kern w:val="0"/>
                <w:sz w:val="24"/>
                <w:szCs w:val="24"/>
              </w:rPr>
              <w:t>1.监测时间点前2周内的动态、要闻类栏目，以及监测时间点前6个月内的通知公告、政策文件类一级栏目，累计超过（含）5个未更新。</w:t>
            </w:r>
          </w:p>
          <w:p>
            <w:pPr>
              <w:widowControl/>
              <w:rPr>
                <w:rFonts w:ascii="仿宋" w:hAnsi="仿宋" w:eastAsia="仿宋" w:cs="宋体"/>
                <w:kern w:val="0"/>
                <w:sz w:val="24"/>
                <w:szCs w:val="24"/>
              </w:rPr>
            </w:pPr>
            <w:r>
              <w:rPr>
                <w:rFonts w:ascii="仿宋" w:hAnsi="仿宋" w:eastAsia="仿宋" w:cs="宋体"/>
                <w:kern w:val="0"/>
                <w:sz w:val="24"/>
                <w:szCs w:val="24"/>
              </w:rPr>
              <w:t>2.应更新但长期未更新的栏目数量超过（含）10个。</w:t>
            </w:r>
          </w:p>
          <w:p>
            <w:pPr>
              <w:widowControl/>
              <w:rPr>
                <w:rFonts w:ascii="仿宋" w:hAnsi="仿宋" w:eastAsia="仿宋" w:cs="宋体"/>
                <w:kern w:val="0"/>
                <w:sz w:val="24"/>
                <w:szCs w:val="24"/>
              </w:rPr>
            </w:pPr>
            <w:r>
              <w:rPr>
                <w:rFonts w:ascii="仿宋" w:hAnsi="仿宋" w:eastAsia="仿宋" w:cs="宋体"/>
                <w:kern w:val="0"/>
                <w:sz w:val="24"/>
                <w:szCs w:val="24"/>
              </w:rPr>
              <w:t>3.空白栏目数量超过（含）5个。</w:t>
            </w:r>
          </w:p>
          <w:p>
            <w:pPr>
              <w:widowControl/>
              <w:rPr>
                <w:rFonts w:ascii="仿宋" w:hAnsi="仿宋" w:eastAsia="仿宋" w:cs="宋体"/>
                <w:kern w:val="0"/>
                <w:sz w:val="24"/>
                <w:szCs w:val="24"/>
              </w:rPr>
            </w:pPr>
            <w:r>
              <w:rPr>
                <w:rFonts w:hint="eastAsia" w:ascii="仿宋" w:hAnsi="仿宋" w:eastAsia="仿宋" w:cs="宋体"/>
                <w:kern w:val="0"/>
                <w:sz w:val="24"/>
                <w:szCs w:val="24"/>
              </w:rPr>
              <w:t>上述情况出现任意一种，即单项否决。</w:t>
            </w:r>
          </w:p>
        </w:tc>
      </w:tr>
      <w:tr>
        <w:tblPrEx>
          <w:tblCellMar>
            <w:top w:w="0" w:type="dxa"/>
            <w:left w:w="108" w:type="dxa"/>
            <w:bottom w:w="0" w:type="dxa"/>
            <w:right w:w="108" w:type="dxa"/>
          </w:tblCellMar>
        </w:tblPrEx>
        <w:trPr>
          <w:cantSplit/>
          <w:trHeight w:val="20" w:hRule="atLeast"/>
        </w:trPr>
        <w:tc>
          <w:tcPr>
            <w:tcW w:w="1637" w:type="dxa"/>
            <w:vMerge w:val="continue"/>
            <w:tcBorders>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kern w:val="0"/>
                <w:sz w:val="24"/>
                <w:szCs w:val="24"/>
              </w:rPr>
            </w:pPr>
          </w:p>
        </w:tc>
        <w:tc>
          <w:tcPr>
            <w:tcW w:w="1733"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互动回应差</w:t>
            </w:r>
          </w:p>
        </w:tc>
        <w:tc>
          <w:tcPr>
            <w:tcW w:w="96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1.未提供网上有效咨询建言渠道（网上信访、纪检举报等专门渠道除外）。</w:t>
            </w:r>
          </w:p>
          <w:p>
            <w:pPr>
              <w:widowControl/>
              <w:rPr>
                <w:rFonts w:ascii="仿宋" w:hAnsi="仿宋" w:eastAsia="仿宋" w:cs="宋体"/>
                <w:kern w:val="0"/>
                <w:sz w:val="24"/>
                <w:szCs w:val="24"/>
              </w:rPr>
            </w:pPr>
            <w:r>
              <w:rPr>
                <w:rFonts w:hint="eastAsia" w:ascii="仿宋" w:hAnsi="仿宋" w:eastAsia="仿宋" w:cs="宋体"/>
                <w:kern w:val="0"/>
                <w:sz w:val="24"/>
                <w:szCs w:val="24"/>
              </w:rPr>
              <w:t>2.监测时间点前1年内，对网民留言应及时答复处理的政务咨询类栏目（在线访谈、调查征集、网上信访、纪检举报类栏目除外）存在超过3个月未回应有效留言的现象。</w:t>
            </w:r>
          </w:p>
          <w:p>
            <w:pPr>
              <w:widowControl/>
              <w:rPr>
                <w:rFonts w:ascii="仿宋" w:hAnsi="仿宋" w:eastAsia="仿宋" w:cs="宋体"/>
                <w:kern w:val="0"/>
                <w:sz w:val="24"/>
                <w:szCs w:val="24"/>
              </w:rPr>
            </w:pPr>
            <w:r>
              <w:rPr>
                <w:rFonts w:hint="eastAsia" w:ascii="仿宋" w:hAnsi="仿宋" w:eastAsia="仿宋" w:cs="宋体"/>
                <w:kern w:val="0"/>
                <w:sz w:val="24"/>
                <w:szCs w:val="24"/>
              </w:rPr>
              <w:t>上述情况出现任意一种，即单项否决。</w:t>
            </w:r>
          </w:p>
        </w:tc>
      </w:tr>
      <w:tr>
        <w:tblPrEx>
          <w:tblCellMar>
            <w:top w:w="0" w:type="dxa"/>
            <w:left w:w="108" w:type="dxa"/>
            <w:bottom w:w="0" w:type="dxa"/>
            <w:right w:w="108" w:type="dxa"/>
          </w:tblCellMar>
        </w:tblPrEx>
        <w:trPr>
          <w:cantSplit/>
          <w:trHeight w:val="20" w:hRule="atLeast"/>
        </w:trPr>
        <w:tc>
          <w:tcPr>
            <w:tcW w:w="163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政府网站</w:t>
            </w:r>
          </w:p>
        </w:tc>
        <w:tc>
          <w:tcPr>
            <w:tcW w:w="1733"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服务不实用</w:t>
            </w:r>
          </w:p>
        </w:tc>
        <w:tc>
          <w:tcPr>
            <w:tcW w:w="96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1.未提供办事服务。</w:t>
            </w:r>
          </w:p>
          <w:p>
            <w:pPr>
              <w:widowControl/>
              <w:rPr>
                <w:rFonts w:ascii="仿宋" w:hAnsi="仿宋" w:eastAsia="仿宋" w:cs="宋体"/>
                <w:kern w:val="0"/>
                <w:sz w:val="24"/>
                <w:szCs w:val="24"/>
              </w:rPr>
            </w:pPr>
            <w:r>
              <w:rPr>
                <w:rFonts w:hint="eastAsia" w:ascii="仿宋" w:hAnsi="仿宋" w:eastAsia="仿宋" w:cs="宋体"/>
                <w:kern w:val="0"/>
                <w:sz w:val="24"/>
                <w:szCs w:val="24"/>
              </w:rPr>
              <w:t>2.办事指南重点要素类别（包括事项名称、设定依据、申请条件、办理材料、办理地点、办理机构、收费标准、办理时间、联系电话、办理流程）缺失4类及以上的事项数量超过（含）5个。</w:t>
            </w:r>
          </w:p>
          <w:p>
            <w:pPr>
              <w:widowControl/>
              <w:rPr>
                <w:rFonts w:ascii="仿宋" w:hAnsi="仿宋" w:eastAsia="仿宋" w:cs="宋体"/>
                <w:kern w:val="0"/>
                <w:sz w:val="24"/>
                <w:szCs w:val="24"/>
              </w:rPr>
            </w:pPr>
            <w:r>
              <w:rPr>
                <w:rFonts w:hint="eastAsia" w:ascii="仿宋" w:hAnsi="仿宋" w:eastAsia="仿宋" w:cs="宋体"/>
                <w:kern w:val="0"/>
                <w:sz w:val="24"/>
                <w:szCs w:val="24"/>
              </w:rPr>
              <w:t>3.事项总数不足5个的，每个事项办事指南重点要素类别（包括事项名称、设定依据、申请条件、办理材料、办理地点、办理机构、收费标准、办理时间、联系电话、办理流程）均缺失4类及以上。</w:t>
            </w:r>
          </w:p>
          <w:p>
            <w:pPr>
              <w:widowControl/>
              <w:rPr>
                <w:rFonts w:ascii="仿宋" w:hAnsi="仿宋" w:eastAsia="仿宋" w:cs="宋体"/>
                <w:kern w:val="0"/>
                <w:sz w:val="24"/>
                <w:szCs w:val="24"/>
              </w:rPr>
            </w:pPr>
            <w:r>
              <w:rPr>
                <w:rFonts w:hint="eastAsia" w:ascii="仿宋" w:hAnsi="仿宋" w:eastAsia="仿宋" w:cs="宋体"/>
                <w:kern w:val="0"/>
                <w:sz w:val="24"/>
                <w:szCs w:val="24"/>
              </w:rPr>
              <w:t>上述情况出现任意一种，即单项否决。</w:t>
            </w:r>
          </w:p>
          <w:p>
            <w:pPr>
              <w:widowControl/>
              <w:rPr>
                <w:rFonts w:ascii="仿宋" w:hAnsi="仿宋" w:eastAsia="仿宋" w:cs="宋体"/>
                <w:kern w:val="0"/>
                <w:sz w:val="24"/>
                <w:szCs w:val="24"/>
              </w:rPr>
            </w:pPr>
            <w:r>
              <w:rPr>
                <w:rFonts w:hint="eastAsia" w:ascii="仿宋" w:hAnsi="仿宋" w:eastAsia="仿宋" w:cs="宋体"/>
                <w:kern w:val="0"/>
                <w:sz w:val="24"/>
                <w:szCs w:val="24"/>
              </w:rPr>
              <w:t>（注：对不考核办事服务指标的单位，不检查其网站该项指标。）</w:t>
            </w:r>
          </w:p>
        </w:tc>
      </w:tr>
      <w:tr>
        <w:tblPrEx>
          <w:tblCellMar>
            <w:top w:w="0" w:type="dxa"/>
            <w:left w:w="108" w:type="dxa"/>
            <w:bottom w:w="0" w:type="dxa"/>
            <w:right w:w="108" w:type="dxa"/>
          </w:tblCellMar>
        </w:tblPrEx>
        <w:trPr>
          <w:cantSplit/>
          <w:trHeight w:val="20" w:hRule="atLeast"/>
        </w:trPr>
        <w:tc>
          <w:tcPr>
            <w:tcW w:w="163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政务新媒体（年度考评以季度检查结果为依据）</w:t>
            </w:r>
          </w:p>
        </w:tc>
        <w:tc>
          <w:tcPr>
            <w:tcW w:w="1733"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安全、泄密事故等严重问题</w:t>
            </w:r>
          </w:p>
        </w:tc>
        <w:tc>
          <w:tcPr>
            <w:tcW w:w="96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1.出现严重表述错误。</w:t>
            </w:r>
          </w:p>
          <w:p>
            <w:pPr>
              <w:widowControl/>
              <w:rPr>
                <w:rFonts w:ascii="仿宋" w:hAnsi="仿宋" w:eastAsia="仿宋" w:cs="宋体"/>
                <w:kern w:val="0"/>
                <w:sz w:val="24"/>
                <w:szCs w:val="24"/>
              </w:rPr>
            </w:pPr>
            <w:r>
              <w:rPr>
                <w:rFonts w:hint="eastAsia" w:ascii="仿宋" w:hAnsi="仿宋" w:eastAsia="仿宋" w:cs="宋体"/>
                <w:kern w:val="0"/>
                <w:sz w:val="24"/>
                <w:szCs w:val="24"/>
              </w:rPr>
              <w:t>2.泄露国家秘密。</w:t>
            </w:r>
          </w:p>
          <w:p>
            <w:pPr>
              <w:widowControl/>
              <w:rPr>
                <w:rFonts w:ascii="仿宋" w:hAnsi="仿宋" w:eastAsia="仿宋" w:cs="宋体"/>
                <w:kern w:val="0"/>
                <w:sz w:val="24"/>
                <w:szCs w:val="24"/>
              </w:rPr>
            </w:pPr>
            <w:r>
              <w:rPr>
                <w:rFonts w:hint="eastAsia" w:ascii="仿宋" w:hAnsi="仿宋" w:eastAsia="仿宋" w:cs="宋体"/>
                <w:kern w:val="0"/>
                <w:sz w:val="24"/>
                <w:szCs w:val="24"/>
              </w:rPr>
              <w:t>3.发布或链接反动、暴力、色情等内容。</w:t>
            </w:r>
          </w:p>
          <w:p>
            <w:pPr>
              <w:widowControl/>
              <w:rPr>
                <w:rFonts w:ascii="仿宋" w:hAnsi="仿宋" w:eastAsia="仿宋" w:cs="宋体"/>
                <w:kern w:val="0"/>
                <w:sz w:val="24"/>
                <w:szCs w:val="24"/>
              </w:rPr>
            </w:pPr>
            <w:r>
              <w:rPr>
                <w:rFonts w:hint="eastAsia" w:ascii="仿宋" w:hAnsi="仿宋" w:eastAsia="仿宋" w:cs="宋体"/>
                <w:kern w:val="0"/>
                <w:sz w:val="24"/>
                <w:szCs w:val="24"/>
              </w:rPr>
              <w:t>4.因发布内容不当引发严重负面舆情。</w:t>
            </w:r>
          </w:p>
          <w:p>
            <w:pPr>
              <w:widowControl/>
              <w:rPr>
                <w:rFonts w:ascii="仿宋" w:hAnsi="仿宋" w:eastAsia="仿宋" w:cs="宋体"/>
                <w:kern w:val="0"/>
                <w:sz w:val="24"/>
                <w:szCs w:val="24"/>
              </w:rPr>
            </w:pPr>
            <w:r>
              <w:rPr>
                <w:rFonts w:hint="eastAsia" w:ascii="仿宋" w:hAnsi="仿宋" w:eastAsia="仿宋" w:cs="宋体"/>
                <w:kern w:val="0"/>
                <w:sz w:val="24"/>
                <w:szCs w:val="24"/>
              </w:rPr>
              <w:t>上述情况出现任意一种，即单项否决。</w:t>
            </w:r>
          </w:p>
        </w:tc>
      </w:tr>
      <w:tr>
        <w:tblPrEx>
          <w:tblCellMar>
            <w:top w:w="0" w:type="dxa"/>
            <w:left w:w="108" w:type="dxa"/>
            <w:bottom w:w="0" w:type="dxa"/>
            <w:right w:w="108" w:type="dxa"/>
          </w:tblCellMar>
        </w:tblPrEx>
        <w:trPr>
          <w:cantSplit/>
          <w:trHeight w:val="20" w:hRule="atLeast"/>
        </w:trPr>
        <w:tc>
          <w:tcPr>
            <w:tcW w:w="16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 w:val="24"/>
                <w:szCs w:val="24"/>
              </w:rPr>
            </w:pPr>
          </w:p>
        </w:tc>
        <w:tc>
          <w:tcPr>
            <w:tcW w:w="1733"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内容不更新</w:t>
            </w:r>
          </w:p>
        </w:tc>
        <w:tc>
          <w:tcPr>
            <w:tcW w:w="96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1.监测时间点前2周内无更新。</w:t>
            </w:r>
          </w:p>
          <w:p>
            <w:pPr>
              <w:widowControl/>
              <w:rPr>
                <w:rFonts w:ascii="仿宋" w:hAnsi="仿宋" w:eastAsia="仿宋" w:cs="宋体"/>
                <w:kern w:val="0"/>
                <w:sz w:val="24"/>
                <w:szCs w:val="24"/>
              </w:rPr>
            </w:pPr>
            <w:r>
              <w:rPr>
                <w:rFonts w:hint="eastAsia" w:ascii="仿宋" w:hAnsi="仿宋" w:eastAsia="仿宋" w:cs="宋体"/>
                <w:kern w:val="0"/>
                <w:sz w:val="24"/>
                <w:szCs w:val="24"/>
              </w:rPr>
              <w:t>2.移动客户端（APP）无法下载或使用，发生“僵尸”、“睡眠”情况。</w:t>
            </w:r>
          </w:p>
        </w:tc>
      </w:tr>
      <w:tr>
        <w:tblPrEx>
          <w:tblCellMar>
            <w:top w:w="0" w:type="dxa"/>
            <w:left w:w="108" w:type="dxa"/>
            <w:bottom w:w="0" w:type="dxa"/>
            <w:right w:w="108" w:type="dxa"/>
          </w:tblCellMar>
        </w:tblPrEx>
        <w:trPr>
          <w:cantSplit/>
          <w:trHeight w:val="20" w:hRule="atLeast"/>
        </w:trPr>
        <w:tc>
          <w:tcPr>
            <w:tcW w:w="16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 w:val="24"/>
                <w:szCs w:val="24"/>
              </w:rPr>
            </w:pPr>
          </w:p>
        </w:tc>
        <w:tc>
          <w:tcPr>
            <w:tcW w:w="1733"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互动回应差</w:t>
            </w:r>
          </w:p>
        </w:tc>
        <w:tc>
          <w:tcPr>
            <w:tcW w:w="96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1.未提供有效互动功能。</w:t>
            </w:r>
          </w:p>
          <w:p>
            <w:pPr>
              <w:widowControl/>
              <w:rPr>
                <w:rFonts w:ascii="仿宋" w:hAnsi="仿宋" w:eastAsia="仿宋" w:cs="宋体"/>
                <w:kern w:val="0"/>
                <w:sz w:val="24"/>
                <w:szCs w:val="24"/>
              </w:rPr>
            </w:pPr>
            <w:r>
              <w:rPr>
                <w:rFonts w:hint="eastAsia" w:ascii="仿宋" w:hAnsi="仿宋" w:eastAsia="仿宋" w:cs="宋体"/>
                <w:kern w:val="0"/>
                <w:sz w:val="24"/>
                <w:szCs w:val="24"/>
              </w:rPr>
              <w:t>2.存在购买“粉丝”、强制要求群众点赞等弄虚作假行为。</w:t>
            </w:r>
          </w:p>
          <w:p>
            <w:pPr>
              <w:widowControl/>
              <w:rPr>
                <w:rFonts w:ascii="仿宋" w:hAnsi="仿宋" w:eastAsia="仿宋" w:cs="宋体"/>
                <w:kern w:val="0"/>
                <w:sz w:val="24"/>
                <w:szCs w:val="24"/>
              </w:rPr>
            </w:pPr>
            <w:r>
              <w:rPr>
                <w:rFonts w:hint="eastAsia" w:ascii="仿宋" w:hAnsi="仿宋" w:eastAsia="仿宋" w:cs="宋体"/>
                <w:kern w:val="0"/>
                <w:sz w:val="24"/>
                <w:szCs w:val="24"/>
              </w:rPr>
              <w:t>上述情况出现任意一种，即单项否决。</w:t>
            </w:r>
          </w:p>
        </w:tc>
      </w:tr>
      <w:tr>
        <w:tblPrEx>
          <w:tblCellMar>
            <w:top w:w="0" w:type="dxa"/>
            <w:left w:w="108" w:type="dxa"/>
            <w:bottom w:w="0" w:type="dxa"/>
            <w:right w:w="108" w:type="dxa"/>
          </w:tblCellMar>
        </w:tblPrEx>
        <w:trPr>
          <w:cantSplit/>
          <w:trHeight w:val="20" w:hRule="atLeast"/>
        </w:trPr>
        <w:tc>
          <w:tcPr>
            <w:tcW w:w="16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 w:val="24"/>
                <w:szCs w:val="24"/>
              </w:rPr>
            </w:pPr>
          </w:p>
        </w:tc>
        <w:tc>
          <w:tcPr>
            <w:tcW w:w="1733"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监管不到位</w:t>
            </w:r>
          </w:p>
        </w:tc>
        <w:tc>
          <w:tcPr>
            <w:tcW w:w="96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1.在国办和省府办开展的抽查中，本区政府（管委会）政务新媒体因出现严重表述错误被判定为不合格超过（含）1个。</w:t>
            </w:r>
          </w:p>
          <w:p>
            <w:pPr>
              <w:widowControl/>
              <w:rPr>
                <w:rFonts w:ascii="仿宋" w:hAnsi="仿宋" w:eastAsia="仿宋" w:cs="宋体"/>
                <w:kern w:val="0"/>
                <w:sz w:val="24"/>
                <w:szCs w:val="24"/>
              </w:rPr>
            </w:pPr>
            <w:r>
              <w:rPr>
                <w:rFonts w:hint="eastAsia" w:ascii="仿宋" w:hAnsi="仿宋" w:eastAsia="仿宋" w:cs="宋体"/>
                <w:kern w:val="0"/>
                <w:sz w:val="24"/>
                <w:szCs w:val="24"/>
              </w:rPr>
              <w:t>2.在政务新媒体管理工作中存在弄虚作假行为。</w:t>
            </w:r>
          </w:p>
          <w:p>
            <w:pPr>
              <w:widowControl/>
              <w:rPr>
                <w:rFonts w:ascii="仿宋" w:hAnsi="仿宋" w:eastAsia="仿宋" w:cs="宋体"/>
                <w:kern w:val="0"/>
                <w:sz w:val="24"/>
                <w:szCs w:val="24"/>
              </w:rPr>
            </w:pPr>
            <w:r>
              <w:rPr>
                <w:rFonts w:hint="eastAsia" w:ascii="仿宋" w:hAnsi="仿宋" w:eastAsia="仿宋" w:cs="宋体"/>
                <w:kern w:val="0"/>
                <w:sz w:val="24"/>
                <w:szCs w:val="24"/>
              </w:rPr>
              <w:t>上述情况出现任意一种，即单项否决。</w:t>
            </w:r>
          </w:p>
          <w:p>
            <w:pPr>
              <w:widowControl/>
              <w:rPr>
                <w:rFonts w:ascii="仿宋" w:hAnsi="仿宋" w:eastAsia="仿宋" w:cs="宋体"/>
                <w:kern w:val="0"/>
                <w:sz w:val="24"/>
                <w:szCs w:val="24"/>
              </w:rPr>
            </w:pPr>
            <w:r>
              <w:rPr>
                <w:rFonts w:hint="eastAsia" w:ascii="仿宋" w:hAnsi="仿宋" w:eastAsia="仿宋" w:cs="宋体"/>
                <w:kern w:val="0"/>
                <w:sz w:val="24"/>
                <w:szCs w:val="24"/>
              </w:rPr>
              <w:t>（注：市直单位政务新媒体不检查该项指标。）</w:t>
            </w:r>
          </w:p>
        </w:tc>
      </w:tr>
    </w:tbl>
    <w:p>
      <w:pPr>
        <w:pStyle w:val="5"/>
        <w:spacing w:line="560" w:lineRule="exact"/>
        <w:ind w:firstLine="640" w:firstLineChars="200"/>
        <w:outlineLvl w:val="0"/>
        <w:rPr>
          <w:rFonts w:eastAsia="黑体"/>
          <w:bCs/>
          <w:sz w:val="32"/>
        </w:rPr>
      </w:pPr>
    </w:p>
    <w:p>
      <w:pPr>
        <w:pStyle w:val="5"/>
        <w:spacing w:line="560" w:lineRule="exact"/>
        <w:ind w:firstLine="640" w:firstLineChars="200"/>
        <w:outlineLvl w:val="0"/>
        <w:rPr>
          <w:rFonts w:eastAsia="黑体"/>
          <w:bCs/>
          <w:sz w:val="32"/>
        </w:rPr>
      </w:pPr>
      <w:r>
        <w:rPr>
          <w:rFonts w:hint="eastAsia" w:eastAsia="黑体"/>
          <w:bCs/>
          <w:sz w:val="32"/>
        </w:rPr>
        <w:t>二、扣分指标（1</w:t>
      </w:r>
      <w:r>
        <w:rPr>
          <w:rFonts w:eastAsia="黑体"/>
          <w:bCs/>
          <w:sz w:val="32"/>
        </w:rPr>
        <w:t>00</w:t>
      </w:r>
      <w:r>
        <w:rPr>
          <w:rFonts w:hint="eastAsia" w:eastAsia="黑体"/>
          <w:bCs/>
          <w:sz w:val="32"/>
        </w:rPr>
        <w:t>分）</w:t>
      </w:r>
    </w:p>
    <w:tbl>
      <w:tblPr>
        <w:tblStyle w:val="2"/>
        <w:tblW w:w="0" w:type="auto"/>
        <w:tblInd w:w="0" w:type="dxa"/>
        <w:tblLayout w:type="fixed"/>
        <w:tblCellMar>
          <w:top w:w="0" w:type="dxa"/>
          <w:left w:w="108" w:type="dxa"/>
          <w:bottom w:w="0" w:type="dxa"/>
          <w:right w:w="108" w:type="dxa"/>
        </w:tblCellMar>
      </w:tblPr>
      <w:tblGrid>
        <w:gridCol w:w="1375"/>
        <w:gridCol w:w="1427"/>
        <w:gridCol w:w="9403"/>
        <w:gridCol w:w="768"/>
      </w:tblGrid>
      <w:tr>
        <w:tblPrEx>
          <w:tblCellMar>
            <w:top w:w="0" w:type="dxa"/>
            <w:left w:w="108" w:type="dxa"/>
            <w:bottom w:w="0" w:type="dxa"/>
            <w:right w:w="108" w:type="dxa"/>
          </w:tblCellMar>
        </w:tblPrEx>
        <w:trPr>
          <w:cantSplit/>
          <w:trHeight w:val="1259" w:hRule="atLeast"/>
          <w:tblHeader/>
        </w:trPr>
        <w:tc>
          <w:tcPr>
            <w:tcW w:w="137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一级指标</w:t>
            </w:r>
          </w:p>
        </w:tc>
        <w:tc>
          <w:tcPr>
            <w:tcW w:w="1427"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二级指标</w:t>
            </w:r>
          </w:p>
        </w:tc>
        <w:tc>
          <w:tcPr>
            <w:tcW w:w="9403"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评分细则</w:t>
            </w:r>
          </w:p>
        </w:tc>
        <w:tc>
          <w:tcPr>
            <w:tcW w:w="7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r>
      <w:tr>
        <w:tblPrEx>
          <w:tblCellMar>
            <w:top w:w="0" w:type="dxa"/>
            <w:left w:w="108" w:type="dxa"/>
            <w:bottom w:w="0" w:type="dxa"/>
            <w:right w:w="108" w:type="dxa"/>
          </w:tblCellMar>
        </w:tblPrEx>
        <w:trPr>
          <w:cantSplit/>
          <w:trHeight w:val="710" w:hRule="atLeast"/>
        </w:trPr>
        <w:tc>
          <w:tcPr>
            <w:tcW w:w="1375" w:type="dxa"/>
            <w:vMerge w:val="restart"/>
            <w:tcBorders>
              <w:top w:val="nil"/>
              <w:left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健康情况</w:t>
            </w:r>
          </w:p>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10</w:t>
            </w:r>
            <w:r>
              <w:rPr>
                <w:rFonts w:hint="eastAsia" w:ascii="仿宋" w:hAnsi="仿宋" w:eastAsia="仿宋" w:cs="宋体"/>
                <w:color w:val="000000"/>
                <w:kern w:val="0"/>
                <w:sz w:val="24"/>
                <w:szCs w:val="24"/>
              </w:rPr>
              <w:t>分）</w:t>
            </w:r>
          </w:p>
        </w:tc>
        <w:tc>
          <w:tcPr>
            <w:tcW w:w="14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仿宋_GB2312"/>
                <w:color w:val="000000"/>
                <w:sz w:val="24"/>
                <w:szCs w:val="24"/>
              </w:rPr>
              <w:t>常态化监管</w:t>
            </w:r>
          </w:p>
        </w:tc>
        <w:tc>
          <w:tcPr>
            <w:tcW w:w="9403"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szCs w:val="24"/>
              </w:rPr>
            </w:pPr>
            <w:r>
              <w:rPr>
                <w:rFonts w:hint="eastAsia" w:ascii="仿宋" w:hAnsi="仿宋" w:eastAsia="仿宋" w:cs="仿宋_GB2312"/>
                <w:color w:val="000000"/>
                <w:sz w:val="24"/>
                <w:szCs w:val="24"/>
              </w:rPr>
              <w:t>参照国办普查评分要求（国办发〔2015〕15号），以及检查指标、监管工作年度考核指标（国办秘函〔2019〕19号）要求，每季度对网站健康情况进行检查，根据季度检查扣分情况按比重扣分。</w:t>
            </w:r>
          </w:p>
        </w:tc>
        <w:tc>
          <w:tcPr>
            <w:tcW w:w="768" w:type="dxa"/>
            <w:vMerge w:val="restart"/>
            <w:tcBorders>
              <w:top w:val="nil"/>
              <w:left w:val="nil"/>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r>
              <w:rPr>
                <w:rFonts w:ascii="仿宋" w:hAnsi="仿宋" w:eastAsia="仿宋" w:cs="宋体"/>
                <w:color w:val="000000"/>
                <w:kern w:val="0"/>
                <w:sz w:val="24"/>
                <w:szCs w:val="24"/>
              </w:rPr>
              <w:t>0</w:t>
            </w:r>
          </w:p>
        </w:tc>
      </w:tr>
      <w:tr>
        <w:tblPrEx>
          <w:tblCellMar>
            <w:top w:w="0" w:type="dxa"/>
            <w:left w:w="108" w:type="dxa"/>
            <w:bottom w:w="0" w:type="dxa"/>
            <w:right w:w="108" w:type="dxa"/>
          </w:tblCellMar>
        </w:tblPrEx>
        <w:trPr>
          <w:cantSplit/>
          <w:trHeight w:val="710" w:hRule="atLeast"/>
        </w:trPr>
        <w:tc>
          <w:tcPr>
            <w:tcW w:w="1375"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仿宋_GB2312"/>
                <w:color w:val="000000"/>
                <w:sz w:val="24"/>
                <w:szCs w:val="24"/>
              </w:rPr>
              <w:t>问题整改</w:t>
            </w:r>
          </w:p>
        </w:tc>
        <w:tc>
          <w:tcPr>
            <w:tcW w:w="9403"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szCs w:val="24"/>
              </w:rPr>
            </w:pPr>
            <w:r>
              <w:rPr>
                <w:rFonts w:hint="eastAsia" w:ascii="仿宋" w:hAnsi="仿宋" w:eastAsia="仿宋" w:cs="仿宋_GB2312"/>
                <w:color w:val="000000"/>
                <w:sz w:val="24"/>
                <w:szCs w:val="24"/>
              </w:rPr>
              <w:t>未在2周内对检查发现的问题进行整改，或整改不到位的，每发现一个，扣2分。</w:t>
            </w:r>
          </w:p>
        </w:tc>
        <w:tc>
          <w:tcPr>
            <w:tcW w:w="768" w:type="dxa"/>
            <w:vMerge w:val="continue"/>
            <w:tcBorders>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cantSplit/>
          <w:trHeight w:val="563" w:hRule="atLeast"/>
        </w:trPr>
        <w:tc>
          <w:tcPr>
            <w:tcW w:w="1375" w:type="dxa"/>
            <w:vMerge w:val="restart"/>
            <w:tcBorders>
              <w:top w:val="single" w:color="auto" w:sz="4" w:space="0"/>
              <w:left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发布解读（</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0分）</w:t>
            </w:r>
          </w:p>
        </w:tc>
        <w:tc>
          <w:tcPr>
            <w:tcW w:w="14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概况信息</w:t>
            </w:r>
          </w:p>
        </w:tc>
        <w:tc>
          <w:tcPr>
            <w:tcW w:w="9403"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1.未开设概况信息类栏目的，扣</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分。</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2.概况信息更新不及时或不准确的，每发现一处，扣</w:t>
            </w:r>
            <w:r>
              <w:rPr>
                <w:rFonts w:ascii="仿宋" w:hAnsi="仿宋" w:eastAsia="仿宋" w:cs="宋体"/>
                <w:color w:val="000000"/>
                <w:kern w:val="0"/>
                <w:sz w:val="24"/>
                <w:szCs w:val="24"/>
              </w:rPr>
              <w:t>0.5</w:t>
            </w:r>
            <w:r>
              <w:rPr>
                <w:rFonts w:hint="eastAsia" w:ascii="仿宋" w:hAnsi="仿宋" w:eastAsia="仿宋" w:cs="宋体"/>
                <w:color w:val="000000"/>
                <w:kern w:val="0"/>
                <w:sz w:val="24"/>
                <w:szCs w:val="24"/>
              </w:rPr>
              <w:t>分。</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（注：市直单位网站不检查该项指标。）</w:t>
            </w:r>
          </w:p>
        </w:tc>
        <w:tc>
          <w:tcPr>
            <w:tcW w:w="76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机构职能</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1.未开设机构职能类栏目的，扣</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分。</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2.机构职能信息不准确的，每发现一处，扣</w:t>
            </w:r>
            <w:r>
              <w:rPr>
                <w:rFonts w:ascii="仿宋" w:hAnsi="仿宋" w:eastAsia="仿宋" w:cs="宋体"/>
                <w:color w:val="000000"/>
                <w:kern w:val="0"/>
                <w:sz w:val="24"/>
                <w:szCs w:val="24"/>
              </w:rPr>
              <w:t>0.5</w:t>
            </w:r>
            <w:r>
              <w:rPr>
                <w:rFonts w:hint="eastAsia" w:ascii="仿宋" w:hAnsi="仿宋" w:eastAsia="仿宋" w:cs="宋体"/>
                <w:color w:val="000000"/>
                <w:kern w:val="0"/>
                <w:sz w:val="24"/>
                <w:szCs w:val="24"/>
              </w:rPr>
              <w:t>分。</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（注：市直单位网站未开设机构职能类栏目扣</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分，信息不准确的，每发现一处扣1分，最多扣</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分。）</w:t>
            </w:r>
          </w:p>
        </w:tc>
        <w:tc>
          <w:tcPr>
            <w:tcW w:w="76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领导信息</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1.未开设领导信息类栏目的，扣</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2.领导姓名、简历等信息缺失或不准确的，每发现一处，扣</w:t>
            </w:r>
            <w:r>
              <w:rPr>
                <w:rFonts w:ascii="仿宋" w:hAnsi="仿宋" w:eastAsia="仿宋" w:cs="宋体"/>
                <w:color w:val="000000"/>
                <w:kern w:val="0"/>
                <w:sz w:val="24"/>
                <w:szCs w:val="24"/>
              </w:rPr>
              <w:t>0.5</w:t>
            </w:r>
            <w:r>
              <w:rPr>
                <w:rFonts w:hint="eastAsia" w:ascii="仿宋" w:hAnsi="仿宋" w:eastAsia="仿宋" w:cs="宋体"/>
                <w:color w:val="000000"/>
                <w:kern w:val="0"/>
                <w:sz w:val="24"/>
                <w:szCs w:val="24"/>
              </w:rPr>
              <w:t>分。</w:t>
            </w:r>
          </w:p>
        </w:tc>
        <w:tc>
          <w:tcPr>
            <w:tcW w:w="76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动态要闻</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1.未开设动态要闻类栏目的，扣1分。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2.监测时间点前2周内未更新的，扣1分。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政策文件</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1.未开设政策文件类栏目的，扣1分。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2.监测时间点前6个月内政策文件类一级栏目未更新的，扣1分。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375"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发布解读（</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0分）</w:t>
            </w:r>
          </w:p>
        </w:tc>
        <w:tc>
          <w:tcPr>
            <w:tcW w:w="142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政策解读</w:t>
            </w:r>
          </w:p>
        </w:tc>
        <w:tc>
          <w:tcPr>
            <w:tcW w:w="9403" w:type="dxa"/>
            <w:tcBorders>
              <w:top w:val="nil"/>
              <w:left w:val="nil"/>
              <w:bottom w:val="single" w:color="auto" w:sz="4" w:space="0"/>
              <w:right w:val="single" w:color="auto" w:sz="4" w:space="0"/>
            </w:tcBorders>
            <w:shd w:val="clear" w:color="auto" w:fill="auto"/>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1.未开设政策解读类栏目的，扣2分。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2.监测时间点前6个月内政策解读类一级栏目未更新的，扣2分。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3.网站已发布的解读稿中，通过新闻发布会、图表图解、音视频或动漫等形式解读比例较低的，扣1分。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解读比例</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随机抽查网站已发布的4个以本区本部门或本区本部门办公室名义印发的涉及面广、社会关注度高的政策文件，被解读的文件数量每少一个，扣0.5分。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（注：不足4个的则检查全部文件。）</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解读关联</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随机抽查网站已发布的4个解读稿：未与被解读的政策文件相关联的，每发现一处，扣0.5分；该政策文件未与被抽查解读稿相关联的，每发现一处，扣0.5分。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（注：不足4个的则检查全部解读稿。）</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数据发布</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1.未开设数据发布类栏目的，扣</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2.每发现一个栏目应更新未更新的，扣</w:t>
            </w:r>
            <w:r>
              <w:rPr>
                <w:rFonts w:ascii="仿宋" w:hAnsi="仿宋" w:eastAsia="仿宋" w:cs="宋体"/>
                <w:color w:val="000000"/>
                <w:kern w:val="0"/>
                <w:sz w:val="24"/>
                <w:szCs w:val="24"/>
              </w:rPr>
              <w:t>0.5</w:t>
            </w:r>
            <w:r>
              <w:rPr>
                <w:rFonts w:hint="eastAsia" w:ascii="仿宋" w:hAnsi="仿宋" w:eastAsia="仿宋" w:cs="宋体"/>
                <w:color w:val="000000"/>
                <w:kern w:val="0"/>
                <w:sz w:val="24"/>
                <w:szCs w:val="24"/>
              </w:rPr>
              <w:t>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3.未通过图表图解等可视化方式展现和解读数据的，扣</w:t>
            </w:r>
            <w:r>
              <w:rPr>
                <w:rFonts w:ascii="仿宋" w:hAnsi="仿宋" w:eastAsia="仿宋" w:cs="宋体"/>
                <w:color w:val="000000"/>
                <w:kern w:val="0"/>
                <w:sz w:val="24"/>
                <w:szCs w:val="24"/>
              </w:rPr>
              <w:t>0.5</w:t>
            </w:r>
            <w:r>
              <w:rPr>
                <w:rFonts w:hint="eastAsia" w:ascii="仿宋" w:hAnsi="仿宋" w:eastAsia="仿宋" w:cs="宋体"/>
                <w:color w:val="000000"/>
                <w:kern w:val="0"/>
                <w:sz w:val="24"/>
                <w:szCs w:val="24"/>
              </w:rPr>
              <w:t>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数据开放</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1.未在本区本部门政府网站提供“珠海市数据开放平台”本区本部门专栏入口的，扣2分。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2.未定期更新数据集的，每发现一处，扣1分。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3.未提供下载功能或可用数据接口的，扣1分。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年度报表</w:t>
            </w:r>
          </w:p>
        </w:tc>
        <w:tc>
          <w:tcPr>
            <w:tcW w:w="9403" w:type="dxa"/>
            <w:tcBorders>
              <w:top w:val="nil"/>
              <w:left w:val="nil"/>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1.本区、本部门政府网站工作年度报表晚于1月31日在本网站首页发布的，扣</w:t>
            </w:r>
            <w:r>
              <w:rPr>
                <w:rFonts w:ascii="仿宋" w:hAnsi="仿宋" w:eastAsia="仿宋" w:cs="宋体"/>
                <w:color w:val="000000"/>
                <w:kern w:val="0"/>
                <w:sz w:val="24"/>
                <w:szCs w:val="24"/>
              </w:rPr>
              <w:t>0.5</w:t>
            </w:r>
            <w:r>
              <w:rPr>
                <w:rFonts w:hint="eastAsia" w:ascii="仿宋" w:hAnsi="仿宋" w:eastAsia="仿宋" w:cs="宋体"/>
                <w:color w:val="000000"/>
                <w:kern w:val="0"/>
                <w:sz w:val="24"/>
                <w:szCs w:val="24"/>
              </w:rPr>
              <w:t>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2.未在珠海市政府门户网站的政府网站工作年度报表专栏中发布信息的，扣0</w:t>
            </w:r>
            <w:r>
              <w:rPr>
                <w:rFonts w:ascii="仿宋" w:hAnsi="仿宋" w:eastAsia="仿宋" w:cs="宋体"/>
                <w:color w:val="000000"/>
                <w:kern w:val="0"/>
                <w:sz w:val="24"/>
                <w:szCs w:val="24"/>
              </w:rPr>
              <w:t>.5</w:t>
            </w:r>
            <w:r>
              <w:rPr>
                <w:rFonts w:hint="eastAsia" w:ascii="仿宋" w:hAnsi="仿宋" w:eastAsia="仿宋" w:cs="宋体"/>
                <w:color w:val="000000"/>
                <w:kern w:val="0"/>
                <w:sz w:val="24"/>
                <w:szCs w:val="24"/>
              </w:rPr>
              <w:t>分。</w:t>
            </w:r>
          </w:p>
        </w:tc>
        <w:tc>
          <w:tcPr>
            <w:tcW w:w="76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重点领域</w:t>
            </w:r>
          </w:p>
        </w:tc>
        <w:tc>
          <w:tcPr>
            <w:tcW w:w="9403" w:type="dxa"/>
            <w:tcBorders>
              <w:top w:val="nil"/>
              <w:left w:val="nil"/>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根据重点领域信息公开专栏建设规范及重点领域相关要求，每发现一个领域未公开或建设不规范、应更新未更新的，扣1分。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（注：无重点领域分工的市直单位不检查该项指标，需在自评中提出申请说明。）</w:t>
            </w:r>
          </w:p>
        </w:tc>
        <w:tc>
          <w:tcPr>
            <w:tcW w:w="76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3</w:t>
            </w:r>
          </w:p>
        </w:tc>
      </w:tr>
      <w:tr>
        <w:tblPrEx>
          <w:tblCellMar>
            <w:top w:w="0" w:type="dxa"/>
            <w:left w:w="108" w:type="dxa"/>
            <w:bottom w:w="0" w:type="dxa"/>
            <w:right w:w="108" w:type="dxa"/>
          </w:tblCellMar>
        </w:tblPrEx>
        <w:trPr>
          <w:cantSplit/>
          <w:trHeight w:val="20"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发布解读（</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0分）</w:t>
            </w:r>
          </w:p>
        </w:tc>
        <w:tc>
          <w:tcPr>
            <w:tcW w:w="14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其他栏目</w:t>
            </w:r>
          </w:p>
        </w:tc>
        <w:tc>
          <w:tcPr>
            <w:tcW w:w="9403" w:type="dxa"/>
            <w:tcBorders>
              <w:top w:val="nil"/>
              <w:left w:val="nil"/>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1.其他栏目存在空白的，每发现一个，扣2分。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2.其他栏目存在应更新未更新的，每发现一个，扣1分。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（注：因空白、应更新未更新等原因已按其他指标扣分的，本指标项下不重复扣分。无重点领域分工的部门网站其他栏目存在空白的，每发现一个，扣</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分；存在应更新未更新的，每发现一个，扣2分，最多扣</w:t>
            </w:r>
            <w:r>
              <w:rPr>
                <w:rFonts w:ascii="仿宋" w:hAnsi="仿宋" w:eastAsia="仿宋" w:cs="宋体"/>
                <w:color w:val="000000"/>
                <w:kern w:val="0"/>
                <w:sz w:val="24"/>
                <w:szCs w:val="24"/>
              </w:rPr>
              <w:t>5</w:t>
            </w:r>
            <w:r>
              <w:rPr>
                <w:rFonts w:hint="eastAsia" w:ascii="仿宋" w:hAnsi="仿宋" w:eastAsia="仿宋" w:cs="宋体"/>
                <w:color w:val="000000"/>
                <w:kern w:val="0"/>
                <w:sz w:val="24"/>
                <w:szCs w:val="24"/>
              </w:rPr>
              <w:t>分。）</w:t>
            </w:r>
          </w:p>
        </w:tc>
        <w:tc>
          <w:tcPr>
            <w:tcW w:w="76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406" w:hRule="atLeast"/>
        </w:trPr>
        <w:tc>
          <w:tcPr>
            <w:tcW w:w="1375" w:type="dxa"/>
            <w:vMerge w:val="restart"/>
            <w:tcBorders>
              <w:top w:val="nil"/>
              <w:left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办事服务（20分）</w:t>
            </w:r>
          </w:p>
        </w:tc>
        <w:tc>
          <w:tcPr>
            <w:tcW w:w="1427"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ascii="仿宋" w:hAnsi="仿宋" w:eastAsia="仿宋" w:cs="宋体"/>
                <w:color w:val="000000"/>
                <w:kern w:val="0"/>
                <w:sz w:val="24"/>
                <w:szCs w:val="24"/>
              </w:rPr>
            </w:pPr>
            <w:r>
              <w:rPr>
                <w:rFonts w:ascii="仿宋" w:hAnsi="仿宋" w:eastAsia="仿宋" w:cs="仿宋_GB2312"/>
                <w:color w:val="000000"/>
                <w:sz w:val="24"/>
                <w:szCs w:val="24"/>
              </w:rPr>
              <w:t>事项公开</w:t>
            </w:r>
          </w:p>
        </w:tc>
        <w:tc>
          <w:tcPr>
            <w:tcW w:w="9403" w:type="dxa"/>
            <w:tcBorders>
              <w:top w:val="single" w:color="auto" w:sz="4" w:space="0"/>
              <w:left w:val="nil"/>
              <w:bottom w:val="single" w:color="auto" w:sz="4" w:space="0"/>
              <w:right w:val="single" w:color="auto" w:sz="4" w:space="0"/>
            </w:tcBorders>
            <w:shd w:val="clear" w:color="000000" w:fill="FFFFFF"/>
            <w:noWrap w:val="0"/>
            <w:vAlign w:val="center"/>
          </w:tcPr>
          <w:p>
            <w:pPr>
              <w:rPr>
                <w:rFonts w:ascii="仿宋" w:hAnsi="仿宋" w:eastAsia="仿宋" w:cs="宋体"/>
                <w:color w:val="000000"/>
                <w:kern w:val="0"/>
                <w:sz w:val="24"/>
                <w:szCs w:val="24"/>
              </w:rPr>
            </w:pPr>
            <w:r>
              <w:rPr>
                <w:rFonts w:ascii="仿宋" w:hAnsi="仿宋" w:eastAsia="仿宋" w:cs="仿宋_GB2312"/>
                <w:color w:val="000000"/>
                <w:sz w:val="24"/>
                <w:szCs w:val="24"/>
              </w:rPr>
              <w:t>未对办事服务事项集中分类展示的，扣2分。</w:t>
            </w:r>
          </w:p>
        </w:tc>
        <w:tc>
          <w:tcPr>
            <w:tcW w:w="768"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415" w:hRule="atLeast"/>
        </w:trPr>
        <w:tc>
          <w:tcPr>
            <w:tcW w:w="1375" w:type="dxa"/>
            <w:vMerge w:val="continue"/>
            <w:tcBorders>
              <w:left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p>
        </w:tc>
        <w:tc>
          <w:tcPr>
            <w:tcW w:w="1427"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仿宋_GB2312"/>
                <w:color w:val="000000"/>
                <w:sz w:val="24"/>
                <w:szCs w:val="24"/>
              </w:rPr>
            </w:pPr>
            <w:r>
              <w:rPr>
                <w:rFonts w:ascii="仿宋" w:hAnsi="仿宋" w:eastAsia="仿宋" w:cs="仿宋_GB2312"/>
                <w:color w:val="000000"/>
                <w:sz w:val="24"/>
                <w:szCs w:val="24"/>
              </w:rPr>
              <w:t>在线申请</w:t>
            </w:r>
          </w:p>
        </w:tc>
        <w:tc>
          <w:tcPr>
            <w:tcW w:w="9403" w:type="dxa"/>
            <w:tcBorders>
              <w:top w:val="single" w:color="auto" w:sz="4" w:space="0"/>
              <w:left w:val="nil"/>
              <w:bottom w:val="single" w:color="auto" w:sz="4" w:space="0"/>
              <w:right w:val="single" w:color="auto" w:sz="4" w:space="0"/>
            </w:tcBorders>
            <w:shd w:val="clear" w:color="000000" w:fill="FFFFFF"/>
            <w:noWrap w:val="0"/>
            <w:vAlign w:val="center"/>
          </w:tcPr>
          <w:p>
            <w:pPr>
              <w:spacing w:line="276" w:lineRule="auto"/>
              <w:textAlignment w:val="center"/>
              <w:rPr>
                <w:rFonts w:ascii="仿宋" w:hAnsi="仿宋" w:eastAsia="仿宋" w:cs="仿宋_GB2312"/>
                <w:color w:val="000000"/>
                <w:sz w:val="24"/>
                <w:szCs w:val="24"/>
              </w:rPr>
            </w:pPr>
            <w:r>
              <w:rPr>
                <w:rFonts w:hint="eastAsia" w:ascii="仿宋" w:hAnsi="仿宋" w:eastAsia="仿宋" w:cs="仿宋_GB2312"/>
                <w:color w:val="000000"/>
                <w:sz w:val="24"/>
                <w:szCs w:val="24"/>
              </w:rPr>
              <w:t>1.未提供在线注册功能或提供注册功能但用户（含异地用户）无法注册的，扣</w:t>
            </w:r>
            <w:r>
              <w:rPr>
                <w:rFonts w:ascii="仿宋" w:hAnsi="仿宋" w:eastAsia="仿宋" w:cs="仿宋_GB2312"/>
                <w:color w:val="000000"/>
                <w:sz w:val="24"/>
                <w:szCs w:val="24"/>
              </w:rPr>
              <w:t>3</w:t>
            </w:r>
            <w:r>
              <w:rPr>
                <w:rFonts w:hint="eastAsia" w:ascii="仿宋" w:hAnsi="仿宋" w:eastAsia="仿宋" w:cs="仿宋_GB2312"/>
                <w:color w:val="000000"/>
                <w:sz w:val="24"/>
                <w:szCs w:val="24"/>
              </w:rPr>
              <w:t>分。</w:t>
            </w:r>
          </w:p>
          <w:p>
            <w:pPr>
              <w:widowControl/>
              <w:rPr>
                <w:rFonts w:ascii="仿宋" w:hAnsi="仿宋" w:eastAsia="仿宋" w:cs="仿宋_GB2312"/>
                <w:color w:val="000000"/>
                <w:sz w:val="24"/>
                <w:szCs w:val="24"/>
              </w:rPr>
            </w:pPr>
            <w:r>
              <w:rPr>
                <w:rFonts w:hint="eastAsia" w:ascii="仿宋" w:hAnsi="仿宋" w:eastAsia="仿宋" w:cs="仿宋_GB2312"/>
                <w:color w:val="000000"/>
                <w:sz w:val="24"/>
                <w:szCs w:val="24"/>
              </w:rPr>
              <w:t>2.注册用户无法在线办事的，扣</w:t>
            </w:r>
            <w:r>
              <w:rPr>
                <w:rFonts w:ascii="仿宋" w:hAnsi="仿宋" w:eastAsia="仿宋" w:cs="仿宋_GB2312"/>
                <w:color w:val="000000"/>
                <w:sz w:val="24"/>
                <w:szCs w:val="24"/>
              </w:rPr>
              <w:t>3</w:t>
            </w:r>
            <w:r>
              <w:rPr>
                <w:rFonts w:hint="eastAsia" w:ascii="仿宋" w:hAnsi="仿宋" w:eastAsia="仿宋" w:cs="仿宋_GB2312"/>
                <w:color w:val="000000"/>
                <w:sz w:val="24"/>
                <w:szCs w:val="24"/>
              </w:rPr>
              <w:t>分。</w:t>
            </w:r>
          </w:p>
        </w:tc>
        <w:tc>
          <w:tcPr>
            <w:tcW w:w="7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3</w:t>
            </w:r>
          </w:p>
        </w:tc>
      </w:tr>
      <w:tr>
        <w:tblPrEx>
          <w:tblCellMar>
            <w:top w:w="0" w:type="dxa"/>
            <w:left w:w="108" w:type="dxa"/>
            <w:bottom w:w="0" w:type="dxa"/>
            <w:right w:w="108" w:type="dxa"/>
          </w:tblCellMar>
        </w:tblPrEx>
        <w:trPr>
          <w:cantSplit/>
          <w:trHeight w:val="415" w:hRule="atLeast"/>
        </w:trPr>
        <w:tc>
          <w:tcPr>
            <w:tcW w:w="1375" w:type="dxa"/>
            <w:vMerge w:val="continue"/>
            <w:tcBorders>
              <w:left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仿宋_GB2312"/>
                <w:color w:val="000000"/>
                <w:sz w:val="24"/>
                <w:szCs w:val="24"/>
              </w:rPr>
            </w:pPr>
            <w:r>
              <w:rPr>
                <w:rFonts w:ascii="仿宋" w:hAnsi="仿宋" w:eastAsia="仿宋" w:cs="仿宋_GB2312"/>
                <w:color w:val="000000"/>
                <w:sz w:val="24"/>
                <w:szCs w:val="24"/>
              </w:rPr>
              <w:t>办事统计</w:t>
            </w:r>
          </w:p>
        </w:tc>
        <w:tc>
          <w:tcPr>
            <w:tcW w:w="9403" w:type="dxa"/>
            <w:tcBorders>
              <w:top w:val="nil"/>
              <w:left w:val="nil"/>
              <w:bottom w:val="single" w:color="auto" w:sz="4" w:space="0"/>
              <w:right w:val="single" w:color="auto" w:sz="4" w:space="0"/>
            </w:tcBorders>
            <w:shd w:val="clear" w:color="000000" w:fill="FFFFFF"/>
            <w:noWrap w:val="0"/>
            <w:vAlign w:val="center"/>
          </w:tcPr>
          <w:p>
            <w:pPr>
              <w:spacing w:line="276" w:lineRule="auto"/>
              <w:textAlignment w:val="center"/>
              <w:rPr>
                <w:rFonts w:ascii="仿宋" w:hAnsi="仿宋" w:eastAsia="仿宋" w:cs="仿宋_GB2312"/>
                <w:color w:val="000000"/>
                <w:sz w:val="24"/>
                <w:szCs w:val="24"/>
              </w:rPr>
            </w:pPr>
            <w:r>
              <w:rPr>
                <w:rFonts w:ascii="仿宋" w:hAnsi="仿宋" w:eastAsia="仿宋" w:cs="仿宋_GB2312"/>
                <w:color w:val="000000"/>
                <w:sz w:val="24"/>
                <w:szCs w:val="24"/>
              </w:rPr>
              <w:t>1.未公开办事统计数据的，扣2分</w:t>
            </w:r>
            <w:r>
              <w:rPr>
                <w:rFonts w:hint="eastAsia" w:ascii="仿宋" w:hAnsi="仿宋" w:eastAsia="仿宋" w:cs="仿宋_GB2312"/>
                <w:color w:val="000000"/>
                <w:sz w:val="24"/>
                <w:szCs w:val="24"/>
              </w:rPr>
              <w:t>。</w:t>
            </w:r>
          </w:p>
          <w:p>
            <w:pPr>
              <w:spacing w:line="276" w:lineRule="auto"/>
              <w:textAlignment w:val="center"/>
              <w:rPr>
                <w:rFonts w:ascii="仿宋" w:hAnsi="仿宋" w:eastAsia="仿宋" w:cs="仿宋_GB2312"/>
                <w:color w:val="000000"/>
                <w:sz w:val="24"/>
                <w:szCs w:val="24"/>
              </w:rPr>
            </w:pPr>
            <w:r>
              <w:rPr>
                <w:rFonts w:ascii="仿宋" w:hAnsi="仿宋" w:eastAsia="仿宋" w:cs="仿宋_GB2312"/>
                <w:color w:val="000000"/>
                <w:sz w:val="24"/>
                <w:szCs w:val="24"/>
              </w:rPr>
              <w:t>2.监测时间点前1个月内未更新的，扣1分；3个月内未更新的，扣2分。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办事指南</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随机抽查5个办事服务事项：</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1.事项无办事指南的，每发现一个，扣3分；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2.提供办事指南，但重点要素类别（包括事项名称、设定依据、申请条件、办理材料、办理地点、办理机构、收费标准、办理时间、联系电话、办理流程）缺失的，每发现一处，扣0.5分；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3.办理材料格式要求不明确的（如未说明原件/复印件、纸质版/电子版、份数等），每发现一个存在该问题的事项，扣1分；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4.存在表述含糊不清的情形（如“根据有关法律法规规定应提交的其他材料”等表述），每发现一个存在该问题的事项，扣2分；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5.办事指南中提到的政策文件仅有名称、未说明具体内容的，每发现一个存在该问题的事项，扣0.5分。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（注：不足5个的则检查全部事项。）</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6</w:t>
            </w:r>
          </w:p>
        </w:tc>
      </w:tr>
      <w:tr>
        <w:tblPrEx>
          <w:tblCellMar>
            <w:top w:w="0" w:type="dxa"/>
            <w:left w:w="108" w:type="dxa"/>
            <w:bottom w:w="0" w:type="dxa"/>
            <w:right w:w="108" w:type="dxa"/>
          </w:tblCellMar>
        </w:tblPrEx>
        <w:trPr>
          <w:cantSplit/>
          <w:trHeight w:val="20" w:hRule="atLeast"/>
        </w:trPr>
        <w:tc>
          <w:tcPr>
            <w:tcW w:w="1375" w:type="dxa"/>
            <w:vMerge w:val="restart"/>
            <w:tcBorders>
              <w:top w:val="nil"/>
              <w:left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办事服务（20分）</w:t>
            </w: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内容准确</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抽查5个办事指南，信息（如咨询电话、投诉电话等）存在错误，或与实际办事要求不一致的，每发现一处，扣1分。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（注：不足5个的则检查全部指南。）</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表格样表</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随机抽查2个办事指南，要求办事人提供申请表、申请书等表单但未提供规范表格获取渠道的，每发现一个存在该问题的办事指南，扣1分。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375"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互动交流（15分）</w:t>
            </w:r>
          </w:p>
          <w:p>
            <w:pPr>
              <w:widowControl/>
              <w:jc w:val="center"/>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信息提交</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存在网民（含异地用户）无法使用网站互动交流功能提交信息问题的，扣</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留言公开</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1.咨询建言类栏目（网上信访、纪检举报等专门渠道除外）对所有网民留言都未公开的，扣5分。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2.随机抽查5条已公开的网民留言，未公开留言时间、答复时间、答复单位、答复内容的，每发现一处，扣1分。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3.监测时间点前2个月内未更新的，扣3分。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4.未公开留言受理反馈情况统计数据的，扣3分。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（注：不足5条的则检查全部留言。）</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办理答复</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模拟用户进行2次简单常见问题咨询：</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1.未在5个工作日内收到网上答复意见的，每发现一次，扣1分；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2.答复内容质量不高，有推诿、敷衍等现象的，每发现一次，扣1分。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知识库</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1.未编制常见问题知识库的，扣2分。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2.未按照业务进行合理分类的，扣1分。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3.每发现知识库一个主题超过一个月未更新的，扣1分。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399" w:hRule="atLeast"/>
        </w:trPr>
        <w:tc>
          <w:tcPr>
            <w:tcW w:w="1375"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互动交流（15分）</w:t>
            </w:r>
          </w:p>
          <w:p>
            <w:pPr>
              <w:widowControl/>
              <w:jc w:val="center"/>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在线访谈</w:t>
            </w:r>
          </w:p>
        </w:tc>
        <w:tc>
          <w:tcPr>
            <w:tcW w:w="9403" w:type="dxa"/>
            <w:tcBorders>
              <w:top w:val="nil"/>
              <w:left w:val="nil"/>
              <w:bottom w:val="single" w:color="auto" w:sz="4" w:space="0"/>
              <w:right w:val="single" w:color="auto" w:sz="4" w:space="0"/>
            </w:tcBorders>
            <w:noWrap w:val="0"/>
            <w:vAlign w:val="center"/>
          </w:tcPr>
          <w:p>
            <w:pPr>
              <w:spacing w:line="276" w:lineRule="auto"/>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1.未提供在线访谈渠道的，扣</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分。</w:t>
            </w:r>
          </w:p>
          <w:p>
            <w:pPr>
              <w:spacing w:line="276" w:lineRule="auto"/>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2.2019年开展活动未超过（含）6次的，扣</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分。</w:t>
            </w:r>
          </w:p>
          <w:p>
            <w:pPr>
              <w:spacing w:line="276" w:lineRule="auto"/>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3.未规范整理访谈中网民提问及回复的，扣</w:t>
            </w:r>
            <w:r>
              <w:rPr>
                <w:rFonts w:ascii="仿宋" w:hAnsi="仿宋" w:eastAsia="仿宋" w:cs="宋体"/>
                <w:color w:val="000000"/>
                <w:kern w:val="0"/>
                <w:sz w:val="24"/>
                <w:szCs w:val="24"/>
              </w:rPr>
              <w:t>0.5</w:t>
            </w:r>
            <w:r>
              <w:rPr>
                <w:rFonts w:hint="eastAsia" w:ascii="仿宋" w:hAnsi="仿宋" w:eastAsia="仿宋" w:cs="宋体"/>
                <w:color w:val="000000"/>
                <w:kern w:val="0"/>
                <w:sz w:val="24"/>
                <w:szCs w:val="24"/>
              </w:rPr>
              <w:t>分。</w:t>
            </w:r>
          </w:p>
          <w:p>
            <w:pPr>
              <w:spacing w:line="276" w:lineRule="auto"/>
              <w:textAlignment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4.未通过文字、图片或音视频等多种形式发布访谈内容的，扣</w:t>
            </w:r>
            <w:r>
              <w:rPr>
                <w:rFonts w:ascii="仿宋" w:hAnsi="仿宋" w:eastAsia="仿宋" w:cs="宋体"/>
                <w:color w:val="000000"/>
                <w:kern w:val="0"/>
                <w:sz w:val="24"/>
                <w:szCs w:val="24"/>
              </w:rPr>
              <w:t>0.5</w:t>
            </w:r>
            <w:r>
              <w:rPr>
                <w:rFonts w:hint="eastAsia" w:ascii="仿宋" w:hAnsi="仿宋" w:eastAsia="仿宋" w:cs="宋体"/>
                <w:color w:val="000000"/>
                <w:kern w:val="0"/>
                <w:sz w:val="24"/>
                <w:szCs w:val="24"/>
              </w:rPr>
              <w:t>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（注：市直单位网站未按照2</w:t>
            </w:r>
            <w:r>
              <w:rPr>
                <w:rFonts w:ascii="仿宋" w:hAnsi="仿宋" w:eastAsia="仿宋" w:cs="宋体"/>
                <w:color w:val="000000"/>
                <w:kern w:val="0"/>
                <w:sz w:val="24"/>
                <w:szCs w:val="24"/>
              </w:rPr>
              <w:t>019</w:t>
            </w:r>
            <w:r>
              <w:rPr>
                <w:rFonts w:hint="eastAsia" w:ascii="仿宋" w:hAnsi="仿宋" w:eastAsia="仿宋" w:cs="宋体"/>
                <w:color w:val="000000"/>
                <w:kern w:val="0"/>
                <w:sz w:val="24"/>
                <w:szCs w:val="24"/>
              </w:rPr>
              <w:t>年在线访谈计划开展活动的，扣2分，未列入计划的单位不扣分。</w:t>
            </w:r>
          </w:p>
        </w:tc>
        <w:tc>
          <w:tcPr>
            <w:tcW w:w="76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调查征集</w:t>
            </w:r>
          </w:p>
        </w:tc>
        <w:tc>
          <w:tcPr>
            <w:tcW w:w="9403" w:type="dxa"/>
            <w:tcBorders>
              <w:top w:val="nil"/>
              <w:left w:val="nil"/>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1.未提供在线调查征集渠道（不含电子邮件形式）的，扣</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2.2019年开展活动未超过（含）6次的，扣</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3.2019年开展的调查征集活动未公开反馈结果的，每发现一次，扣1分。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（注：市直单位网站该项指标为1年内开展活动不少于3次）</w:t>
            </w:r>
          </w:p>
        </w:tc>
        <w:tc>
          <w:tcPr>
            <w:tcW w:w="76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375" w:type="dxa"/>
            <w:vMerge w:val="restart"/>
            <w:tcBorders>
              <w:top w:val="nil"/>
              <w:left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功能设计（15分）</w:t>
            </w: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域名名称</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1.域名不符合规范的，扣0.5分。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2.网站未以本区本部门名称命名的，扣0.5分。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3.网站名称未在全站页面头部区域显著展示的，扣0.5分。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网站标识</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未在全站页面底部功能区清晰列明党政机关网站标识、网站标识码、ICP备案编号、公安机关备案标识、网站主办单位、联系方式的，每缺一项，扣0.5分。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可用性</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1.首页上的链接（包括图片、附件、外部链接等）打不开或错误的，每发现一处，扣0.2分；如首页仅为网站栏目导航入口，则检查所有二级页面上的链接。</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2.其他页面上的链接（包括图片、附件、外部链接等）打不开或错误的，每发现一处，扣0.1分。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375" w:type="dxa"/>
            <w:vMerge w:val="restart"/>
            <w:tcBorders>
              <w:top w:val="nil"/>
              <w:left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功能设计（15分）</w:t>
            </w: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“我为政府网站找错”</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1.未在首页底部功能区规范添加“我为政府网站找错”入口的，扣2分。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2.未在其他页面底部功能区规范添加“我为政府网站找错”入口的，每发现一处，扣0.2分。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3.网民留言存在超过1个工作日未办结的，每发现一条，扣0.5分。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4.网民留言存在答复内容质量不高，有推诿、敷衍等现象的，每发现一条，扣0.5分。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站内搜索</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1.未提供全站站内搜索功能或功能不可用的，扣2分。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2.随机选取4条网站已发布的信息或服务的标题进行测试，在搜索结果第一页无法找到该内容的，每条扣0.5分。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3.未对搜索结果进行分类展现的（如按照政策文件、办事指南等进行分类），扣1分。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一号登录</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注册用户在各个功能板块（网上信访、纪检举报等专门渠道除外）无法一号登录的，扣2分。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页面标签</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1.随机抽查5个内容页面，无站点标签或内容标签的，每个扣0.1分。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2.随机抽查5个栏目页面，无站点标签或栏目标签的，每个扣0.1分。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兼容性</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使用主流浏览器访问网站，不能正常显示页面内容的，每类扣0.5分。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IPv6改造</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未按照要求完成IPv6改造的，扣1分。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375"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规范管理（20分）</w:t>
            </w:r>
          </w:p>
        </w:tc>
        <w:tc>
          <w:tcPr>
            <w:tcW w:w="142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通报整改</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1.在国办开展的抽查中，如本区、本部门存在政府网站、政务新媒体因出现严重表述错误或因其他原因被判定为不合格的，每发现一个，扣</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2.在省府办开展的抽查中，如本区、本部门存在政府网站、政务新媒体因出现严重表述错误或因其他原因被判定为不合格的，每发现一个，扣1分。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3.如本区、本部门存在不合格政府网站、政务新媒体，自通报公开之日起2周内未对问题进行整改，或整改不到位的，每发现一个，扣1分。</w:t>
            </w:r>
          </w:p>
          <w:p>
            <w:pPr>
              <w:widowControl/>
              <w:rPr>
                <w:rFonts w:ascii="仿宋" w:hAnsi="仿宋" w:eastAsia="仿宋" w:cs="宋体"/>
                <w:color w:val="000000"/>
                <w:kern w:val="0"/>
                <w:sz w:val="24"/>
                <w:szCs w:val="24"/>
              </w:rPr>
            </w:pPr>
            <w:r>
              <w:rPr>
                <w:rFonts w:hint="eastAsia" w:ascii="仿宋_GB2312" w:hAnsi="宋体" w:eastAsia="仿宋_GB2312" w:cs="仿宋_GB2312"/>
                <w:color w:val="000000"/>
                <w:sz w:val="24"/>
                <w:szCs w:val="24"/>
              </w:rPr>
              <w:t>（</w:t>
            </w:r>
            <w:r>
              <w:rPr>
                <w:rFonts w:hint="eastAsia" w:ascii="仿宋" w:hAnsi="仿宋" w:eastAsia="仿宋" w:cs="仿宋_GB2312"/>
                <w:color w:val="000000"/>
                <w:sz w:val="24"/>
                <w:szCs w:val="24"/>
              </w:rPr>
              <w:t>注：以上3项可重复扣分，已按“健康情况”指标扣分的，本指标项下不重复扣分。）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3</w:t>
            </w:r>
          </w:p>
        </w:tc>
      </w:tr>
      <w:tr>
        <w:tblPrEx>
          <w:tblCellMar>
            <w:top w:w="0" w:type="dxa"/>
            <w:left w:w="108" w:type="dxa"/>
            <w:bottom w:w="0" w:type="dxa"/>
            <w:right w:w="108" w:type="dxa"/>
          </w:tblCellMar>
        </w:tblPrEx>
        <w:trPr>
          <w:cantSplit/>
          <w:trHeight w:val="20" w:hRule="atLeast"/>
        </w:trPr>
        <w:tc>
          <w:tcPr>
            <w:tcW w:w="1375" w:type="dxa"/>
            <w:vMerge w:val="restart"/>
            <w:tcBorders>
              <w:top w:val="nil"/>
              <w:left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规范管理（20分）</w:t>
            </w:r>
          </w:p>
        </w:tc>
        <w:tc>
          <w:tcPr>
            <w:tcW w:w="142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组织保障</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1.未明确市政府门户网站内容保障责任领导的，扣1分；</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2.未明确市政府门户网站内容保障信息员的，扣1分；</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3.未及时报备市政府门户网站内容保障相关人员变更情况的，扣1分。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3</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内容保障</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主要考察各区、各部门向市政府门户网站报送政务信息的情况。市政府门户网站内容保障通报中每出现一次扣1分。最多扣12分，每月最多扣1分。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12</w:t>
            </w:r>
          </w:p>
        </w:tc>
      </w:tr>
      <w:tr>
        <w:tblPrEx>
          <w:tblCellMar>
            <w:top w:w="0" w:type="dxa"/>
            <w:left w:w="108" w:type="dxa"/>
            <w:bottom w:w="0" w:type="dxa"/>
            <w:right w:w="108" w:type="dxa"/>
          </w:tblCellMar>
        </w:tblPrEx>
        <w:trPr>
          <w:cantSplit/>
          <w:trHeight w:val="20" w:hRule="atLeast"/>
        </w:trPr>
        <w:tc>
          <w:tcPr>
            <w:tcW w:w="1375" w:type="dxa"/>
            <w:vMerge w:val="continue"/>
            <w:tcBorders>
              <w:left w:val="single" w:color="auto" w:sz="4" w:space="0"/>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p>
        </w:tc>
        <w:tc>
          <w:tcPr>
            <w:tcW w:w="142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工作落实</w:t>
            </w:r>
          </w:p>
        </w:tc>
        <w:tc>
          <w:tcPr>
            <w:tcW w:w="9403" w:type="dxa"/>
            <w:tcBorders>
              <w:top w:val="nil"/>
              <w:left w:val="nil"/>
              <w:bottom w:val="single" w:color="auto" w:sz="4" w:space="0"/>
              <w:right w:val="single" w:color="auto" w:sz="4" w:space="0"/>
            </w:tcBorders>
            <w:shd w:val="clear" w:color="000000" w:fill="FFFFFF"/>
            <w:noWrap w:val="0"/>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1.全国政府网站信息报送系统中信息更新维护不准确、不及时的，每发现1处，扣0.5分。</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2.未按要求参加政府网站相关工作会议（如业务培训、交流研讨会等）的，一次扣1分。</w:t>
            </w:r>
          </w:p>
        </w:tc>
        <w:tc>
          <w:tcPr>
            <w:tcW w:w="7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bl>
    <w:p>
      <w:pPr>
        <w:pStyle w:val="5"/>
        <w:spacing w:line="560" w:lineRule="exact"/>
        <w:ind w:firstLine="640" w:firstLineChars="200"/>
        <w:outlineLvl w:val="0"/>
        <w:rPr>
          <w:rFonts w:eastAsia="黑体"/>
          <w:bCs/>
          <w:sz w:val="32"/>
        </w:rPr>
      </w:pPr>
      <w:r>
        <w:rPr>
          <w:rFonts w:hint="eastAsia" w:eastAsia="黑体"/>
          <w:bCs/>
          <w:sz w:val="32"/>
        </w:rPr>
        <w:t>三、加分指标（</w:t>
      </w:r>
      <w:r>
        <w:rPr>
          <w:rFonts w:eastAsia="黑体"/>
          <w:bCs/>
          <w:sz w:val="32"/>
        </w:rPr>
        <w:t>25</w:t>
      </w:r>
      <w:r>
        <w:rPr>
          <w:rFonts w:hint="eastAsia" w:eastAsia="黑体"/>
          <w:bCs/>
          <w:sz w:val="32"/>
        </w:rPr>
        <w:t>分）</w:t>
      </w:r>
    </w:p>
    <w:tbl>
      <w:tblPr>
        <w:tblStyle w:val="2"/>
        <w:tblW w:w="0" w:type="auto"/>
        <w:tblInd w:w="0" w:type="dxa"/>
        <w:tblLayout w:type="fixed"/>
        <w:tblCellMar>
          <w:top w:w="0" w:type="dxa"/>
          <w:left w:w="108" w:type="dxa"/>
          <w:bottom w:w="0" w:type="dxa"/>
          <w:right w:w="108" w:type="dxa"/>
        </w:tblCellMar>
      </w:tblPr>
      <w:tblGrid>
        <w:gridCol w:w="1242"/>
        <w:gridCol w:w="1277"/>
        <w:gridCol w:w="9639"/>
        <w:gridCol w:w="815"/>
      </w:tblGrid>
      <w:tr>
        <w:tblPrEx>
          <w:tblCellMar>
            <w:top w:w="0" w:type="dxa"/>
            <w:left w:w="108" w:type="dxa"/>
            <w:bottom w:w="0" w:type="dxa"/>
            <w:right w:w="108" w:type="dxa"/>
          </w:tblCellMar>
        </w:tblPrEx>
        <w:trPr>
          <w:cantSplit/>
          <w:trHeight w:val="20" w:hRule="atLeast"/>
          <w:tblHeader/>
        </w:trPr>
        <w:tc>
          <w:tcPr>
            <w:tcW w:w="12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一级指标</w:t>
            </w:r>
          </w:p>
        </w:tc>
        <w:tc>
          <w:tcPr>
            <w:tcW w:w="1277" w:type="dxa"/>
            <w:tcBorders>
              <w:top w:val="single" w:color="auto" w:sz="4" w:space="0"/>
              <w:left w:val="nil"/>
              <w:bottom w:val="single" w:color="auto" w:sz="4" w:space="0"/>
              <w:right w:val="single" w:color="auto" w:sz="4" w:space="0"/>
            </w:tcBorders>
            <w:shd w:val="clear" w:color="000000" w:fill="FFFFFF"/>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二级指标</w:t>
            </w:r>
          </w:p>
        </w:tc>
        <w:tc>
          <w:tcPr>
            <w:tcW w:w="9639" w:type="dxa"/>
            <w:tcBorders>
              <w:top w:val="single" w:color="auto" w:sz="4" w:space="0"/>
              <w:left w:val="nil"/>
              <w:bottom w:val="single" w:color="auto" w:sz="4" w:space="0"/>
              <w:right w:val="single" w:color="auto" w:sz="4" w:space="0"/>
            </w:tcBorders>
            <w:shd w:val="clear" w:color="000000" w:fill="FFFFFF"/>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评分细则</w:t>
            </w:r>
          </w:p>
        </w:tc>
        <w:tc>
          <w:tcPr>
            <w:tcW w:w="815" w:type="dxa"/>
            <w:tcBorders>
              <w:top w:val="single" w:color="auto" w:sz="4" w:space="0"/>
              <w:left w:val="nil"/>
              <w:bottom w:val="single" w:color="auto" w:sz="4" w:space="0"/>
              <w:right w:val="single" w:color="auto" w:sz="4" w:space="0"/>
            </w:tcBorders>
            <w:shd w:val="clear" w:color="000000" w:fill="FFFFFF"/>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r>
      <w:tr>
        <w:tblPrEx>
          <w:tblCellMar>
            <w:top w:w="0" w:type="dxa"/>
            <w:left w:w="108" w:type="dxa"/>
            <w:bottom w:w="0" w:type="dxa"/>
            <w:right w:w="108" w:type="dxa"/>
          </w:tblCellMar>
        </w:tblPrEx>
        <w:trPr>
          <w:cantSplit/>
          <w:trHeight w:val="20" w:hRule="atLeast"/>
        </w:trPr>
        <w:tc>
          <w:tcPr>
            <w:tcW w:w="1242" w:type="dxa"/>
            <w:vMerge w:val="restart"/>
            <w:tcBorders>
              <w:top w:val="nil"/>
              <w:left w:val="single" w:color="auto" w:sz="4" w:space="0"/>
              <w:bottom w:val="single" w:color="000000" w:sz="4" w:space="0"/>
              <w:right w:val="single" w:color="auto" w:sz="4" w:space="0"/>
            </w:tcBorders>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信息内容（</w:t>
            </w:r>
            <w:r>
              <w:rPr>
                <w:rFonts w:ascii="仿宋" w:hAnsi="仿宋" w:eastAsia="仿宋" w:cs="宋体"/>
                <w:color w:val="000000"/>
                <w:kern w:val="0"/>
                <w:sz w:val="24"/>
                <w:szCs w:val="24"/>
              </w:rPr>
              <w:t>10分）</w:t>
            </w:r>
          </w:p>
        </w:tc>
        <w:tc>
          <w:tcPr>
            <w:tcW w:w="1277" w:type="dxa"/>
            <w:tcBorders>
              <w:top w:val="nil"/>
              <w:left w:val="nil"/>
              <w:bottom w:val="single" w:color="auto" w:sz="4" w:space="0"/>
              <w:right w:val="single" w:color="auto" w:sz="4" w:space="0"/>
            </w:tcBorders>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解读回应</w:t>
            </w:r>
          </w:p>
        </w:tc>
        <w:tc>
          <w:tcPr>
            <w:tcW w:w="9639" w:type="dxa"/>
            <w:tcBorders>
              <w:top w:val="nil"/>
              <w:left w:val="nil"/>
              <w:bottom w:val="single" w:color="auto" w:sz="4" w:space="0"/>
              <w:right w:val="single" w:color="auto" w:sz="4" w:space="0"/>
            </w:tcBorders>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eastAsia="仿宋" w:cs="宋体"/>
                <w:color w:val="000000"/>
                <w:kern w:val="0"/>
                <w:sz w:val="24"/>
                <w:szCs w:val="24"/>
              </w:rPr>
            </w:pPr>
            <w:r>
              <w:rPr>
                <w:rFonts w:hint="eastAsia" w:ascii="仿宋" w:hAnsi="仿宋" w:eastAsia="仿宋" w:cs="宋体"/>
                <w:color w:val="000000"/>
                <w:kern w:val="0"/>
                <w:sz w:val="24"/>
                <w:szCs w:val="24"/>
              </w:rPr>
              <w:t>随机抽查</w:t>
            </w:r>
            <w:r>
              <w:rPr>
                <w:rFonts w:ascii="仿宋" w:hAnsi="仿宋" w:eastAsia="仿宋" w:cs="宋体"/>
                <w:color w:val="000000"/>
                <w:kern w:val="0"/>
                <w:sz w:val="24"/>
                <w:szCs w:val="24"/>
              </w:rPr>
              <w:t>3个不同文件的解读稿，通过新闻发布会、图表图解、音视频或</w:t>
            </w:r>
            <w:r>
              <w:rPr>
                <w:rFonts w:hint="eastAsia" w:ascii="仿宋" w:hAnsi="仿宋" w:eastAsia="仿宋" w:cs="宋体"/>
                <w:color w:val="000000"/>
                <w:kern w:val="0"/>
                <w:sz w:val="24"/>
                <w:szCs w:val="24"/>
              </w:rPr>
              <w:t>动漫等形式解读的，每个得</w:t>
            </w:r>
            <w:r>
              <w:rPr>
                <w:rFonts w:ascii="仿宋" w:hAnsi="仿宋" w:eastAsia="仿宋" w:cs="宋体"/>
                <w:color w:val="000000"/>
                <w:kern w:val="0"/>
                <w:sz w:val="24"/>
                <w:szCs w:val="24"/>
              </w:rPr>
              <w:t>1分。</w:t>
            </w:r>
          </w:p>
        </w:tc>
        <w:tc>
          <w:tcPr>
            <w:tcW w:w="815" w:type="dxa"/>
            <w:tcBorders>
              <w:top w:val="nil"/>
              <w:left w:val="nil"/>
              <w:bottom w:val="single" w:color="auto" w:sz="4" w:space="0"/>
              <w:right w:val="single" w:color="auto" w:sz="4" w:space="0"/>
            </w:tcBorders>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cs="宋体"/>
                <w:color w:val="000000"/>
                <w:kern w:val="0"/>
                <w:sz w:val="24"/>
                <w:szCs w:val="24"/>
              </w:rPr>
            </w:pPr>
            <w:r>
              <w:rPr>
                <w:rFonts w:ascii="仿宋" w:hAnsi="仿宋" w:eastAsia="仿宋" w:cs="宋体"/>
                <w:color w:val="000000"/>
                <w:kern w:val="0"/>
                <w:sz w:val="24"/>
                <w:szCs w:val="24"/>
              </w:rPr>
              <w:t>3</w:t>
            </w:r>
          </w:p>
        </w:tc>
      </w:tr>
      <w:tr>
        <w:tblPrEx>
          <w:tblCellMar>
            <w:top w:w="0" w:type="dxa"/>
            <w:left w:w="108" w:type="dxa"/>
            <w:bottom w:w="0" w:type="dxa"/>
            <w:right w:w="108" w:type="dxa"/>
          </w:tblCellMar>
        </w:tblPrEx>
        <w:trPr>
          <w:cantSplit/>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 w:val="24"/>
                <w:szCs w:val="24"/>
              </w:rPr>
            </w:pPr>
          </w:p>
        </w:tc>
        <w:tc>
          <w:tcPr>
            <w:tcW w:w="127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重点服务</w:t>
            </w:r>
          </w:p>
        </w:tc>
        <w:tc>
          <w:tcPr>
            <w:tcW w:w="9639" w:type="dxa"/>
            <w:tcBorders>
              <w:top w:val="nil"/>
              <w:left w:val="nil"/>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针对重点服务事项，整合相关资源，细化办理对象、条件、流程等，提供专题或集成服务。提供</w:t>
            </w:r>
            <w:r>
              <w:rPr>
                <w:rFonts w:ascii="仿宋" w:hAnsi="仿宋" w:eastAsia="仿宋" w:cs="宋体"/>
                <w:color w:val="000000"/>
                <w:kern w:val="0"/>
                <w:sz w:val="24"/>
                <w:szCs w:val="24"/>
              </w:rPr>
              <w:t>3项及以上的，加2分；提供1至2项的，加1分。</w:t>
            </w:r>
          </w:p>
        </w:tc>
        <w:tc>
          <w:tcPr>
            <w:tcW w:w="815"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color w:val="000000"/>
                <w:kern w:val="0"/>
                <w:sz w:val="24"/>
                <w:szCs w:val="24"/>
              </w:rPr>
            </w:pPr>
          </w:p>
        </w:tc>
        <w:tc>
          <w:tcPr>
            <w:tcW w:w="127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实时互动</w:t>
            </w:r>
          </w:p>
        </w:tc>
        <w:tc>
          <w:tcPr>
            <w:tcW w:w="9639" w:type="dxa"/>
            <w:tcBorders>
              <w:top w:val="nil"/>
              <w:left w:val="nil"/>
              <w:bottom w:val="single" w:color="auto" w:sz="4" w:space="0"/>
              <w:right w:val="single" w:color="auto" w:sz="4" w:space="0"/>
            </w:tcBorders>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eastAsia="仿宋" w:cs="宋体"/>
                <w:color w:val="000000"/>
                <w:kern w:val="0"/>
                <w:sz w:val="24"/>
                <w:szCs w:val="24"/>
              </w:rPr>
            </w:pPr>
            <w:r>
              <w:rPr>
                <w:rFonts w:hint="eastAsia" w:ascii="仿宋" w:hAnsi="仿宋" w:eastAsia="仿宋" w:cs="宋体"/>
                <w:color w:val="000000"/>
                <w:kern w:val="0"/>
                <w:sz w:val="24"/>
                <w:szCs w:val="24"/>
              </w:rPr>
              <w:t>模拟用户进行</w:t>
            </w:r>
            <w:r>
              <w:rPr>
                <w:rFonts w:ascii="仿宋" w:hAnsi="仿宋" w:eastAsia="仿宋" w:cs="宋体"/>
                <w:color w:val="000000"/>
                <w:kern w:val="0"/>
                <w:sz w:val="24"/>
                <w:szCs w:val="24"/>
              </w:rPr>
              <w:t>1次简单常见问题咨询：咨询后一个工作日内答复且内容准确的，加3分；提供实时智能答问功能且内容准确的，加2分。</w:t>
            </w:r>
          </w:p>
        </w:tc>
        <w:tc>
          <w:tcPr>
            <w:tcW w:w="815" w:type="dxa"/>
            <w:tcBorders>
              <w:top w:val="nil"/>
              <w:left w:val="nil"/>
              <w:bottom w:val="single" w:color="auto" w:sz="4" w:space="0"/>
              <w:right w:val="single" w:color="auto" w:sz="4" w:space="0"/>
            </w:tcBorders>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cs="宋体"/>
                <w:color w:val="000000"/>
                <w:kern w:val="0"/>
                <w:sz w:val="24"/>
                <w:szCs w:val="24"/>
              </w:rPr>
            </w:pPr>
            <w:r>
              <w:rPr>
                <w:rFonts w:ascii="仿宋" w:hAnsi="仿宋" w:eastAsia="仿宋" w:cs="宋体"/>
                <w:color w:val="000000"/>
                <w:kern w:val="0"/>
                <w:sz w:val="24"/>
                <w:szCs w:val="24"/>
              </w:rPr>
              <w:t>5</w:t>
            </w:r>
          </w:p>
        </w:tc>
      </w:tr>
      <w:tr>
        <w:tblPrEx>
          <w:tblCellMar>
            <w:top w:w="0" w:type="dxa"/>
            <w:left w:w="108" w:type="dxa"/>
            <w:bottom w:w="0" w:type="dxa"/>
            <w:right w:w="108" w:type="dxa"/>
          </w:tblCellMar>
        </w:tblPrEx>
        <w:trPr>
          <w:cantSplit/>
          <w:trHeight w:val="20" w:hRule="atLeast"/>
        </w:trPr>
        <w:tc>
          <w:tcPr>
            <w:tcW w:w="1242" w:type="dxa"/>
            <w:vMerge w:val="restart"/>
            <w:tcBorders>
              <w:top w:val="nil"/>
              <w:left w:val="single" w:color="auto" w:sz="4" w:space="0"/>
              <w:bottom w:val="single" w:color="auto" w:sz="4" w:space="0"/>
              <w:right w:val="single" w:color="auto" w:sz="4" w:space="0"/>
            </w:tcBorders>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功能设计（</w:t>
            </w:r>
            <w:r>
              <w:rPr>
                <w:rFonts w:ascii="仿宋" w:hAnsi="仿宋" w:eastAsia="仿宋" w:cs="宋体"/>
                <w:color w:val="000000"/>
                <w:kern w:val="0"/>
                <w:sz w:val="24"/>
                <w:szCs w:val="24"/>
              </w:rPr>
              <w:t>5分）</w:t>
            </w:r>
          </w:p>
        </w:tc>
        <w:tc>
          <w:tcPr>
            <w:tcW w:w="1277" w:type="dxa"/>
            <w:tcBorders>
              <w:top w:val="nil"/>
              <w:left w:val="nil"/>
              <w:bottom w:val="single" w:color="auto" w:sz="4" w:space="0"/>
              <w:right w:val="single" w:color="auto" w:sz="4" w:space="0"/>
            </w:tcBorders>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智能搜索</w:t>
            </w:r>
          </w:p>
        </w:tc>
        <w:tc>
          <w:tcPr>
            <w:tcW w:w="9639" w:type="dxa"/>
            <w:tcBorders>
              <w:top w:val="nil"/>
              <w:left w:val="nil"/>
              <w:bottom w:val="single" w:color="auto" w:sz="4" w:space="0"/>
              <w:right w:val="single" w:color="auto" w:sz="4" w:space="0"/>
            </w:tcBorders>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eastAsia="仿宋" w:cs="宋体"/>
                <w:color w:val="000000"/>
                <w:kern w:val="0"/>
                <w:sz w:val="24"/>
                <w:szCs w:val="24"/>
              </w:rPr>
            </w:pPr>
            <w:r>
              <w:rPr>
                <w:rFonts w:ascii="仿宋" w:hAnsi="仿宋" w:eastAsia="仿宋" w:cs="宋体"/>
                <w:color w:val="000000"/>
                <w:kern w:val="0"/>
                <w:sz w:val="24"/>
                <w:szCs w:val="24"/>
              </w:rPr>
              <w:t>1.提供关键词模糊搜索功能的，加1分。</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eastAsia="仿宋" w:cs="宋体"/>
                <w:color w:val="000000"/>
                <w:kern w:val="0"/>
                <w:sz w:val="24"/>
                <w:szCs w:val="24"/>
              </w:rPr>
            </w:pPr>
            <w:r>
              <w:rPr>
                <w:rFonts w:ascii="仿宋" w:hAnsi="仿宋" w:eastAsia="仿宋" w:cs="宋体"/>
                <w:color w:val="000000"/>
                <w:kern w:val="0"/>
                <w:sz w:val="24"/>
                <w:szCs w:val="24"/>
              </w:rPr>
              <w:t>2.根据搜索关键词聚合相关信息和服务功能，实现“搜索即服务”的，加1分。</w:t>
            </w:r>
          </w:p>
        </w:tc>
        <w:tc>
          <w:tcPr>
            <w:tcW w:w="815" w:type="dxa"/>
            <w:tcBorders>
              <w:top w:val="nil"/>
              <w:left w:val="nil"/>
              <w:bottom w:val="single" w:color="auto" w:sz="4" w:space="0"/>
              <w:right w:val="single" w:color="auto" w:sz="4" w:space="0"/>
            </w:tcBorders>
            <w:noWrap w:val="0"/>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2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szCs w:val="24"/>
              </w:rPr>
            </w:pPr>
          </w:p>
        </w:tc>
        <w:tc>
          <w:tcPr>
            <w:tcW w:w="127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用户空间</w:t>
            </w:r>
          </w:p>
        </w:tc>
        <w:tc>
          <w:tcPr>
            <w:tcW w:w="9639" w:type="dxa"/>
            <w:tcBorders>
              <w:top w:val="nil"/>
              <w:left w:val="nil"/>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注册用户可在用户主页下浏览其在本网站咨询问题、办事服务等历史信息的，加</w:t>
            </w:r>
            <w:r>
              <w:rPr>
                <w:rFonts w:ascii="仿宋" w:hAnsi="仿宋" w:eastAsia="仿宋" w:cs="宋体"/>
                <w:color w:val="000000"/>
                <w:kern w:val="0"/>
                <w:sz w:val="24"/>
                <w:szCs w:val="24"/>
              </w:rPr>
              <w:t>2分。</w:t>
            </w:r>
          </w:p>
        </w:tc>
        <w:tc>
          <w:tcPr>
            <w:tcW w:w="815"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cantSplit/>
          <w:trHeight w:val="20" w:hRule="atLeast"/>
        </w:trPr>
        <w:tc>
          <w:tcPr>
            <w:tcW w:w="12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szCs w:val="24"/>
              </w:rPr>
            </w:pPr>
          </w:p>
        </w:tc>
        <w:tc>
          <w:tcPr>
            <w:tcW w:w="127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平台对接</w:t>
            </w:r>
          </w:p>
        </w:tc>
        <w:tc>
          <w:tcPr>
            <w:tcW w:w="9639" w:type="dxa"/>
            <w:tcBorders>
              <w:top w:val="nil"/>
              <w:left w:val="nil"/>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区级政府门户网站的公开、办事、互动等功能与区级融媒体平台对接，提供内容、延伸发布取得较好效果的，加</w:t>
            </w:r>
            <w:r>
              <w:rPr>
                <w:rFonts w:ascii="仿宋" w:hAnsi="仿宋" w:eastAsia="仿宋" w:cs="宋体"/>
                <w:color w:val="000000"/>
                <w:kern w:val="0"/>
                <w:sz w:val="24"/>
                <w:szCs w:val="24"/>
              </w:rPr>
              <w:t>1分。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（注：市直单位网站不检查该项指标，相关权重分配至“智能搜索”指标。）</w:t>
            </w:r>
          </w:p>
        </w:tc>
        <w:tc>
          <w:tcPr>
            <w:tcW w:w="815"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r>
      <w:tr>
        <w:tblPrEx>
          <w:tblCellMar>
            <w:top w:w="0" w:type="dxa"/>
            <w:left w:w="108" w:type="dxa"/>
            <w:bottom w:w="0" w:type="dxa"/>
            <w:right w:w="108" w:type="dxa"/>
          </w:tblCellMar>
        </w:tblPrEx>
        <w:trPr>
          <w:cantSplit/>
          <w:trHeight w:val="20" w:hRule="atLeast"/>
        </w:trPr>
        <w:tc>
          <w:tcPr>
            <w:tcW w:w="1242"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保障能力（</w:t>
            </w:r>
            <w:r>
              <w:rPr>
                <w:rFonts w:ascii="仿宋" w:hAnsi="仿宋" w:eastAsia="仿宋" w:cs="宋体"/>
                <w:color w:val="000000"/>
                <w:kern w:val="0"/>
                <w:sz w:val="24"/>
                <w:szCs w:val="24"/>
              </w:rPr>
              <w:t>7分）</w:t>
            </w:r>
          </w:p>
        </w:tc>
        <w:tc>
          <w:tcPr>
            <w:tcW w:w="127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9639" w:type="dxa"/>
            <w:tcBorders>
              <w:top w:val="nil"/>
              <w:left w:val="nil"/>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与市政府门户网站共建专题、服务、直播访谈等，每个得</w:t>
            </w:r>
            <w:r>
              <w:rPr>
                <w:rFonts w:ascii="仿宋" w:hAnsi="仿宋" w:eastAsia="仿宋" w:cs="宋体"/>
                <w:color w:val="000000"/>
                <w:kern w:val="0"/>
                <w:sz w:val="24"/>
                <w:szCs w:val="24"/>
              </w:rPr>
              <w:t>1分。</w:t>
            </w:r>
          </w:p>
        </w:tc>
        <w:tc>
          <w:tcPr>
            <w:tcW w:w="815" w:type="dxa"/>
            <w:tcBorders>
              <w:top w:val="nil"/>
              <w:left w:val="nil"/>
              <w:bottom w:val="nil"/>
              <w:right w:val="single" w:color="auto" w:sz="4" w:space="0"/>
            </w:tcBorders>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7</w:t>
            </w:r>
          </w:p>
        </w:tc>
      </w:tr>
      <w:tr>
        <w:tblPrEx>
          <w:tblCellMar>
            <w:top w:w="0" w:type="dxa"/>
            <w:left w:w="108" w:type="dxa"/>
            <w:bottom w:w="0" w:type="dxa"/>
            <w:right w:w="108" w:type="dxa"/>
          </w:tblCellMar>
        </w:tblPrEx>
        <w:trPr>
          <w:cantSplit/>
          <w:trHeight w:val="20" w:hRule="atLeast"/>
        </w:trPr>
        <w:tc>
          <w:tcPr>
            <w:tcW w:w="1242"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创新发展（</w:t>
            </w:r>
            <w:r>
              <w:rPr>
                <w:rFonts w:ascii="仿宋" w:hAnsi="仿宋" w:eastAsia="仿宋" w:cs="宋体"/>
                <w:color w:val="000000"/>
                <w:kern w:val="0"/>
                <w:sz w:val="24"/>
                <w:szCs w:val="24"/>
              </w:rPr>
              <w:t>3分）</w:t>
            </w:r>
          </w:p>
        </w:tc>
        <w:tc>
          <w:tcPr>
            <w:tcW w:w="127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9639" w:type="dxa"/>
            <w:tcBorders>
              <w:top w:val="nil"/>
              <w:left w:val="nil"/>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通过政府网站服务中心工作、方便社会公众的做法突出，并获得本区、本部门主要领导同志肯定的，加</w:t>
            </w:r>
            <w:r>
              <w:rPr>
                <w:rFonts w:ascii="仿宋" w:hAnsi="仿宋" w:eastAsia="仿宋" w:cs="宋体"/>
                <w:color w:val="000000"/>
                <w:kern w:val="0"/>
                <w:sz w:val="24"/>
                <w:szCs w:val="24"/>
              </w:rPr>
              <w:t>3分。</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（注：各区、各部门可自行报送加分指标相关内容，市政府办公室将对上报内容进行复核。）</w:t>
            </w:r>
          </w:p>
        </w:tc>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3</w:t>
            </w:r>
          </w:p>
        </w:tc>
      </w:tr>
    </w:tbl>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9385B"/>
    <w:rsid w:val="69601A85"/>
    <w:rsid w:val="78493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page number"/>
    <w:basedOn w:val="3"/>
    <w:qFormat/>
    <w:uiPriority w:val="0"/>
  </w:style>
  <w:style w:type="paragraph" w:customStyle="1" w:styleId="5">
    <w:name w:val="正文 New"/>
    <w:uiPriority w:val="0"/>
    <w:pPr>
      <w:widowControl w:val="0"/>
      <w:jc w:val="both"/>
    </w:pPr>
    <w:rPr>
      <w:rFonts w:ascii="Calibri" w:hAnsi="Calibri" w:eastAsia="宋体" w:cs="Times New Roman"/>
      <w:kern w:val="2"/>
      <w:sz w:val="21"/>
      <w:lang w:val="en-US" w:eastAsia="zh-CN" w:bidi="ar-SA"/>
    </w:rPr>
  </w:style>
  <w:style w:type="paragraph" w:customStyle="1" w:styleId="6">
    <w:name w:val="页脚 New New New New New New New New New"/>
    <w:basedOn w:val="7"/>
    <w:qFormat/>
    <w:uiPriority w:val="0"/>
    <w:pPr>
      <w:tabs>
        <w:tab w:val="center" w:pos="4153"/>
        <w:tab w:val="right" w:pos="8306"/>
      </w:tabs>
      <w:snapToGrid w:val="0"/>
      <w:jc w:val="left"/>
    </w:pPr>
    <w:rPr>
      <w:sz w:val="18"/>
    </w:rPr>
  </w:style>
  <w:style w:type="paragraph" w:customStyle="1" w:styleId="7">
    <w:name w:val="正文 New New New New New New New New New New"/>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2019-11-11T03:22:00Z</dcterms:created>
  <dc:creator>wenzhi</dc:creator>
  <cp:lastModifiedBy>wenzhi</cp:lastModifiedBy>
  <dcterms:modified xsi:type="dcterms:W3CDTF">2019-11-11T03:27:52Z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