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4" w:rsidRDefault="00B53224" w:rsidP="00B5322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53224" w:rsidRDefault="00B53224" w:rsidP="00B5322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:rsidR="00B53224" w:rsidRDefault="00B53224" w:rsidP="00B53224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珠海市城镇住宅小区配建幼儿园情况信息台账</w:t>
      </w:r>
    </w:p>
    <w:p w:rsidR="00B53224" w:rsidRDefault="00B53224" w:rsidP="00B53224">
      <w:pPr>
        <w:ind w:firstLineChars="500" w:firstLine="1200"/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Ansi="楷体" w:hint="eastAsia"/>
          <w:sz w:val="24"/>
        </w:rPr>
        <w:t>填报单位（盖章）：</w:t>
      </w:r>
      <w:r>
        <w:rPr>
          <w:rFonts w:ascii="楷体_GB2312" w:eastAsia="楷体_GB2312" w:hint="eastAsia"/>
          <w:sz w:val="24"/>
        </w:rPr>
        <w:t xml:space="preserve">                    </w:t>
      </w:r>
      <w:r>
        <w:rPr>
          <w:rFonts w:ascii="楷体_GB2312" w:eastAsia="楷体_GB2312" w:hAnsi="楷体" w:hint="eastAsia"/>
          <w:sz w:val="24"/>
        </w:rPr>
        <w:t>联系人：</w:t>
      </w:r>
      <w:r>
        <w:rPr>
          <w:rFonts w:ascii="楷体_GB2312" w:eastAsia="楷体_GB2312" w:hint="eastAsia"/>
          <w:sz w:val="24"/>
        </w:rPr>
        <w:t xml:space="preserve">            </w:t>
      </w:r>
      <w:r>
        <w:rPr>
          <w:rFonts w:ascii="楷体_GB2312" w:eastAsia="楷体_GB2312" w:hAnsi="楷体" w:hint="eastAsia"/>
          <w:sz w:val="24"/>
        </w:rPr>
        <w:t>联系电话：</w:t>
      </w:r>
      <w:r>
        <w:rPr>
          <w:rFonts w:ascii="楷体_GB2312" w:eastAsia="楷体_GB2312" w:hint="eastAsia"/>
          <w:sz w:val="24"/>
        </w:rPr>
        <w:t xml:space="preserve">             </w:t>
      </w:r>
      <w:r>
        <w:rPr>
          <w:rFonts w:ascii="楷体_GB2312" w:eastAsia="楷体_GB2312" w:hAnsi="楷体" w:hint="eastAsia"/>
          <w:sz w:val="24"/>
        </w:rPr>
        <w:t>填报时间：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587"/>
        <w:gridCol w:w="644"/>
        <w:gridCol w:w="722"/>
        <w:gridCol w:w="575"/>
        <w:gridCol w:w="468"/>
        <w:gridCol w:w="612"/>
        <w:gridCol w:w="654"/>
        <w:gridCol w:w="653"/>
        <w:gridCol w:w="687"/>
        <w:gridCol w:w="629"/>
        <w:gridCol w:w="570"/>
        <w:gridCol w:w="583"/>
        <w:gridCol w:w="743"/>
        <w:gridCol w:w="1886"/>
        <w:gridCol w:w="681"/>
        <w:gridCol w:w="612"/>
        <w:gridCol w:w="484"/>
        <w:gridCol w:w="817"/>
      </w:tblGrid>
      <w:tr w:rsidR="00B53224" w:rsidTr="00F93688">
        <w:trPr>
          <w:trHeight w:val="825"/>
          <w:jc w:val="center"/>
        </w:trPr>
        <w:tc>
          <w:tcPr>
            <w:tcW w:w="377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序号</w:t>
            </w:r>
          </w:p>
        </w:tc>
        <w:tc>
          <w:tcPr>
            <w:tcW w:w="587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 w:hint="eastAsia"/>
                <w:szCs w:val="21"/>
              </w:rPr>
              <w:t>区域</w:t>
            </w:r>
          </w:p>
        </w:tc>
        <w:tc>
          <w:tcPr>
            <w:tcW w:w="644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城镇住宅小区名称</w:t>
            </w:r>
          </w:p>
        </w:tc>
        <w:tc>
          <w:tcPr>
            <w:tcW w:w="722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地址</w:t>
            </w:r>
          </w:p>
        </w:tc>
        <w:tc>
          <w:tcPr>
            <w:tcW w:w="575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规划立项时间</w:t>
            </w:r>
          </w:p>
        </w:tc>
        <w:tc>
          <w:tcPr>
            <w:tcW w:w="468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竣工时间</w:t>
            </w:r>
          </w:p>
        </w:tc>
        <w:tc>
          <w:tcPr>
            <w:tcW w:w="1266" w:type="dxa"/>
            <w:gridSpan w:val="2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规划户数和人数</w:t>
            </w:r>
          </w:p>
        </w:tc>
        <w:tc>
          <w:tcPr>
            <w:tcW w:w="653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应配建幼儿园规模和班额</w:t>
            </w:r>
          </w:p>
        </w:tc>
        <w:tc>
          <w:tcPr>
            <w:tcW w:w="687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已配建幼儿园规模和班额</w:t>
            </w:r>
          </w:p>
        </w:tc>
        <w:tc>
          <w:tcPr>
            <w:tcW w:w="629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rPr>
                <w:rFonts w:eastAsia="黑体"/>
                <w:szCs w:val="21"/>
              </w:rPr>
            </w:pPr>
          </w:p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幼儿园产权归属</w:t>
            </w:r>
          </w:p>
        </w:tc>
        <w:tc>
          <w:tcPr>
            <w:tcW w:w="570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举办幼儿园类型</w:t>
            </w:r>
          </w:p>
        </w:tc>
        <w:tc>
          <w:tcPr>
            <w:tcW w:w="583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是否需要整改</w:t>
            </w:r>
          </w:p>
        </w:tc>
        <w:tc>
          <w:tcPr>
            <w:tcW w:w="743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整改类型（一类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Ansi="黑体"/>
                <w:szCs w:val="21"/>
              </w:rPr>
              <w:t>二类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Ansi="黑体"/>
                <w:szCs w:val="21"/>
              </w:rPr>
              <w:t>三类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Ansi="黑体"/>
                <w:szCs w:val="21"/>
              </w:rPr>
              <w:t>四类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Ansi="黑体"/>
                <w:szCs w:val="21"/>
              </w:rPr>
              <w:t>五类）</w:t>
            </w:r>
          </w:p>
        </w:tc>
        <w:tc>
          <w:tcPr>
            <w:tcW w:w="1886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整改措施</w:t>
            </w:r>
          </w:p>
        </w:tc>
        <w:tc>
          <w:tcPr>
            <w:tcW w:w="681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整改方案实施计划</w:t>
            </w:r>
            <w:proofErr w:type="gramStart"/>
            <w:r>
              <w:rPr>
                <w:rFonts w:eastAsia="黑体" w:hAnsi="黑体"/>
                <w:szCs w:val="21"/>
              </w:rPr>
              <w:t>和</w:t>
            </w:r>
            <w:proofErr w:type="gramEnd"/>
          </w:p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工作进展</w:t>
            </w:r>
          </w:p>
        </w:tc>
        <w:tc>
          <w:tcPr>
            <w:tcW w:w="1096" w:type="dxa"/>
            <w:gridSpan w:val="2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预计总投入（万元）</w:t>
            </w:r>
          </w:p>
        </w:tc>
        <w:tc>
          <w:tcPr>
            <w:tcW w:w="817" w:type="dxa"/>
            <w:vMerge w:val="restart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预计完成整改时间</w:t>
            </w:r>
          </w:p>
        </w:tc>
      </w:tr>
      <w:tr w:rsidR="00B53224" w:rsidTr="00F93688">
        <w:trPr>
          <w:trHeight w:val="635"/>
          <w:jc w:val="center"/>
        </w:trPr>
        <w:tc>
          <w:tcPr>
            <w:tcW w:w="377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87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22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75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68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户数</w:t>
            </w:r>
          </w:p>
        </w:tc>
        <w:tc>
          <w:tcPr>
            <w:tcW w:w="654" w:type="dxa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人数</w:t>
            </w:r>
          </w:p>
        </w:tc>
        <w:tc>
          <w:tcPr>
            <w:tcW w:w="653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629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83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43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86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681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总投入</w:t>
            </w:r>
          </w:p>
        </w:tc>
        <w:tc>
          <w:tcPr>
            <w:tcW w:w="484" w:type="dxa"/>
            <w:vAlign w:val="center"/>
          </w:tcPr>
          <w:p w:rsidR="00B53224" w:rsidRDefault="00B53224" w:rsidP="00F93688">
            <w:pPr>
              <w:spacing w:line="240" w:lineRule="exact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其中，政府投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eastAsia="黑体" w:hAnsi="黑体"/>
                <w:szCs w:val="21"/>
              </w:rPr>
              <w:t>入</w:t>
            </w:r>
          </w:p>
        </w:tc>
        <w:tc>
          <w:tcPr>
            <w:tcW w:w="817" w:type="dxa"/>
            <w:vMerge/>
            <w:vAlign w:val="center"/>
          </w:tcPr>
          <w:p w:rsidR="00B53224" w:rsidRDefault="00B53224" w:rsidP="00F9368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B53224" w:rsidTr="00F93688">
        <w:trPr>
          <w:trHeight w:hRule="exact" w:val="454"/>
          <w:jc w:val="center"/>
        </w:trPr>
        <w:tc>
          <w:tcPr>
            <w:tcW w:w="37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75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8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81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81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</w:tr>
      <w:tr w:rsidR="00B53224" w:rsidTr="00F93688">
        <w:trPr>
          <w:trHeight w:hRule="exact" w:val="454"/>
          <w:jc w:val="center"/>
        </w:trPr>
        <w:tc>
          <w:tcPr>
            <w:tcW w:w="37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75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8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81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81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</w:tr>
      <w:tr w:rsidR="00B53224" w:rsidTr="00F93688">
        <w:trPr>
          <w:trHeight w:hRule="exact" w:val="454"/>
          <w:jc w:val="center"/>
        </w:trPr>
        <w:tc>
          <w:tcPr>
            <w:tcW w:w="37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8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75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29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8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81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81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</w:tr>
      <w:tr w:rsidR="00B53224" w:rsidTr="00F93688">
        <w:trPr>
          <w:trHeight w:hRule="exact" w:val="454"/>
          <w:jc w:val="center"/>
        </w:trPr>
        <w:tc>
          <w:tcPr>
            <w:tcW w:w="37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58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75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468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629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70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58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81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612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484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  <w:tc>
          <w:tcPr>
            <w:tcW w:w="817" w:type="dxa"/>
            <w:vAlign w:val="center"/>
          </w:tcPr>
          <w:p w:rsidR="00B53224" w:rsidRDefault="00B53224" w:rsidP="00F93688">
            <w:pPr>
              <w:jc w:val="center"/>
              <w:rPr>
                <w:szCs w:val="21"/>
              </w:rPr>
            </w:pPr>
          </w:p>
        </w:tc>
      </w:tr>
    </w:tbl>
    <w:p w:rsidR="00D31F4C" w:rsidRPr="00B53224" w:rsidRDefault="00B53224" w:rsidP="00B53224">
      <w:pPr>
        <w:rPr>
          <w:rFonts w:eastAsia="楷体_GB2312"/>
          <w:szCs w:val="21"/>
        </w:rPr>
      </w:pPr>
      <w:r>
        <w:rPr>
          <w:rFonts w:eastAsia="楷体_GB2312" w:hAnsi="楷体_GB2312"/>
          <w:szCs w:val="21"/>
        </w:rPr>
        <w:t>说明：</w:t>
      </w:r>
      <w:r>
        <w:rPr>
          <w:rFonts w:eastAsia="楷体_GB2312"/>
          <w:szCs w:val="21"/>
        </w:rPr>
        <w:t>1.</w:t>
      </w:r>
      <w:r>
        <w:rPr>
          <w:rFonts w:eastAsia="楷体_GB2312" w:hAnsi="楷体_GB2312"/>
          <w:szCs w:val="21"/>
        </w:rPr>
        <w:t>台</w:t>
      </w:r>
      <w:proofErr w:type="gramStart"/>
      <w:r>
        <w:rPr>
          <w:rFonts w:eastAsia="楷体_GB2312" w:hAnsi="楷体_GB2312"/>
          <w:szCs w:val="21"/>
        </w:rPr>
        <w:t>账登记</w:t>
      </w:r>
      <w:proofErr w:type="gramEnd"/>
      <w:r>
        <w:rPr>
          <w:rFonts w:eastAsia="楷体_GB2312" w:hAnsi="楷体_GB2312"/>
          <w:szCs w:val="21"/>
        </w:rPr>
        <w:t>的对象为依据国家、省和地方相关规划标准，达到规划和建设城镇小区配套幼儿园标准要求的城镇住宅小区</w:t>
      </w:r>
      <w:r>
        <w:rPr>
          <w:rFonts w:eastAsia="楷体_GB2312" w:hAnsi="楷体_GB2312" w:hint="eastAsia"/>
          <w:szCs w:val="21"/>
        </w:rPr>
        <w:t>（包括单个或连片城镇住宅小区）</w:t>
      </w:r>
      <w:r>
        <w:rPr>
          <w:rFonts w:eastAsia="楷体_GB2312" w:hAnsi="楷体_GB2312"/>
          <w:szCs w:val="21"/>
        </w:rPr>
        <w:t>；</w:t>
      </w:r>
      <w:r>
        <w:rPr>
          <w:rFonts w:eastAsia="楷体_GB2312"/>
          <w:szCs w:val="21"/>
        </w:rPr>
        <w:t>2.</w:t>
      </w:r>
      <w:r>
        <w:rPr>
          <w:rFonts w:eastAsia="楷体_GB2312" w:hAnsi="楷体_GB2312"/>
          <w:szCs w:val="21"/>
        </w:rPr>
        <w:t>幼儿园产权归属包括</w:t>
      </w:r>
      <w:r>
        <w:rPr>
          <w:rFonts w:eastAsia="楷体_GB2312" w:hAnsi="楷体_GB2312" w:hint="eastAsia"/>
          <w:szCs w:val="21"/>
        </w:rPr>
        <w:t>教育部门、</w:t>
      </w:r>
      <w:r>
        <w:rPr>
          <w:rFonts w:eastAsia="楷体_GB2312" w:hAnsi="楷体_GB2312"/>
          <w:szCs w:val="21"/>
        </w:rPr>
        <w:t>开发商、举办者</w:t>
      </w:r>
      <w:r>
        <w:rPr>
          <w:rFonts w:eastAsia="楷体_GB2312" w:hAnsi="楷体_GB2312" w:hint="eastAsia"/>
          <w:szCs w:val="21"/>
        </w:rPr>
        <w:t>等</w:t>
      </w:r>
      <w:r>
        <w:rPr>
          <w:rFonts w:eastAsia="楷体_GB2312" w:hAnsi="楷体_GB2312"/>
          <w:szCs w:val="21"/>
        </w:rPr>
        <w:t>；</w:t>
      </w:r>
      <w:r>
        <w:rPr>
          <w:rFonts w:eastAsia="楷体_GB2312"/>
          <w:szCs w:val="21"/>
        </w:rPr>
        <w:t>3.</w:t>
      </w:r>
      <w:r>
        <w:rPr>
          <w:rFonts w:eastAsia="楷体_GB2312" w:hAnsi="楷体_GB2312"/>
          <w:szCs w:val="21"/>
        </w:rPr>
        <w:t>举办幼儿园类型：指幼儿园现状，包括公办幼儿园、普惠性民办幼儿园、其他幼儿园；</w:t>
      </w:r>
      <w:r>
        <w:rPr>
          <w:rFonts w:eastAsia="楷体_GB2312"/>
          <w:szCs w:val="21"/>
        </w:rPr>
        <w:t>4.</w:t>
      </w:r>
      <w:r>
        <w:rPr>
          <w:rFonts w:eastAsia="楷体_GB2312" w:hAnsi="楷体_GB2312"/>
          <w:szCs w:val="21"/>
        </w:rPr>
        <w:t>整改类型如下：一类，已建成但未规划幼儿园的城镇小区；二类，已规划幼儿园但不能满足实际需要的城镇小区；三类，配套幼儿园建设不到位的城镇小区；四类，配套幼儿园移交不到位的城镇小区；五类，配套幼儿园使用不到位的城镇小区。</w:t>
      </w:r>
      <w:r>
        <w:rPr>
          <w:rFonts w:eastAsia="楷体_GB2312"/>
          <w:szCs w:val="21"/>
        </w:rPr>
        <w:t>5.</w:t>
      </w:r>
      <w:r>
        <w:rPr>
          <w:rFonts w:eastAsia="楷体_GB2312" w:hAnsi="楷体_GB2312"/>
          <w:szCs w:val="21"/>
        </w:rPr>
        <w:t>整改措施包括：办理移交、回收、置换、购置、租赁、补建、改建、新建等。</w:t>
      </w:r>
    </w:p>
    <w:sectPr w:rsidR="00D31F4C" w:rsidRPr="00B53224" w:rsidSect="00B53224">
      <w:footerReference w:type="default" r:id="rId8"/>
      <w:pgSz w:w="15842" w:h="13211" w:orient="landscape" w:code="3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9F" w:rsidRDefault="006F509F" w:rsidP="0026275F">
      <w:r>
        <w:separator/>
      </w:r>
    </w:p>
  </w:endnote>
  <w:endnote w:type="continuationSeparator" w:id="0">
    <w:p w:rsidR="006F509F" w:rsidRDefault="006F509F" w:rsidP="0026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5F" w:rsidRDefault="0026275F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561CE" wp14:editId="0D65E9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75F" w:rsidRDefault="0026275F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322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" filled="f" stroked="f">
              <v:textbox style="mso-fit-shape-to-text:t" inset="0,0,0,0">
                <w:txbxContent>
                  <w:p w:rsidR="0026275F" w:rsidRDefault="0026275F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5322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6275F" w:rsidRDefault="00262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9F" w:rsidRDefault="006F509F" w:rsidP="0026275F">
      <w:r>
        <w:separator/>
      </w:r>
    </w:p>
  </w:footnote>
  <w:footnote w:type="continuationSeparator" w:id="0">
    <w:p w:rsidR="006F509F" w:rsidRDefault="006F509F" w:rsidP="0026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57"/>
    <w:rsid w:val="001C5AE6"/>
    <w:rsid w:val="0026275F"/>
    <w:rsid w:val="003E32FC"/>
    <w:rsid w:val="00522457"/>
    <w:rsid w:val="006F509F"/>
    <w:rsid w:val="00840A1F"/>
    <w:rsid w:val="00AF1C3A"/>
    <w:rsid w:val="00B53224"/>
    <w:rsid w:val="00D31F4C"/>
    <w:rsid w:val="00D4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62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62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6275F"/>
    <w:rPr>
      <w:sz w:val="18"/>
      <w:szCs w:val="18"/>
    </w:rPr>
  </w:style>
  <w:style w:type="paragraph" w:styleId="a5">
    <w:name w:val="footer"/>
    <w:basedOn w:val="a"/>
    <w:link w:val="Char0"/>
    <w:unhideWhenUsed/>
    <w:rsid w:val="00262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6275F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26275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6275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62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62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6275F"/>
    <w:rPr>
      <w:sz w:val="18"/>
      <w:szCs w:val="18"/>
    </w:rPr>
  </w:style>
  <w:style w:type="paragraph" w:styleId="a5">
    <w:name w:val="footer"/>
    <w:basedOn w:val="a"/>
    <w:link w:val="Char0"/>
    <w:unhideWhenUsed/>
    <w:rsid w:val="00262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6275F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26275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6275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5CD3-03C9-4C55-9A39-72460E9C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陈世进</dc:creator>
  <cp:keywords/>
  <dc:description/>
  <cp:lastModifiedBy>陈世进</cp:lastModifiedBy>
  <cp:revision>5</cp:revision>
  <dcterms:created xsi:type="dcterms:W3CDTF">2019-10-11T07:35:00Z</dcterms:created>
  <dcterms:modified xsi:type="dcterms:W3CDTF">2019-10-11T08:25:00Z</dcterms:modified>
</cp:coreProperties>
</file>